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9ca73d9b4af04190a8b5e652d1f20f22"/>
        <w:lock w:val="sdtLocked"/>
        <w:richText/>
      </w:sdtPr>
      <w:sdtContent>
        <w:p>
          <w:pPr>
            <w:tabs>
              <w:tab w:val="center" w:pos="4819"/>
              <w:tab w:val="right" w:pos="9638"/>
            </w:tabs>
            <w:jc w:val="center"/>
          </w:pPr>
        </w:p>
        <w:p>
          <w:pPr>
            <w:tabs>
              <w:tab w:val="center" w:pos="4819"/>
              <w:tab w:val="right" w:pos="9638"/>
            </w:tabs>
            <w:jc w:val="right"/>
            <w:rPr>
              <w:b/>
              <w:bCs/>
              <w:sz w:val="22"/>
              <w:szCs w:val="22"/>
            </w:rPr>
          </w:pPr>
        </w:p>
        <w:p>
          <w:pPr>
            <w:ind w:left="10368"/>
            <w:jc w:val="both"/>
            <w:rPr>
              <w:szCs w:val="24"/>
            </w:rPr>
          </w:pPr>
          <w:r>
            <w:rPr>
              <w:szCs w:val="24"/>
            </w:rPr>
            <w:t>2022–2030 m. plėtros programos valdytojos Lietuvos Respublikos švietimo, mokslo ir sporto ministerijos mokslo plėtros programos pažangos priemonės Nr. 12-001-01-02-01 „</w:t>
          </w:r>
          <w:r>
            <w:t>Stiprinti inovacijų ekosistemas mokslo centruose</w:t>
          </w:r>
          <w:r>
            <w:rPr>
              <w:szCs w:val="24"/>
            </w:rPr>
            <w:t xml:space="preserve">“ aprašo </w:t>
          </w:r>
        </w:p>
        <w:p>
          <w:pPr>
            <w:ind w:left="10368"/>
            <w:jc w:val="both"/>
            <w:rPr>
              <w:b/>
              <w:bCs/>
              <w:szCs w:val="24"/>
            </w:rPr>
          </w:pPr>
          <w:sdt>
            <w:sdtPr>
              <w:alias w:val="Numeris"/>
              <w:tag w:val="nr_9ca73d9b4af04190a8b5e652d1f20f22"/>
              <w:lock w:val="sdtLocked"/>
              <w:richText/>
            </w:sdtPr>
            <w:sdtContent>
              <w:r>
                <w:rPr>
                  <w:szCs w:val="24"/>
                </w:rPr>
                <w:t>11</w:t>
              </w:r>
            </w:sdtContent>
          </w:sdt>
          <w:r>
            <w:rPr>
              <w:szCs w:val="24"/>
            </w:rPr>
            <w:t xml:space="preserve"> priedas</w:t>
          </w:r>
        </w:p>
        <w:p>
          <w:pPr>
            <w:jc w:val="center"/>
            <w:rPr>
              <w:b/>
              <w:bCs/>
              <w:szCs w:val="24"/>
            </w:rPr>
          </w:pPr>
        </w:p>
        <w:p>
          <w:pPr>
            <w:jc w:val="center"/>
            <w:rPr>
              <w:b/>
              <w:bCs/>
              <w:szCs w:val="24"/>
            </w:rPr>
          </w:pPr>
        </w:p>
        <w:p>
          <w:pPr>
            <w:jc w:val="center"/>
            <w:rPr>
              <w:b/>
              <w:bCs/>
              <w:szCs w:val="24"/>
            </w:rPr>
          </w:pPr>
          <w:sdt>
            <w:sdtPr>
              <w:alias w:val="Pavadinimas"/>
              <w:tag w:val="title_9ca73d9b4af04190a8b5e652d1f20f22"/>
              <w:lock w:val="sdtLocked"/>
              <w:richText/>
            </w:sdtPr>
            <w:sdtContent>
              <w:r>
                <w:rPr>
                  <w:b/>
                  <w:bCs/>
                  <w:szCs w:val="24"/>
                </w:rPr>
                <w:t>2022–2030 M. PLĖTROS PROGRAMOS VALDYTOJOS LIETUVOS RESPUBLIKOS ŠVIETIMO, MOKSLO IR SPORTO MINISTERIJOS MOKSLO PLĖTROS PROGRAMOS PAŽANGOS PRIEMONĖS NR. 12-001-01-02-01 „</w:t>
              </w:r>
              <w:r>
                <w:rPr>
                  <w:b/>
                  <w:bCs/>
                </w:rPr>
                <w:t>STIPRINTI INOVACIJŲ EKOSISTEMAS MOKSLO CENTRUOSE</w:t>
              </w:r>
              <w:r>
                <w:rPr>
                  <w:b/>
                  <w:bCs/>
                  <w:szCs w:val="24"/>
                </w:rPr>
                <w:t>“ PROJEKTŲ FINANSAVIMO SĄLYGŲ APRAŠAS NR. 11</w:t>
              </w:r>
            </w:sdtContent>
          </w:sdt>
        </w:p>
        <w:p>
          <w:pPr>
            <w:spacing w:line="259" w:lineRule="auto"/>
            <w:jc w:val="center"/>
            <w:rPr>
              <w:b/>
              <w:bCs/>
              <w:szCs w:val="24"/>
            </w:rPr>
          </w:pPr>
        </w:p>
        <w:p>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tc>
              <w:tcPr>
                <w:tcW w:w="14856" w:type="dxa"/>
                <w:gridSpan w:val="12"/>
                <w:vAlign w:val="center"/>
              </w:tcPr>
              <w:p>
                <w:pPr>
                  <w:jc w:val="center"/>
                  <w:rPr>
                    <w:b/>
                    <w:bCs/>
                    <w:szCs w:val="24"/>
                  </w:rPr>
                </w:pPr>
                <w:r>
                  <w:rPr>
                    <w:b/>
                    <w:bCs/>
                    <w:szCs w:val="24"/>
                  </w:rPr>
                  <w:t>VEIKLOS AR POVEIKLĖS, KURIOMS NUSTATOMOS PROJEKTŲ FINANSAVIMO SĄLYGOS</w:t>
                </w:r>
              </w:p>
            </w:tc>
          </w:tr>
          <w:tr>
            <w:trPr>
              <w:trHeight w:val="1885"/>
            </w:trPr>
            <w:tc>
              <w:tcPr>
                <w:tcW w:w="1110" w:type="dxa"/>
                <w:vAlign w:val="center"/>
              </w:tcPr>
              <w:p>
                <w:pPr>
                  <w:jc w:val="center"/>
                  <w:rPr>
                    <w:b/>
                    <w:bCs/>
                    <w:sz w:val="20"/>
                  </w:rPr>
                </w:pPr>
                <w:r>
                  <w:rPr>
                    <w:b/>
                    <w:bCs/>
                    <w:sz w:val="20"/>
                  </w:rPr>
                  <w:t>Veiklos ar poveiklėspavadi-nimas</w:t>
                </w:r>
              </w:p>
            </w:tc>
            <w:tc>
              <w:tcPr>
                <w:tcW w:w="1023" w:type="dxa"/>
                <w:vAlign w:val="center"/>
              </w:tcPr>
              <w:p>
                <w:pPr>
                  <w:jc w:val="center"/>
                  <w:rPr>
                    <w:b/>
                    <w:bCs/>
                    <w:sz w:val="20"/>
                  </w:rPr>
                </w:pPr>
                <w:r>
                  <w:rPr>
                    <w:b/>
                    <w:bCs/>
                    <w:sz w:val="20"/>
                  </w:rPr>
                  <w:t>Finansa-vimo šaltinis</w:t>
                </w:r>
              </w:p>
            </w:tc>
            <w:tc>
              <w:tcPr>
                <w:tcW w:w="1236" w:type="dxa"/>
                <w:vAlign w:val="center"/>
              </w:tcPr>
              <w:p>
                <w:pPr>
                  <w:jc w:val="center"/>
                  <w:rPr>
                    <w:b/>
                    <w:bCs/>
                    <w:sz w:val="20"/>
                  </w:rPr>
                </w:pPr>
                <w:r>
                  <w:rPr>
                    <w:b/>
                    <w:bCs/>
                    <w:sz w:val="20"/>
                  </w:rPr>
                  <w:t>Prioritetas ar komponen-tas</w:t>
                </w:r>
              </w:p>
            </w:tc>
            <w:tc>
              <w:tcPr>
                <w:tcW w:w="1134" w:type="dxa"/>
                <w:vAlign w:val="center"/>
              </w:tcPr>
              <w:p>
                <w:pPr>
                  <w:jc w:val="center"/>
                  <w:rPr>
                    <w:b/>
                    <w:bCs/>
                    <w:sz w:val="20"/>
                  </w:rPr>
                </w:pPr>
                <w:r>
                  <w:rPr>
                    <w:b/>
                    <w:bCs/>
                    <w:sz w:val="20"/>
                  </w:rPr>
                  <w:t>Uždavinys ar priemonė</w:t>
                </w:r>
              </w:p>
            </w:tc>
            <w:tc>
              <w:tcPr>
                <w:tcW w:w="992" w:type="dxa"/>
                <w:vAlign w:val="center"/>
              </w:tcPr>
              <w:p>
                <w:pPr>
                  <w:jc w:val="center"/>
                  <w:rPr>
                    <w:b/>
                    <w:bCs/>
                    <w:sz w:val="20"/>
                  </w:rPr>
                </w:pPr>
                <w:r>
                  <w:rPr>
                    <w:b/>
                    <w:bCs/>
                    <w:sz w:val="20"/>
                  </w:rPr>
                  <w:t>Veikla ar poveiklė</w:t>
                </w:r>
              </w:p>
            </w:tc>
            <w:tc>
              <w:tcPr>
                <w:tcW w:w="1984" w:type="dxa"/>
                <w:vAlign w:val="center"/>
              </w:tcPr>
              <w:p>
                <w:pPr>
                  <w:jc w:val="center"/>
                  <w:rPr>
                    <w:b/>
                    <w:bCs/>
                    <w:sz w:val="20"/>
                  </w:rPr>
                </w:pPr>
                <w:r>
                  <w:rPr>
                    <w:b/>
                    <w:bCs/>
                    <w:sz w:val="20"/>
                  </w:rPr>
                  <w:t>Intervencinės priemonės kodas</w:t>
                </w:r>
              </w:p>
            </w:tc>
            <w:tc>
              <w:tcPr>
                <w:tcW w:w="1344" w:type="dxa"/>
                <w:vAlign w:val="center"/>
              </w:tcPr>
              <w:p>
                <w:pPr>
                  <w:jc w:val="center"/>
                  <w:rPr>
                    <w:b/>
                    <w:bCs/>
                    <w:sz w:val="20"/>
                  </w:rPr>
                </w:pPr>
                <w:r>
                  <w:rPr>
                    <w:b/>
                    <w:bCs/>
                    <w:sz w:val="20"/>
                  </w:rPr>
                  <w:t>Regionas, kuriam priskiriama veikla ar poveiklė</w:t>
                </w:r>
              </w:p>
            </w:tc>
            <w:tc>
              <w:tcPr>
                <w:tcW w:w="1080" w:type="dxa"/>
                <w:vAlign w:val="center"/>
              </w:tcPr>
              <w:p>
                <w:pPr>
                  <w:jc w:val="center"/>
                  <w:rPr>
                    <w:b/>
                    <w:bCs/>
                    <w:sz w:val="20"/>
                  </w:rPr>
                </w:pPr>
                <w:r>
                  <w:rPr>
                    <w:b/>
                    <w:bCs/>
                    <w:sz w:val="20"/>
                  </w:rPr>
                  <w:t>Paramos formos kodas</w:t>
                </w:r>
              </w:p>
            </w:tc>
            <w:tc>
              <w:tcPr>
                <w:tcW w:w="1344" w:type="dxa"/>
                <w:vAlign w:val="center"/>
              </w:tcPr>
              <w:p>
                <w:pPr>
                  <w:jc w:val="center"/>
                  <w:rPr>
                    <w:b/>
                    <w:bCs/>
                    <w:sz w:val="20"/>
                  </w:rPr>
                </w:pPr>
                <w:r>
                  <w:rPr>
                    <w:b/>
                    <w:bCs/>
                    <w:sz w:val="20"/>
                  </w:rPr>
                  <w:t>Pagrindinės teritorinės srities kodas (-ai)</w:t>
                </w:r>
              </w:p>
            </w:tc>
            <w:tc>
              <w:tcPr>
                <w:tcW w:w="1328" w:type="dxa"/>
                <w:vAlign w:val="center"/>
              </w:tcPr>
              <w:p>
                <w:pPr>
                  <w:jc w:val="center"/>
                  <w:rPr>
                    <w:b/>
                    <w:bCs/>
                    <w:sz w:val="20"/>
                  </w:rPr>
                </w:pPr>
                <w:r>
                  <w:rPr>
                    <w:b/>
                    <w:bCs/>
                    <w:sz w:val="20"/>
                  </w:rPr>
                  <w:t>Ekonominės veiklos kodas (-ai)</w:t>
                </w:r>
              </w:p>
            </w:tc>
            <w:tc>
              <w:tcPr>
                <w:tcW w:w="1132" w:type="dxa"/>
                <w:vAlign w:val="center"/>
              </w:tcPr>
              <w:p>
                <w:pPr>
                  <w:jc w:val="center"/>
                  <w:rPr>
                    <w:b/>
                    <w:bCs/>
                    <w:sz w:val="20"/>
                  </w:rPr>
                </w:pPr>
                <w:r>
                  <w:rPr>
                    <w:b/>
                    <w:bCs/>
                    <w:sz w:val="20"/>
                  </w:rPr>
                  <w:t>„Europos socialinio fondo +“ (toliau – ESF+) antrinių temų kodai</w:t>
                </w:r>
              </w:p>
            </w:tc>
            <w:tc>
              <w:tcPr>
                <w:tcW w:w="1149" w:type="dxa"/>
                <w:vAlign w:val="center"/>
              </w:tcPr>
              <w:p>
                <w:pPr>
                  <w:jc w:val="center"/>
                  <w:rPr>
                    <w:b/>
                    <w:bCs/>
                    <w:sz w:val="20"/>
                  </w:rPr>
                </w:pPr>
                <w:r>
                  <w:rPr>
                    <w:b/>
                    <w:bCs/>
                    <w:sz w:val="20"/>
                  </w:rPr>
                  <w:t>Lyčių lygybės matmens kodas</w:t>
                </w:r>
              </w:p>
            </w:tc>
          </w:tr>
          <w:tr>
            <w:trPr>
              <w:trHeight w:val="278"/>
            </w:trPr>
            <w:tc>
              <w:tcPr>
                <w:tcW w:w="1110" w:type="dxa"/>
                <w:tcMar>
                  <w:left w:w="28" w:type="dxa"/>
                  <w:right w:w="28" w:type="dxa"/>
                </w:tcMar>
              </w:tcPr>
              <w:p>
                <w:pPr>
                  <w:jc w:val="center"/>
                  <w:rPr>
                    <w:i/>
                    <w:iCs/>
                    <w:szCs w:val="24"/>
                  </w:rPr>
                </w:pPr>
                <w:r>
                  <w:rPr>
                    <w:color w:val="000000"/>
                    <w:szCs w:val="24"/>
                  </w:rPr>
                  <w:t xml:space="preserve">2.2.1. </w:t>
                </w:r>
                <w:r>
                  <w:rPr>
                    <w:szCs w:val="24"/>
                  </w:rPr>
                  <w:t xml:space="preserve">Didinti mokslo tarptau-tiškumo lygį (Sostinė) </w:t>
                </w:r>
              </w:p>
            </w:tc>
            <w:tc>
              <w:tcPr>
                <w:tcW w:w="1023" w:type="dxa"/>
                <w:tcMar>
                  <w:left w:w="28" w:type="dxa"/>
                  <w:right w:w="28" w:type="dxa"/>
                </w:tcMar>
              </w:tcPr>
              <w:p>
                <w:pPr>
                  <w:jc w:val="center"/>
                  <w:rPr>
                    <w:i/>
                    <w:iCs/>
                    <w:szCs w:val="24"/>
                  </w:rPr>
                </w:pPr>
                <w:r>
                  <w:rPr>
                    <w:szCs w:val="24"/>
                  </w:rPr>
                  <w:t>Europos Sąjungos fondų lėšos ir bendrojo finansa-vimo lėšos</w:t>
                </w:r>
              </w:p>
            </w:tc>
            <w:tc>
              <w:tcPr>
                <w:tcW w:w="1236" w:type="dxa"/>
                <w:tcMar>
                  <w:left w:w="28" w:type="dxa"/>
                  <w:right w:w="28" w:type="dxa"/>
                </w:tcMar>
              </w:tcPr>
              <w:p>
                <w:pPr>
                  <w:jc w:val="center"/>
                  <w:rPr>
                    <w:szCs w:val="24"/>
                  </w:rPr>
                </w:pPr>
                <w:r>
                  <w:rPr>
                    <w:szCs w:val="24"/>
                  </w:rPr>
                  <w:t>1.</w:t>
                </w:r>
              </w:p>
            </w:tc>
            <w:tc>
              <w:tcPr>
                <w:tcW w:w="1134" w:type="dxa"/>
                <w:tcMar>
                  <w:left w:w="28" w:type="dxa"/>
                  <w:right w:w="28" w:type="dxa"/>
                </w:tcMar>
              </w:tcPr>
              <w:p>
                <w:pPr>
                  <w:jc w:val="center"/>
                  <w:rPr>
                    <w:i/>
                    <w:iCs/>
                    <w:szCs w:val="24"/>
                  </w:rPr>
                </w:pPr>
                <w:r>
                  <w:rPr>
                    <w:szCs w:val="24"/>
                  </w:rPr>
                  <w:t>1.1.</w:t>
                </w:r>
              </w:p>
            </w:tc>
            <w:tc>
              <w:tcPr>
                <w:tcW w:w="992" w:type="dxa"/>
                <w:tcMar>
                  <w:left w:w="28" w:type="dxa"/>
                  <w:right w:w="28" w:type="dxa"/>
                </w:tcMar>
              </w:tcPr>
              <w:p>
                <w:pPr>
                  <w:jc w:val="center"/>
                  <w:rPr>
                    <w:i/>
                    <w:iCs/>
                    <w:szCs w:val="24"/>
                  </w:rPr>
                </w:pPr>
                <w:r>
                  <w:rPr>
                    <w:szCs w:val="24"/>
                  </w:rPr>
                  <w:t>„</w:t>
                </w:r>
                <w:r>
                  <w:t>Eureka“</w:t>
                </w:r>
                <w:r>
                  <w:rPr>
                    <w:b/>
                    <w:bCs/>
                  </w:rPr>
                  <w:t xml:space="preserve"> </w:t>
                </w:r>
                <w:r>
                  <w:rPr>
                    <w:iCs/>
                    <w:szCs w:val="24"/>
                  </w:rPr>
                  <w:t>projektų finansa-vimas</w:t>
                </w:r>
                <w:r>
                  <w:rPr>
                    <w:szCs w:val="24"/>
                  </w:rPr>
                  <w:t xml:space="preserve"> </w:t>
                </w:r>
              </w:p>
            </w:tc>
            <w:tc>
              <w:tcPr>
                <w:tcW w:w="1984" w:type="dxa"/>
                <w:tcMar>
                  <w:left w:w="28" w:type="dxa"/>
                  <w:right w:w="28" w:type="dxa"/>
                </w:tcMar>
              </w:tcPr>
              <w:p>
                <w:pPr>
                  <w:jc w:val="center"/>
                  <w:rPr>
                    <w:iCs/>
                    <w:szCs w:val="24"/>
                  </w:rPr>
                </w:pPr>
                <w:r>
                  <w:rPr>
                    <w:iCs/>
                    <w:szCs w:val="24"/>
                  </w:rPr>
                  <w:t>012</w:t>
                </w:r>
              </w:p>
              <w:p>
                <w:pPr>
                  <w:ind w:firstLine="62"/>
                  <w:jc w:val="center"/>
                  <w:rPr>
                    <w:i/>
                    <w:iCs/>
                    <w:szCs w:val="24"/>
                  </w:rPr>
                </w:pPr>
                <w:r>
                  <w:rPr>
                    <w:iCs/>
                    <w:szCs w:val="24"/>
                  </w:rPr>
                  <w:t>029</w:t>
                </w:r>
              </w:p>
            </w:tc>
            <w:tc>
              <w:tcPr>
                <w:tcW w:w="1344" w:type="dxa"/>
                <w:tcMar>
                  <w:left w:w="28" w:type="dxa"/>
                  <w:right w:w="28" w:type="dxa"/>
                </w:tcMar>
              </w:tcPr>
              <w:p>
                <w:pPr>
                  <w:jc w:val="center"/>
                  <w:rPr>
                    <w:szCs w:val="24"/>
                  </w:rPr>
                </w:pPr>
                <w:r>
                  <w:rPr>
                    <w:szCs w:val="24"/>
                  </w:rPr>
                  <w:t xml:space="preserve">Sostinės regionas </w:t>
                </w:r>
              </w:p>
            </w:tc>
            <w:tc>
              <w:tcPr>
                <w:tcW w:w="1080" w:type="dxa"/>
                <w:tcMar>
                  <w:left w:w="28" w:type="dxa"/>
                  <w:right w:w="28" w:type="dxa"/>
                </w:tcMar>
              </w:tcPr>
              <w:p>
                <w:pPr>
                  <w:jc w:val="center"/>
                  <w:rPr>
                    <w:i/>
                    <w:iCs/>
                    <w:szCs w:val="24"/>
                  </w:rPr>
                </w:pPr>
                <w:r>
                  <w:rPr>
                    <w:szCs w:val="24"/>
                  </w:rPr>
                  <w:t>01 – Dotacija</w:t>
                </w:r>
              </w:p>
            </w:tc>
            <w:tc>
              <w:tcPr>
                <w:tcW w:w="1344" w:type="dxa"/>
                <w:tcMar>
                  <w:left w:w="28" w:type="dxa"/>
                  <w:right w:w="28" w:type="dxa"/>
                </w:tcMar>
              </w:tcPr>
              <w:p>
                <w:pPr>
                  <w:jc w:val="center"/>
                  <w:rPr>
                    <w:i/>
                    <w:iCs/>
                    <w:szCs w:val="24"/>
                  </w:rPr>
                </w:pPr>
                <w:r>
                  <w:rPr>
                    <w:szCs w:val="24"/>
                  </w:rPr>
                  <w:t>33 – Nesiorien-tuojant į teritoriškumą</w:t>
                </w:r>
              </w:p>
            </w:tc>
            <w:tc>
              <w:tcPr>
                <w:tcW w:w="1328" w:type="dxa"/>
                <w:tcMar>
                  <w:left w:w="28" w:type="dxa"/>
                  <w:right w:w="28" w:type="dxa"/>
                </w:tcMar>
              </w:tcPr>
              <w:p>
                <w:pPr>
                  <w:jc w:val="center"/>
                  <w:rPr>
                    <w:i/>
                    <w:iCs/>
                    <w:szCs w:val="24"/>
                  </w:rPr>
                </w:pPr>
                <w:r>
                  <w:rPr>
                    <w:szCs w:val="24"/>
                  </w:rPr>
                  <w:t xml:space="preserve">26 </w:t>
                </w:r>
                <w:r>
                  <w:rPr>
                    <w:i/>
                    <w:iCs/>
                    <w:szCs w:val="24"/>
                  </w:rPr>
                  <w:t xml:space="preserve">– </w:t>
                </w:r>
                <w:r>
                  <w:t>Kitos nenurodytos paslaugos</w:t>
                </w:r>
              </w:p>
            </w:tc>
            <w:tc>
              <w:tcPr>
                <w:tcW w:w="1132" w:type="dxa"/>
                <w:tcMar>
                  <w:left w:w="28" w:type="dxa"/>
                  <w:right w:w="28" w:type="dxa"/>
                </w:tcMar>
              </w:tcPr>
              <w:p>
                <w:pPr>
                  <w:jc w:val="center"/>
                  <w:rPr>
                    <w:i/>
                    <w:iCs/>
                    <w:szCs w:val="24"/>
                  </w:rPr>
                </w:pPr>
                <w:r>
                  <w:rPr>
                    <w:szCs w:val="24"/>
                  </w:rPr>
                  <w:t>09 – Netaikoma</w:t>
                </w:r>
              </w:p>
            </w:tc>
            <w:tc>
              <w:tcPr>
                <w:tcW w:w="1149" w:type="dxa"/>
                <w:tcMar>
                  <w:left w:w="28" w:type="dxa"/>
                  <w:right w:w="28" w:type="dxa"/>
                </w:tcMar>
              </w:tcPr>
              <w:p>
                <w:pPr>
                  <w:rPr>
                    <w:i/>
                    <w:iCs/>
                    <w:szCs w:val="24"/>
                  </w:rPr>
                </w:pPr>
                <w:r>
                  <w:rPr>
                    <w:szCs w:val="24"/>
                  </w:rPr>
                  <w:t>03 – Neutralu-mas lyties požiūriu</w:t>
                </w:r>
              </w:p>
            </w:tc>
          </w:tr>
          <w:tr>
            <w:trPr>
              <w:trHeight w:val="278"/>
            </w:trPr>
            <w:tc>
              <w:tcPr>
                <w:tcW w:w="1110"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2.2.2.</w:t>
                </w:r>
              </w:p>
              <w:p>
                <w:pPr>
                  <w:jc w:val="center"/>
                  <w:rPr>
                    <w:szCs w:val="24"/>
                  </w:rPr>
                </w:pPr>
                <w:r>
                  <w:rPr>
                    <w:szCs w:val="24"/>
                  </w:rPr>
                  <w:t xml:space="preserve">Didinti mokslo tarptautiš-kumo lygį (VVL) </w:t>
                </w:r>
              </w:p>
            </w:tc>
            <w:tc>
              <w:tcPr>
                <w:tcW w:w="1023"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Europos Sąjungos fondų lėšos ir bendrojo finansavimo lėšos</w:t>
                </w:r>
              </w:p>
            </w:tc>
            <w:tc>
              <w:tcPr>
                <w:tcW w:w="1236"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1.1.</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highlight w:val="yellow"/>
                  </w:rPr>
                </w:pPr>
                <w:r>
                  <w:rPr>
                    <w:szCs w:val="24"/>
                  </w:rPr>
                  <w:t>„Eureka“</w:t>
                </w:r>
                <w:r>
                  <w:rPr>
                    <w:b/>
                    <w:bCs/>
                  </w:rPr>
                  <w:t xml:space="preserve"> </w:t>
                </w:r>
                <w:r>
                  <w:rPr>
                    <w:iCs/>
                    <w:szCs w:val="24"/>
                  </w:rPr>
                  <w:t>projektų finansa-vimas</w:t>
                </w:r>
                <w:r>
                  <w:rPr>
                    <w:szCs w:val="24"/>
                  </w:rPr>
                  <w:t xml:space="preserve"> </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iCs/>
                    <w:szCs w:val="24"/>
                  </w:rPr>
                </w:pPr>
                <w:r>
                  <w:rPr>
                    <w:iCs/>
                    <w:szCs w:val="24"/>
                  </w:rPr>
                  <w:t>012</w:t>
                </w:r>
              </w:p>
              <w:p>
                <w:pPr>
                  <w:jc w:val="center"/>
                  <w:rPr>
                    <w:iCs/>
                    <w:szCs w:val="24"/>
                  </w:rPr>
                </w:pPr>
                <w:r>
                  <w:rPr>
                    <w:iCs/>
                    <w:szCs w:val="24"/>
                  </w:rPr>
                  <w:t>029</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 xml:space="preserve">Vidurio ir vakarų Lietuvos regionas </w:t>
                </w:r>
              </w:p>
            </w:tc>
            <w:tc>
              <w:tcPr>
                <w:tcW w:w="1080"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01 – Dotacija</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33 – Nesiorien-tuojant į teritoriškumą</w:t>
                </w:r>
              </w:p>
            </w:tc>
            <w:tc>
              <w:tcPr>
                <w:tcW w:w="1328"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iCs/>
                    <w:szCs w:val="24"/>
                  </w:rPr>
                </w:pPr>
                <w:r>
                  <w:rPr>
                    <w:iCs/>
                    <w:szCs w:val="24"/>
                  </w:rPr>
                  <w:t xml:space="preserve">26 </w:t>
                </w:r>
                <w:r>
                  <w:rPr>
                    <w:szCs w:val="24"/>
                  </w:rPr>
                  <w:t>–</w:t>
                </w:r>
                <w:r>
                  <w:rPr>
                    <w:iCs/>
                    <w:szCs w:val="24"/>
                  </w:rPr>
                  <w:t xml:space="preserve"> Kitos nenurodytos paslaugos</w:t>
                </w:r>
              </w:p>
            </w:tc>
            <w:tc>
              <w:tcPr>
                <w:tcW w:w="1132" w:type="dxa"/>
                <w:tcBorders>
                  <w:top w:val="single" w:sz="4" w:space="0" w:color="auto"/>
                  <w:left w:val="single" w:sz="4" w:space="0" w:color="auto"/>
                  <w:bottom w:val="single" w:sz="4" w:space="0" w:color="auto"/>
                  <w:right w:val="single" w:sz="4" w:space="0" w:color="auto"/>
                </w:tcBorders>
                <w:tcMar>
                  <w:left w:w="28" w:type="dxa"/>
                  <w:right w:w="28" w:type="dxa"/>
                </w:tcMar>
              </w:tcPr>
              <w:p>
                <w:pPr>
                  <w:jc w:val="center"/>
                  <w:rPr>
                    <w:szCs w:val="24"/>
                  </w:rPr>
                </w:pPr>
                <w:r>
                  <w:rPr>
                    <w:szCs w:val="24"/>
                  </w:rPr>
                  <w:t>09 – Netaikoma</w:t>
                </w:r>
              </w:p>
            </w:tc>
            <w:tc>
              <w:tcPr>
                <w:tcW w:w="1149" w:type="dxa"/>
                <w:tcBorders>
                  <w:top w:val="single" w:sz="4" w:space="0" w:color="auto"/>
                  <w:left w:val="single" w:sz="4" w:space="0" w:color="auto"/>
                  <w:bottom w:val="single" w:sz="4" w:space="0" w:color="auto"/>
                  <w:right w:val="single" w:sz="4" w:space="0" w:color="auto"/>
                </w:tcBorders>
                <w:tcMar>
                  <w:left w:w="28" w:type="dxa"/>
                  <w:right w:w="28" w:type="dxa"/>
                </w:tcMar>
              </w:tcPr>
              <w:p>
                <w:pPr>
                  <w:rPr>
                    <w:szCs w:val="24"/>
                  </w:rPr>
                </w:pPr>
                <w:r>
                  <w:rPr>
                    <w:szCs w:val="24"/>
                  </w:rPr>
                  <w:t>03 – Neutralu-mas lyties požiūriu</w:t>
                </w:r>
              </w:p>
            </w:tc>
          </w:tr>
        </w:tbl>
        <w:p>
          <w:pPr>
            <w:jc w:val="both"/>
            <w:rPr>
              <w:i/>
              <w:iCs/>
              <w:szCs w:val="24"/>
            </w:rPr>
          </w:pPr>
        </w:p>
        <w:p>
          <w:pPr>
            <w:jc w:val="both"/>
            <w:rPr>
              <w:szCs w:val="24"/>
            </w:rPr>
          </w:pPr>
          <w:r>
            <w:rPr>
              <w:szCs w:val="24"/>
            </w:rPr>
            <w:t>Projektai pagal šią veiklą turi pasiekti visus toliau išvardintus stebėsenos rodiklius:</w:t>
          </w:r>
        </w:p>
        <w:p>
          <w:pPr>
            <w:jc w:val="both"/>
            <w:rPr>
              <w:szCs w:val="24"/>
            </w:rPr>
          </w:pPr>
        </w:p>
        <w:p>
          <w:pPr>
            <w:jc w:val="both"/>
            <w:rPr>
              <w:szCs w:val="24"/>
            </w:rPr>
          </w:pPr>
          <w:r>
            <w:rPr>
              <w:color w:val="000000"/>
              <w:szCs w:val="24"/>
            </w:rPr>
            <w:t xml:space="preserve">Įgyvendinant poveiklę „2.2.1. </w:t>
          </w:r>
          <w:r>
            <w:rPr>
              <w:szCs w:val="24"/>
            </w:rPr>
            <w:t>Didinti mokslo tarptautiškumo lygį (</w:t>
          </w:r>
          <w:r>
            <w:rPr>
              <w:color w:val="000000"/>
              <w:szCs w:val="24"/>
            </w:rPr>
            <w:t>Sostinė)“: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688" w:type="dxa"/>
                <w:shd w:val="clear" w:color="auto" w:fill="auto"/>
                <w:vAlign w:val="center"/>
              </w:tcPr>
              <w:p>
                <w:pPr>
                  <w:jc w:val="center"/>
                  <w:rPr>
                    <w:szCs w:val="24"/>
                  </w:rPr>
                </w:pPr>
                <w:r>
                  <w:rPr>
                    <w:szCs w:val="24"/>
                  </w:rPr>
                  <w:t>Siektina reikšmė</w:t>
                </w:r>
              </w:p>
            </w:tc>
          </w:tr>
          <w:tr>
            <w:trPr>
              <w:trHeight w:val="725"/>
            </w:trPr>
            <w:tc>
              <w:tcPr>
                <w:tcW w:w="3688" w:type="dxa"/>
                <w:vAlign w:val="center"/>
              </w:tcPr>
              <w:p>
                <w:pPr>
                  <w:jc w:val="center"/>
                  <w:rPr>
                    <w:i/>
                    <w:iCs/>
                    <w:szCs w:val="24"/>
                  </w:rPr>
                </w:pPr>
                <w:r>
                  <w:rPr>
                    <w:szCs w:val="24"/>
                  </w:rPr>
                  <w:t>Paramą gavusiose mokslinių tyrimų įstaigose dirbantys mokslininkai</w:t>
                </w:r>
              </w:p>
            </w:tc>
            <w:tc>
              <w:tcPr>
                <w:tcW w:w="3688" w:type="dxa"/>
                <w:vAlign w:val="center"/>
              </w:tcPr>
              <w:p>
                <w:pPr>
                  <w:jc w:val="center"/>
                  <w:rPr>
                    <w:szCs w:val="24"/>
                  </w:rPr>
                </w:pPr>
                <w:r>
                  <w:rPr>
                    <w:szCs w:val="24"/>
                  </w:rPr>
                  <w:t>P-12-001-01-02-01-01</w:t>
                </w:r>
              </w:p>
              <w:p>
                <w:pPr>
                  <w:jc w:val="center"/>
                  <w:rPr>
                    <w:szCs w:val="24"/>
                  </w:rPr>
                </w:pPr>
                <w:r>
                  <w:rPr>
                    <w:color w:val="000000"/>
                    <w:szCs w:val="24"/>
                    <w:lang w:eastAsia="lt-LT"/>
                  </w:rPr>
                  <w:t>P.B.2.0006</w:t>
                </w:r>
              </w:p>
            </w:tc>
            <w:tc>
              <w:tcPr>
                <w:tcW w:w="3688" w:type="dxa"/>
                <w:vAlign w:val="center"/>
              </w:tcPr>
              <w:p>
                <w:pPr>
                  <w:jc w:val="center"/>
                  <w:rPr>
                    <w:szCs w:val="24"/>
                  </w:rPr>
                </w:pPr>
                <w:r>
                  <w:rPr>
                    <w:szCs w:val="24"/>
                  </w:rPr>
                  <w:t>Vienų metų etato ekvivalentai</w:t>
                </w:r>
              </w:p>
            </w:tc>
            <w:tc>
              <w:tcPr>
                <w:tcW w:w="3688" w:type="dxa"/>
                <w:vAlign w:val="center"/>
              </w:tcPr>
              <w:p>
                <w:pPr>
                  <w:jc w:val="center"/>
                  <w:rPr>
                    <w:szCs w:val="24"/>
                  </w:rPr>
                </w:pPr>
                <w:r>
                  <w:rPr>
                    <w:szCs w:val="24"/>
                  </w:rPr>
                  <w:t>60</w:t>
                </w:r>
              </w:p>
            </w:tc>
          </w:tr>
          <w:tr>
            <w:trPr>
              <w:trHeight w:val="725"/>
            </w:trPr>
            <w:tc>
              <w:tcPr>
                <w:tcW w:w="3688" w:type="dxa"/>
                <w:vAlign w:val="center"/>
              </w:tcPr>
              <w:p>
                <w:pPr>
                  <w:jc w:val="center"/>
                  <w:rPr>
                    <w:i/>
                    <w:iCs/>
                    <w:szCs w:val="24"/>
                  </w:rPr>
                </w:pPr>
                <w:r>
                  <w:rPr>
                    <w:szCs w:val="24"/>
                  </w:rPr>
                  <w:t>Pateiktos patentų paraiškos</w:t>
                </w:r>
              </w:p>
            </w:tc>
            <w:tc>
              <w:tcPr>
                <w:tcW w:w="3688" w:type="dxa"/>
                <w:vAlign w:val="center"/>
              </w:tcPr>
              <w:p>
                <w:pPr>
                  <w:jc w:val="center"/>
                  <w:rPr>
                    <w:szCs w:val="24"/>
                  </w:rPr>
                </w:pPr>
                <w:r>
                  <w:rPr>
                    <w:szCs w:val="24"/>
                  </w:rPr>
                  <w:t>R-12-001-01-02-01-04</w:t>
                </w:r>
              </w:p>
              <w:p>
                <w:pPr>
                  <w:jc w:val="center"/>
                  <w:rPr>
                    <w:color w:val="000000"/>
                    <w:szCs w:val="24"/>
                    <w:lang w:eastAsia="lt-LT"/>
                  </w:rPr>
                </w:pPr>
                <w:r>
                  <w:rPr>
                    <w:color w:val="000000"/>
                    <w:szCs w:val="24"/>
                    <w:lang w:eastAsia="lt-LT"/>
                  </w:rPr>
                  <w:t>R.B.2.2006</w:t>
                </w:r>
              </w:p>
            </w:tc>
            <w:tc>
              <w:tcPr>
                <w:tcW w:w="3688" w:type="dxa"/>
                <w:vAlign w:val="center"/>
              </w:tcPr>
              <w:p>
                <w:pPr>
                  <w:jc w:val="center"/>
                  <w:rPr>
                    <w:i/>
                    <w:iCs/>
                    <w:szCs w:val="24"/>
                  </w:rPr>
                </w:pPr>
                <w:r>
                  <w:rPr>
                    <w:color w:val="000000"/>
                    <w:szCs w:val="24"/>
                    <w:shd w:val="clear" w:color="auto" w:fill="FFFFFF"/>
                  </w:rPr>
                  <w:t>Patentų paraiškos</w:t>
                </w:r>
              </w:p>
            </w:tc>
            <w:tc>
              <w:tcPr>
                <w:tcW w:w="3688" w:type="dxa"/>
                <w:vAlign w:val="center"/>
              </w:tcPr>
              <w:p>
                <w:pPr>
                  <w:jc w:val="center"/>
                  <w:rPr>
                    <w:szCs w:val="24"/>
                  </w:rPr>
                </w:pPr>
                <w:r>
                  <w:rPr>
                    <w:szCs w:val="24"/>
                  </w:rPr>
                  <w:t>11</w:t>
                </w:r>
              </w:p>
            </w:tc>
          </w:tr>
          <w:tr>
            <w:trPr>
              <w:trHeight w:val="725"/>
            </w:trPr>
            <w:tc>
              <w:tcPr>
                <w:tcW w:w="3688" w:type="dxa"/>
                <w:vAlign w:val="center"/>
              </w:tcPr>
              <w:p>
                <w:pPr>
                  <w:jc w:val="center"/>
                  <w:rPr>
                    <w:i/>
                    <w:iCs/>
                    <w:szCs w:val="24"/>
                  </w:rPr>
                </w:pPr>
                <w:r>
                  <w:rPr>
                    <w:szCs w:val="24"/>
                  </w:rPr>
                  <w:t>Remiamų projektų leidiniai</w:t>
                </w:r>
              </w:p>
            </w:tc>
            <w:tc>
              <w:tcPr>
                <w:tcW w:w="3688" w:type="dxa"/>
                <w:vAlign w:val="center"/>
              </w:tcPr>
              <w:p>
                <w:pPr>
                  <w:jc w:val="center"/>
                  <w:rPr>
                    <w:szCs w:val="24"/>
                  </w:rPr>
                </w:pPr>
                <w:r>
                  <w:rPr>
                    <w:szCs w:val="24"/>
                  </w:rPr>
                  <w:t>R-12-001-01-02-01-05</w:t>
                </w:r>
              </w:p>
              <w:p>
                <w:pPr>
                  <w:jc w:val="center"/>
                  <w:rPr>
                    <w:color w:val="000000"/>
                    <w:szCs w:val="24"/>
                    <w:lang w:eastAsia="lt-LT"/>
                  </w:rPr>
                </w:pPr>
                <w:r>
                  <w:rPr>
                    <w:color w:val="000000"/>
                    <w:szCs w:val="24"/>
                    <w:lang w:eastAsia="lt-LT"/>
                  </w:rPr>
                  <w:t>R.B.2.2008</w:t>
                </w:r>
              </w:p>
            </w:tc>
            <w:tc>
              <w:tcPr>
                <w:tcW w:w="3688" w:type="dxa"/>
                <w:vAlign w:val="center"/>
              </w:tcPr>
              <w:p>
                <w:pPr>
                  <w:jc w:val="center"/>
                  <w:rPr>
                    <w:i/>
                    <w:iCs/>
                    <w:szCs w:val="24"/>
                  </w:rPr>
                </w:pPr>
                <w:r>
                  <w:rPr>
                    <w:szCs w:val="24"/>
                  </w:rPr>
                  <w:t>Leidiniai</w:t>
                </w:r>
              </w:p>
            </w:tc>
            <w:tc>
              <w:tcPr>
                <w:tcW w:w="3688" w:type="dxa"/>
                <w:vAlign w:val="center"/>
              </w:tcPr>
              <w:p>
                <w:pPr>
                  <w:jc w:val="center"/>
                  <w:rPr>
                    <w:szCs w:val="24"/>
                  </w:rPr>
                </w:pPr>
                <w:r>
                  <w:rPr>
                    <w:szCs w:val="24"/>
                  </w:rPr>
                  <w:t>18</w:t>
                </w:r>
              </w:p>
            </w:tc>
          </w:tr>
          <w:tr>
            <w:trPr>
              <w:trHeight w:val="725"/>
            </w:trPr>
            <w:tc>
              <w:tcPr>
                <w:tcW w:w="3688" w:type="dxa"/>
                <w:vAlign w:val="center"/>
              </w:tcPr>
              <w:p>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688" w:type="dxa"/>
                <w:vAlign w:val="center"/>
              </w:tcPr>
              <w:p>
                <w:pPr>
                  <w:jc w:val="center"/>
                  <w:rPr>
                    <w:szCs w:val="24"/>
                  </w:rPr>
                </w:pPr>
                <w:r>
                  <w:rPr>
                    <w:szCs w:val="24"/>
                  </w:rPr>
                  <w:t>R-12-001-01-02-01-06</w:t>
                </w:r>
              </w:p>
              <w:p>
                <w:pPr>
                  <w:jc w:val="center"/>
                  <w:rPr>
                    <w:szCs w:val="24"/>
                  </w:rPr>
                </w:pPr>
                <w:r>
                  <w:rPr>
                    <w:color w:val="000000"/>
                    <w:szCs w:val="24"/>
                    <w:lang w:eastAsia="lt-LT"/>
                  </w:rPr>
                  <w:t>R.S.2.3002</w:t>
                </w:r>
              </w:p>
            </w:tc>
            <w:tc>
              <w:tcPr>
                <w:tcW w:w="3688" w:type="dxa"/>
                <w:vAlign w:val="center"/>
              </w:tcPr>
              <w:p>
                <w:pPr>
                  <w:jc w:val="center"/>
                  <w:rPr>
                    <w:szCs w:val="24"/>
                  </w:rPr>
                </w:pPr>
                <w:r>
                  <w:rPr>
                    <w:szCs w:val="24"/>
                  </w:rPr>
                  <w:t>Skaičius</w:t>
                </w:r>
              </w:p>
            </w:tc>
            <w:tc>
              <w:tcPr>
                <w:tcW w:w="3688" w:type="dxa"/>
                <w:vAlign w:val="center"/>
              </w:tcPr>
              <w:p>
                <w:pPr>
                  <w:jc w:val="center"/>
                  <w:rPr>
                    <w:szCs w:val="24"/>
                  </w:rPr>
                </w:pPr>
                <w:r>
                  <w:rPr>
                    <w:szCs w:val="24"/>
                  </w:rPr>
                  <w:t>22</w:t>
                </w:r>
              </w:p>
            </w:tc>
          </w:tr>
        </w:tbl>
        <w:p>
          <w:pPr>
            <w:jc w:val="both"/>
            <w:rPr>
              <w:szCs w:val="24"/>
            </w:rPr>
          </w:pPr>
          <w:r>
            <w:rPr>
              <w:szCs w:val="24"/>
            </w:rPr>
            <w:t>Įgyvendinant poveiklę „2.2.2. Didinti mokslo tarptautiškumo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688" w:type="dxa"/>
                <w:shd w:val="clear" w:color="auto" w:fill="auto"/>
                <w:vAlign w:val="center"/>
              </w:tcPr>
              <w:p>
                <w:pPr>
                  <w:jc w:val="center"/>
                  <w:rPr>
                    <w:szCs w:val="24"/>
                  </w:rPr>
                </w:pPr>
                <w:r>
                  <w:rPr>
                    <w:szCs w:val="24"/>
                  </w:rPr>
                  <w:t>Siektina reikšmė</w:t>
                </w:r>
              </w:p>
            </w:tc>
          </w:tr>
          <w:tr>
            <w:trPr>
              <w:trHeight w:val="725"/>
            </w:trPr>
            <w:tc>
              <w:tcPr>
                <w:tcW w:w="3688" w:type="dxa"/>
                <w:vAlign w:val="center"/>
              </w:tcPr>
              <w:p>
                <w:pPr>
                  <w:jc w:val="center"/>
                  <w:rPr>
                    <w:i/>
                    <w:iCs/>
                    <w:szCs w:val="24"/>
                  </w:rPr>
                </w:pPr>
                <w:r>
                  <w:rPr>
                    <w:szCs w:val="24"/>
                  </w:rPr>
                  <w:t>Paramą gavusiose mokslinių tyrimų įstaigose dirbantys mokslininkai</w:t>
                </w:r>
              </w:p>
            </w:tc>
            <w:tc>
              <w:tcPr>
                <w:tcW w:w="3688" w:type="dxa"/>
                <w:vAlign w:val="center"/>
              </w:tcPr>
              <w:p>
                <w:pPr>
                  <w:jc w:val="center"/>
                  <w:rPr>
                    <w:szCs w:val="24"/>
                  </w:rPr>
                </w:pPr>
                <w:r>
                  <w:rPr>
                    <w:szCs w:val="24"/>
                  </w:rPr>
                  <w:t>P-12-001-01-02-01-01</w:t>
                </w:r>
              </w:p>
              <w:p>
                <w:pPr>
                  <w:jc w:val="center"/>
                  <w:rPr>
                    <w:szCs w:val="24"/>
                  </w:rPr>
                </w:pPr>
                <w:r>
                  <w:rPr>
                    <w:color w:val="000000"/>
                    <w:szCs w:val="24"/>
                    <w:lang w:eastAsia="lt-LT"/>
                  </w:rPr>
                  <w:t>P.B.2.0006</w:t>
                </w:r>
              </w:p>
            </w:tc>
            <w:tc>
              <w:tcPr>
                <w:tcW w:w="3688" w:type="dxa"/>
                <w:vAlign w:val="center"/>
              </w:tcPr>
              <w:p>
                <w:pPr>
                  <w:jc w:val="center"/>
                  <w:rPr>
                    <w:szCs w:val="24"/>
                  </w:rPr>
                </w:pPr>
                <w:r>
                  <w:rPr>
                    <w:szCs w:val="24"/>
                  </w:rPr>
                  <w:t>Vienų metų etato ekvivalentai</w:t>
                </w:r>
              </w:p>
            </w:tc>
            <w:tc>
              <w:tcPr>
                <w:tcW w:w="3688" w:type="dxa"/>
                <w:vAlign w:val="center"/>
              </w:tcPr>
              <w:p>
                <w:pPr>
                  <w:jc w:val="center"/>
                  <w:rPr>
                    <w:szCs w:val="24"/>
                  </w:rPr>
                </w:pPr>
                <w:r>
                  <w:rPr>
                    <w:szCs w:val="24"/>
                  </w:rPr>
                  <w:t>40</w:t>
                </w:r>
              </w:p>
            </w:tc>
          </w:tr>
          <w:tr>
            <w:trPr>
              <w:trHeight w:val="725"/>
            </w:trPr>
            <w:tc>
              <w:tcPr>
                <w:tcW w:w="3688" w:type="dxa"/>
                <w:vAlign w:val="center"/>
              </w:tcPr>
              <w:p>
                <w:pPr>
                  <w:jc w:val="center"/>
                  <w:rPr>
                    <w:i/>
                    <w:iCs/>
                    <w:szCs w:val="24"/>
                  </w:rPr>
                </w:pPr>
                <w:r>
                  <w:rPr>
                    <w:szCs w:val="24"/>
                  </w:rPr>
                  <w:t>Pateiktos patentų paraiškos</w:t>
                </w:r>
              </w:p>
            </w:tc>
            <w:tc>
              <w:tcPr>
                <w:tcW w:w="3688" w:type="dxa"/>
                <w:vAlign w:val="center"/>
              </w:tcPr>
              <w:p>
                <w:pPr>
                  <w:jc w:val="center"/>
                  <w:rPr>
                    <w:szCs w:val="24"/>
                  </w:rPr>
                </w:pPr>
                <w:r>
                  <w:rPr>
                    <w:szCs w:val="24"/>
                  </w:rPr>
                  <w:t>R-12-001-01-02-01-04</w:t>
                </w:r>
              </w:p>
              <w:p>
                <w:pPr>
                  <w:jc w:val="center"/>
                  <w:rPr>
                    <w:color w:val="000000"/>
                    <w:szCs w:val="24"/>
                    <w:lang w:eastAsia="lt-LT"/>
                  </w:rPr>
                </w:pPr>
                <w:r>
                  <w:rPr>
                    <w:color w:val="000000"/>
                    <w:szCs w:val="24"/>
                    <w:lang w:eastAsia="lt-LT"/>
                  </w:rPr>
                  <w:t>R.B.2.2006</w:t>
                </w:r>
              </w:p>
            </w:tc>
            <w:tc>
              <w:tcPr>
                <w:tcW w:w="3688" w:type="dxa"/>
                <w:vAlign w:val="center"/>
              </w:tcPr>
              <w:p>
                <w:pPr>
                  <w:jc w:val="center"/>
                  <w:rPr>
                    <w:i/>
                    <w:iCs/>
                    <w:szCs w:val="24"/>
                  </w:rPr>
                </w:pPr>
                <w:r>
                  <w:rPr>
                    <w:color w:val="000000"/>
                    <w:szCs w:val="24"/>
                    <w:shd w:val="clear" w:color="auto" w:fill="FFFFFF"/>
                  </w:rPr>
                  <w:t>Patentų paraiškos </w:t>
                </w:r>
              </w:p>
            </w:tc>
            <w:tc>
              <w:tcPr>
                <w:tcW w:w="3688" w:type="dxa"/>
                <w:vAlign w:val="center"/>
              </w:tcPr>
              <w:p>
                <w:pPr>
                  <w:jc w:val="center"/>
                  <w:rPr>
                    <w:szCs w:val="24"/>
                  </w:rPr>
                </w:pPr>
                <w:r>
                  <w:rPr>
                    <w:szCs w:val="24"/>
                  </w:rPr>
                  <w:t>7</w:t>
                </w:r>
              </w:p>
            </w:tc>
          </w:tr>
          <w:tr>
            <w:trPr>
              <w:trHeight w:val="725"/>
            </w:trPr>
            <w:tc>
              <w:tcPr>
                <w:tcW w:w="3688" w:type="dxa"/>
                <w:vAlign w:val="center"/>
              </w:tcPr>
              <w:p>
                <w:pPr>
                  <w:jc w:val="center"/>
                  <w:rPr>
                    <w:i/>
                    <w:iCs/>
                    <w:szCs w:val="24"/>
                  </w:rPr>
                </w:pPr>
                <w:r>
                  <w:rPr>
                    <w:szCs w:val="24"/>
                  </w:rPr>
                  <w:t>Remiamų projektų leidiniai</w:t>
                </w:r>
                <w:r>
                  <w:rPr>
                    <w:strike/>
                    <w:szCs w:val="24"/>
                  </w:rPr>
                  <w:t xml:space="preserve"> </w:t>
                </w:r>
              </w:p>
            </w:tc>
            <w:tc>
              <w:tcPr>
                <w:tcW w:w="3688" w:type="dxa"/>
                <w:vAlign w:val="center"/>
              </w:tcPr>
              <w:p>
                <w:pPr>
                  <w:jc w:val="center"/>
                  <w:rPr>
                    <w:szCs w:val="24"/>
                  </w:rPr>
                </w:pPr>
                <w:r>
                  <w:rPr>
                    <w:szCs w:val="24"/>
                  </w:rPr>
                  <w:t>R-12-001-01-02-01-05</w:t>
                </w:r>
              </w:p>
              <w:p>
                <w:pPr>
                  <w:jc w:val="center"/>
                  <w:rPr>
                    <w:color w:val="000000"/>
                    <w:szCs w:val="24"/>
                    <w:lang w:eastAsia="lt-LT"/>
                  </w:rPr>
                </w:pPr>
                <w:r>
                  <w:rPr>
                    <w:color w:val="000000"/>
                    <w:szCs w:val="24"/>
                    <w:lang w:eastAsia="lt-LT"/>
                  </w:rPr>
                  <w:t>R.B.2.2008</w:t>
                </w:r>
              </w:p>
            </w:tc>
            <w:tc>
              <w:tcPr>
                <w:tcW w:w="3688" w:type="dxa"/>
                <w:vAlign w:val="center"/>
              </w:tcPr>
              <w:p>
                <w:pPr>
                  <w:jc w:val="center"/>
                  <w:rPr>
                    <w:i/>
                    <w:iCs/>
                    <w:szCs w:val="24"/>
                  </w:rPr>
                </w:pPr>
                <w:r>
                  <w:rPr>
                    <w:szCs w:val="24"/>
                  </w:rPr>
                  <w:t>Leidiniai</w:t>
                </w:r>
              </w:p>
            </w:tc>
            <w:tc>
              <w:tcPr>
                <w:tcW w:w="3688" w:type="dxa"/>
                <w:vAlign w:val="center"/>
              </w:tcPr>
              <w:p>
                <w:pPr>
                  <w:jc w:val="center"/>
                  <w:rPr>
                    <w:szCs w:val="24"/>
                  </w:rPr>
                </w:pPr>
                <w:r>
                  <w:rPr>
                    <w:szCs w:val="24"/>
                  </w:rPr>
                  <w:t>12</w:t>
                </w:r>
              </w:p>
            </w:tc>
          </w:tr>
          <w:tr>
            <w:trPr>
              <w:trHeight w:val="725"/>
            </w:trPr>
            <w:tc>
              <w:tcPr>
                <w:tcW w:w="3688" w:type="dxa"/>
                <w:vAlign w:val="center"/>
              </w:tcPr>
              <w:p>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688" w:type="dxa"/>
                <w:vAlign w:val="center"/>
              </w:tcPr>
              <w:p>
                <w:pPr>
                  <w:jc w:val="center"/>
                  <w:rPr>
                    <w:szCs w:val="24"/>
                  </w:rPr>
                </w:pPr>
                <w:r>
                  <w:rPr>
                    <w:szCs w:val="24"/>
                  </w:rPr>
                  <w:t>R-12-001-01-02-01-06</w:t>
                </w:r>
              </w:p>
              <w:p>
                <w:pPr>
                  <w:jc w:val="center"/>
                  <w:rPr>
                    <w:szCs w:val="24"/>
                  </w:rPr>
                </w:pPr>
                <w:r>
                  <w:rPr>
                    <w:color w:val="000000"/>
                    <w:szCs w:val="24"/>
                    <w:lang w:eastAsia="lt-LT"/>
                  </w:rPr>
                  <w:t>R.S.2.3002</w:t>
                </w:r>
              </w:p>
            </w:tc>
            <w:tc>
              <w:tcPr>
                <w:tcW w:w="3688" w:type="dxa"/>
                <w:vAlign w:val="center"/>
              </w:tcPr>
              <w:p>
                <w:pPr>
                  <w:jc w:val="center"/>
                  <w:rPr>
                    <w:szCs w:val="24"/>
                  </w:rPr>
                </w:pPr>
                <w:r>
                  <w:rPr>
                    <w:szCs w:val="24"/>
                  </w:rPr>
                  <w:t>Skaičius</w:t>
                </w:r>
              </w:p>
            </w:tc>
            <w:tc>
              <w:tcPr>
                <w:tcW w:w="3688" w:type="dxa"/>
                <w:vAlign w:val="center"/>
              </w:tcPr>
              <w:p>
                <w:pPr>
                  <w:jc w:val="center"/>
                  <w:rPr>
                    <w:szCs w:val="24"/>
                  </w:rPr>
                </w:pPr>
                <w:r>
                  <w:rPr>
                    <w:szCs w:val="24"/>
                  </w:rPr>
                  <w:t>14</w:t>
                </w:r>
              </w:p>
            </w:tc>
          </w:tr>
        </w:tbl>
        <w:p>
          <w:pPr>
            <w:jc w:val="both"/>
            <w:rPr>
              <w:szCs w:val="24"/>
            </w:rPr>
          </w:pPr>
        </w:p>
        <w:p>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bCs/>
                    <w:szCs w:val="24"/>
                  </w:rPr>
                </w:pPr>
                <w:r>
                  <w:rPr>
                    <w:b/>
                    <w:bCs/>
                    <w:szCs w:val="24"/>
                  </w:rPr>
                  <w:t>SPECIALIEJI FINANSAVIMO REIKALAVIMAI</w:t>
                </w:r>
              </w:p>
            </w:tc>
          </w:tr>
          <w:tr>
            <w:tc>
              <w:tcPr>
                <w:tcW w:w="14709" w:type="dxa"/>
              </w:tcPr>
              <w:p>
                <w:pPr>
                  <w:rPr>
                    <w:b/>
                    <w:bCs/>
                    <w:szCs w:val="24"/>
                  </w:rPr>
                </w:pPr>
                <w:r>
                  <w:rPr>
                    <w:b/>
                    <w:bCs/>
                    <w:szCs w:val="24"/>
                  </w:rPr>
                  <w:t>1. Taikomi teisės aktai</w:t>
                </w:r>
              </w:p>
            </w:tc>
          </w:tr>
          <w:tr>
            <w:trPr>
              <w:trHeight w:val="3676"/>
            </w:trPr>
            <w:tc>
              <w:tcPr>
                <w:tcW w:w="14709" w:type="dxa"/>
              </w:tcPr>
              <w:p>
                <w:pPr>
                  <w:spacing w:line="257" w:lineRule="auto"/>
                  <w:jc w:val="both"/>
                  <w:rPr>
                    <w:szCs w:val="24"/>
                  </w:rPr>
                </w:pPr>
                <w:r>
                  <w:rPr>
                    <w:szCs w:val="24"/>
                  </w:rPr>
                  <w:t xml:space="preserve">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projektų finansavimo sąlygų aprašą Nr. 11 (toliau – Aprašas):</w:t>
                </w:r>
              </w:p>
              <w:p>
                <w:pPr>
                  <w:jc w:val="both"/>
                  <w:rPr>
                    <w:szCs w:val="24"/>
                  </w:rPr>
                </w:pPr>
                <w:r>
                  <w:rPr>
                    <w:szCs w:val="24"/>
                  </w:rPr>
                  <w:t>1.1. Aštuonioliktosios Lietuvos Respublikos Vyriausybės programa, kuriai pritarta Lietuvos Respublikos Seimo 2020 m. gruodžio 11 d. nutarimu Nr. XIV-72 „Dėl Aštuonioliktosios Lietuvos Respublikos Vyriausybės programos“;</w:t>
                </w:r>
              </w:p>
              <w:p>
                <w:pPr>
                  <w:jc w:val="both"/>
                  <w:rPr>
                    <w:szCs w:val="24"/>
                  </w:rPr>
                </w:pPr>
                <w:r>
                  <w:rPr>
                    <w:szCs w:val="24"/>
                  </w:rPr>
                  <w:t xml:space="preserve">1.2.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pPr>
                  <w:jc w:val="both"/>
                  <w:rPr>
                    <w:szCs w:val="24"/>
                  </w:rPr>
                </w:pPr>
                <w:r>
                  <w:rPr>
                    <w:szCs w:val="24"/>
                  </w:rPr>
                  <w:t xml:space="preserve">1.3. </w:t>
                </w:r>
                <w:r>
                  <w:rPr>
                    <w:shd w:val="clear" w:color="auto" w:fill="FFFFFF"/>
                  </w:rPr>
                  <w:t xml:space="preserve">2022–2030 m. plėtros programos valdytojos Lietuvos Respublikos švietimo, mokslo ir sporto ministerijos mokslo plėtros programos </w:t>
                </w:r>
                <w:r>
                  <w:t xml:space="preserve">pažangos priemonės Nr. 12-001-01-02-01 „Stiprinti inovacijų ekosistemas mokslo centruose“ aprašas, patvirtintas </w:t>
                </w:r>
                <w:r>
                  <w:rPr>
                    <w:shd w:val="clear" w:color="auto" w:fill="FFFFFF"/>
                  </w:rPr>
                  <w:t xml:space="preserve">Lietuvos Respublikos švietimo, mokslo ir sporto ministro </w:t>
                </w:r>
                <w:r>
                  <w:rPr>
                    <w:szCs w:val="24"/>
                  </w:rPr>
                  <w:t xml:space="preserve"> </w:t>
                </w:r>
                <w:r>
                  <w:t xml:space="preserve">2022 m. rugpjūčio 17 d. įsakymu Nr. V-1250 </w:t>
                </w:r>
                <w:r>
                  <w:rPr>
                    <w:iCs/>
                  </w:rPr>
                  <w:t>„Dėl 2022–2030 m. plėtros programos valdytojos Lietuvos Respublikos švietimo, mokslo ir sporto ministerijos mokslo plėtros programos pažangos priemonės Nr. 12-001-01-02-01 „Stiprinti inovacijų ekosistemas mokslo centruose“ aprašo patvirtinimo“</w:t>
                </w:r>
                <w:r>
                  <w:t>;</w:t>
                </w:r>
              </w:p>
              <w:p>
                <w:pPr>
                  <w:jc w:val="both"/>
                  <w:rPr>
                    <w:szCs w:val="24"/>
                  </w:rPr>
                </w:pPr>
                <w:r>
                  <w:rPr>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szCs w:val="24"/>
                  </w:rPr>
                </w:pPr>
                <w:r>
                  <w:rPr>
                    <w:szCs w:val="24"/>
                  </w:rPr>
                  <w:t>1.5.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jc w:val="both"/>
                  <w:rPr>
                    <w:szCs w:val="24"/>
                  </w:rPr>
                </w:pPr>
                <w:r>
                  <w:rPr>
                    <w:szCs w:val="24"/>
                  </w:rPr>
                  <w:t>1.6. Lietuvos Respublikos mokslo ir studijų įstatymas;</w:t>
                </w:r>
              </w:p>
              <w:p>
                <w:pPr>
                  <w:jc w:val="both"/>
                  <w:rPr>
                    <w:szCs w:val="24"/>
                  </w:rPr>
                </w:pPr>
                <w:r>
                  <w:rPr>
                    <w:iCs/>
                    <w:szCs w:val="24"/>
                  </w:rPr>
                  <w:t>1.7. Lietuvos Respublikos smulkaus ir vidutinio verslo įstatymas;</w:t>
                </w:r>
              </w:p>
              <w:p>
                <w:pPr>
                  <w:jc w:val="both"/>
                  <w:rPr>
                    <w:szCs w:val="24"/>
                    <w:lang w:eastAsia="lt-LT"/>
                  </w:rPr>
                </w:pPr>
                <w:r>
                  <w:rPr>
                    <w:szCs w:val="24"/>
                    <w:lang w:eastAsia="lt-LT"/>
                  </w:rPr>
                  <w:t xml:space="preserve">1.8. 2014 m. birželio 17 d. Komisijos reglamentas (ES) Nr. 651/2014, kuriuo tam tikrų kategorijų pagalba skelbiama suderinama su vidaus rinka taikant Sutarties 107 ir 108 straipsnius, </w:t>
                </w:r>
                <w:r>
                  <w:rPr>
                    <w:iCs/>
                    <w:szCs w:val="24"/>
                  </w:rPr>
                  <w:t>su visais pakeitimais</w:t>
                </w:r>
                <w:r>
                  <w:rPr>
                    <w:szCs w:val="24"/>
                    <w:lang w:eastAsia="lt-LT"/>
                  </w:rPr>
                  <w:t xml:space="preserve"> (toliau – BBIR);</w:t>
                </w:r>
              </w:p>
              <w:p>
                <w:pPr>
                  <w:jc w:val="both"/>
                  <w:rPr>
                    <w:iCs/>
                    <w:szCs w:val="24"/>
                  </w:rPr>
                </w:pPr>
                <w:r>
                  <w:rPr>
                    <w:szCs w:val="24"/>
                    <w:lang w:eastAsia="lt-LT"/>
                  </w:rPr>
                  <w:t xml:space="preserve">1.9. </w:t>
                </w:r>
                <w:r>
                  <w:rPr>
                    <w:iCs/>
                    <w:szCs w:val="24"/>
                  </w:rPr>
                  <w:t>Europos Komisijos komunikatas „Valstybės pagalbos moksliniams tyrimams, plėtrai ir inovacijoms sistema“ (2022/C 414/01) (toliau – Komunikatas);</w:t>
                </w:r>
              </w:p>
              <w:p>
                <w:pPr>
                  <w:jc w:val="both"/>
                  <w:rPr>
                    <w:szCs w:val="24"/>
                    <w:lang w:eastAsia="lt-LT"/>
                  </w:rPr>
                </w:pPr>
                <w:r>
                  <w:rPr>
                    <w:szCs w:val="24"/>
                    <w:lang w:eastAsia="lt-LT"/>
                  </w:rPr>
                  <w:t xml:space="preserve">1.10. Projektų, įgyvendinamų pagal 2022–2030 metų plėtros programos valdytojos Lietuvos Respublikos švietimo, mokslo ir sporto ministerijos mokslo plėtros programos bei švietimo plėtros programos pažangos priemones, partnerių atrankos taisyklės, patvirtintos </w:t>
                </w:r>
                <w:r>
                  <w:rPr>
                    <w:iCs/>
                    <w:szCs w:val="24"/>
                    <w:lang w:eastAsia="lt-LT"/>
                  </w:rPr>
                  <w:t xml:space="preserve">Lietuvos mokslo tarybos pirmininko 2023 m. balandžio 5 d. įsakymu Nr. V-186 „Dėl </w:t>
                </w:r>
                <w:r>
                  <w:rPr>
                    <w:szCs w:val="24"/>
                    <w:lang w:eastAsia="lt-LT"/>
                  </w:rPr>
                  <w:t>Projektų, įgyvendinamų pagal 2022–2030 metų plėtros programos valdytojos Lietuvos Respublikos švietimo, mokslo ir sporto ministerijos mokslo plėtros programos bei švietimo plėtros programos pažangos priemones, partnerių atrankos taisyklių patvirtinimo“</w:t>
                </w:r>
                <w:r>
                  <w:rPr>
                    <w:iCs/>
                    <w:szCs w:val="24"/>
                    <w:lang w:eastAsia="lt-LT"/>
                  </w:rPr>
                  <w:t xml:space="preserve"> </w:t>
                </w:r>
                <w:r>
                  <w:rPr>
                    <w:szCs w:val="24"/>
                    <w:lang w:eastAsia="lt-LT"/>
                  </w:rPr>
                  <w:t>(toliau – Projektų atrankos tvarkos aprašas);</w:t>
                </w:r>
              </w:p>
              <w:p>
                <w:pPr>
                  <w:jc w:val="both"/>
                  <w:rPr>
                    <w:szCs w:val="24"/>
                    <w:lang w:eastAsia="lt-LT"/>
                  </w:rPr>
                </w:pPr>
                <w:r>
                  <w:rPr>
                    <w:szCs w:val="24"/>
                    <w:lang w:eastAsia="lt-LT"/>
                  </w:rPr>
                  <w:t>1.11. Rekomenduojamų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pPr>
                  <w:jc w:val="both"/>
                  <w:rPr>
                    <w:szCs w:val="24"/>
                    <w:lang w:eastAsia="lt-LT"/>
                  </w:rPr>
                </w:pPr>
                <w:r>
                  <w:rPr>
                    <w:szCs w:val="24"/>
                    <w:lang w:eastAsia="lt-LT"/>
                  </w:rPr>
                  <w:t>Apraše vartojamos sąvokos:</w:t>
                </w:r>
              </w:p>
              <w:p>
                <w:pPr>
                  <w:ind w:firstLine="62"/>
                  <w:jc w:val="both"/>
                  <w:rPr>
                    <w:szCs w:val="24"/>
                    <w:lang w:eastAsia="lt-LT"/>
                  </w:rPr>
                </w:pPr>
                <w:r>
                  <w:rPr>
                    <w:b/>
                    <w:bCs/>
                    <w:szCs w:val="24"/>
                    <w:lang w:eastAsia="lt-LT"/>
                  </w:rPr>
                  <w:t>„Eureka“</w:t>
                </w:r>
                <w:r>
                  <w:rPr>
                    <w:szCs w:val="24"/>
                    <w:lang w:eastAsia="lt-LT"/>
                  </w:rPr>
                  <w:t xml:space="preserve"> </w:t>
                </w:r>
                <w:r>
                  <w:rPr>
                    <w:b/>
                    <w:bCs/>
                    <w:szCs w:val="24"/>
                    <w:lang w:eastAsia="lt-LT"/>
                  </w:rPr>
                  <w:t xml:space="preserve">bendradarbiavimo projektas </w:t>
                </w:r>
                <w:r>
                  <w:rPr>
                    <w:szCs w:val="24"/>
                    <w:lang w:eastAsia="lt-LT"/>
                  </w:rPr>
                  <w:t>– tai projektas, įgyvendinamas pagal Europos mokslinių tyrimų, eksperimentinės plėtros ir bendradarbiavimo programos „Eureka“ (toliau – „Eureka“ programa, „Eureka“) bendradarbiavimo priemonę, kuri yra tarpvalstybinė, į rinką orientuota priemonė mokslinių tyrimų ir eksperimentinės plėtros (toliau – MTEP) projektams įgyvendinti.</w:t>
                </w:r>
              </w:p>
              <w:p>
                <w:pPr>
                  <w:ind w:firstLine="62"/>
                  <w:jc w:val="both"/>
                  <w:rPr>
                    <w:szCs w:val="24"/>
                    <w:lang w:eastAsia="lt-LT"/>
                  </w:rPr>
                </w:pPr>
                <w:r>
                  <w:rPr>
                    <w:b/>
                    <w:bCs/>
                    <w:szCs w:val="24"/>
                    <w:lang w:eastAsia="lt-LT"/>
                  </w:rPr>
                  <w:t>„Eureka“ klasterių projektas</w:t>
                </w:r>
                <w:r>
                  <w:rPr>
                    <w:szCs w:val="24"/>
                    <w:lang w:eastAsia="lt-LT"/>
                  </w:rPr>
                  <w:t xml:space="preserve"> – tai projektas, įgyvendinamas pagal programos „Eureka“ klasterių priemonę, kuri yra ilgalaikė strateginės reikšmės iniciatyva ir kurios tikslas – sukurti pažangias technologijas Europos konkurencingumui didinti.</w:t>
                </w:r>
              </w:p>
              <w:p>
                <w:pPr>
                  <w:ind w:firstLine="62"/>
                  <w:jc w:val="both"/>
                  <w:rPr>
                    <w:szCs w:val="24"/>
                    <w:lang w:eastAsia="lt-LT"/>
                  </w:rPr>
                </w:pPr>
                <w:r>
                  <w:rPr>
                    <w:b/>
                    <w:bCs/>
                    <w:szCs w:val="24"/>
                    <w:lang w:eastAsia="lt-LT"/>
                  </w:rPr>
                  <w:t>„Eureka“ projekto statusas</w:t>
                </w:r>
                <w:r>
                  <w:rPr>
                    <w:szCs w:val="24"/>
                    <w:lang w:eastAsia="lt-LT"/>
                  </w:rPr>
                  <w:t xml:space="preserve"> – programos „Eureka“ valstybių narių valstybių institucijų atstovų posėdyje arba „Eureka“ klasterio valdymo organo projektui suteiktas statusas. „Eureka“ projekto statuso suteikimo data laikoma valstybių institucijų atstovų posėdžio arba klasterio ženklo suteikimo data.</w:t>
                </w:r>
              </w:p>
              <w:p>
                <w:pPr>
                  <w:ind w:firstLine="62"/>
                  <w:jc w:val="both"/>
                  <w:rPr>
                    <w:szCs w:val="24"/>
                    <w:lang w:eastAsia="lt-LT"/>
                  </w:rPr>
                </w:pPr>
                <w:r>
                  <w:rPr>
                    <w:b/>
                    <w:bCs/>
                    <w:szCs w:val="24"/>
                    <w:lang w:eastAsia="lt-LT"/>
                  </w:rPr>
                  <w:t>Tarptautinis partneris</w:t>
                </w:r>
                <w:r>
                  <w:rPr>
                    <w:szCs w:val="24"/>
                    <w:lang w:eastAsia="lt-LT"/>
                  </w:rPr>
                  <w:t xml:space="preserve"> – Apraše suprantamas kaip partneris, priklausantis tarpvalstybiniam tinklui ir atitinkantis „Eureka“ programos reikalavimus, skelbiamus „Eureka“ programos svetainėje http://www.eurekanetwork.org.</w:t>
                </w:r>
              </w:p>
              <w:p>
                <w:pPr>
                  <w:jc w:val="both"/>
                  <w:rPr>
                    <w:szCs w:val="24"/>
                  </w:rPr>
                </w:pPr>
                <w:r>
                  <w:rPr>
                    <w:iCs/>
                    <w:szCs w:val="24"/>
                  </w:rPr>
                  <w:t xml:space="preserve">Kitos Apraše vartojamos sąvokos suprantamos taip, kaip jos apibrėžtos </w:t>
                </w:r>
                <w:r>
                  <w:rPr>
                    <w:szCs w:val="24"/>
                  </w:rPr>
                  <w:t xml:space="preserve">PAFT, </w:t>
                </w:r>
                <w:r>
                  <w:rPr>
                    <w:iCs/>
                    <w:szCs w:val="24"/>
                  </w:rPr>
                  <w:t>Lietuvos Respublikos mokslo ir studijų įstatyme ir anksčiau paminėtuose teisės aktuose.</w:t>
                </w:r>
                <w:r>
                  <w:rPr>
                    <w:szCs w:val="24"/>
                    <w:lang w:eastAsia="lt-LT"/>
                  </w:rPr>
                  <w:t xml:space="preserve"> </w:t>
                </w:r>
              </w:p>
            </w:tc>
          </w:tr>
          <w:tr>
            <w:tc>
              <w:tcPr>
                <w:tcW w:w="14709" w:type="dxa"/>
              </w:tcPr>
              <w:p>
                <w:pPr>
                  <w:rPr>
                    <w:b/>
                    <w:bCs/>
                    <w:szCs w:val="24"/>
                  </w:rPr>
                </w:pPr>
                <w:r>
                  <w:rPr>
                    <w:b/>
                    <w:bCs/>
                    <w:szCs w:val="24"/>
                  </w:rPr>
                  <w:t>2. Reikalavimai projektams</w:t>
                </w:r>
              </w:p>
            </w:tc>
          </w:tr>
          <w:tr>
            <w:tc>
              <w:tcPr>
                <w:tcW w:w="14709" w:type="dxa"/>
              </w:tcPr>
              <w:p>
                <w:pPr>
                  <w:tabs>
                    <w:tab w:val="left" w:pos="495"/>
                  </w:tabs>
                  <w:jc w:val="both"/>
                  <w:rPr>
                    <w:szCs w:val="24"/>
                  </w:rPr>
                </w:pPr>
                <w:r>
                  <w:rPr>
                    <w:szCs w:val="24"/>
                  </w:rPr>
                  <w:t>2.1. Galimas pareiškėjas – Lietuvos mokslo taryba (toliau – Pareiškėjas, Projekto vykdytojas).</w:t>
                </w:r>
              </w:p>
              <w:p>
                <w:pPr>
                  <w:jc w:val="both"/>
                  <w:rPr>
                    <w:szCs w:val="24"/>
                    <w:lang w:eastAsia="lt-LT"/>
                  </w:rPr>
                </w:pPr>
                <w:r>
                  <w:rPr>
                    <w:szCs w:val="24"/>
                    <w:lang w:eastAsia="lt-LT"/>
                  </w:rPr>
                  <w:t>2.2. Galimi projekto partneriai – mokslo ir studijų institucijos (toliau – MSI), įtrauktos į Atvirtos informavimo, konsultavimo ir orientavimo sistemos registrą (toliau – Partneriai).</w:t>
                </w:r>
              </w:p>
              <w:p>
                <w:pPr>
                  <w:jc w:val="both"/>
                  <w:rPr>
                    <w:szCs w:val="24"/>
                    <w:lang w:eastAsia="lt-LT"/>
                  </w:rPr>
                </w:pPr>
                <w:r>
                  <w:rPr>
                    <w:szCs w:val="24"/>
                    <w:lang w:eastAsia="lt-LT"/>
                  </w:rPr>
                  <w:t>2.3. Galimi Partnerio partneriai – mažos ir vidutinės įmonės (privaloma), MSI (toliau – Partnerio partneris).</w:t>
                </w:r>
              </w:p>
              <w:p>
                <w:pPr>
                  <w:jc w:val="both"/>
                  <w:rPr>
                    <w:szCs w:val="24"/>
                    <w:lang w:eastAsia="lt-LT"/>
                  </w:rPr>
                </w:pPr>
                <w:r>
                  <w:rPr>
                    <w:szCs w:val="24"/>
                    <w:lang w:eastAsia="lt-LT"/>
                  </w:rPr>
                  <w:t>2.4. Tikslinė grupė – MSI, mažos ir vidutinės įmonės.</w:t>
                </w:r>
              </w:p>
              <w:p>
                <w:pPr>
                  <w:jc w:val="both"/>
                  <w:rPr>
                    <w:szCs w:val="24"/>
                    <w:lang w:eastAsia="lt-LT"/>
                  </w:rPr>
                </w:pPr>
                <w:r>
                  <w:rPr>
                    <w:iCs/>
                    <w:szCs w:val="24"/>
                    <w:lang w:eastAsia="lt-LT"/>
                  </w:rPr>
                  <w:t>2.5. Pagal Aprašą teikiamo finansavimo forma – dotacija, p</w:t>
                </w:r>
                <w:r>
                  <w:rPr>
                    <w:szCs w:val="24"/>
                    <w:lang w:eastAsia="lt-LT"/>
                  </w:rPr>
                  <w:t>rojekto atrankos būdas – planavimas.</w:t>
                </w:r>
              </w:p>
              <w:p>
                <w:pPr>
                  <w:jc w:val="both"/>
                  <w:rPr>
                    <w:iCs/>
                    <w:szCs w:val="24"/>
                  </w:rPr>
                </w:pPr>
                <w:r>
                  <w:rPr>
                    <w:iCs/>
                    <w:szCs w:val="24"/>
                  </w:rPr>
                  <w:t xml:space="preserve">2.6. Pagal Aprašą remiamos veiklos: </w:t>
                </w:r>
              </w:p>
              <w:p>
                <w:pPr>
                  <w:jc w:val="both"/>
                  <w:rPr>
                    <w:iCs/>
                    <w:szCs w:val="24"/>
                  </w:rPr>
                </w:pPr>
                <w:r>
                  <w:rPr>
                    <w:iCs/>
                    <w:szCs w:val="24"/>
                  </w:rPr>
                  <w:t xml:space="preserve">2.6.1. </w:t>
                </w:r>
                <w:r>
                  <w:t xml:space="preserve">Partnerių kartu su Partnerio partneriais ir tarptautiniais partneriais vykdomi „Eureka“ bendradarbiavimo projektai ir „Eureka“ klasterių projektai (toliau – „Eureka“ projektai), turintys „Eureka“ projekto statusą, kuriais siekiama MSI skatinti MTEP rezultatų pagrindu kuriamų inovatyvių produktų plėtojimą versle nuo maketo (modelio) patikrinimo (5-asis MTEP etapas) iki sukurto naujo produkto įvertinimo (9-asis MTEP etapas) </w:t>
                </w:r>
                <w:r>
                  <w:rPr>
                    <w:color w:val="000000"/>
                  </w:rPr>
                  <w:t>, motyvuojant mokslo ir verslo tarptautinį bendradarbiavimą bei įsijungimą į programos „Eureka“ iniciatyvas;</w:t>
                </w:r>
              </w:p>
              <w:p>
                <w:pPr>
                  <w:jc w:val="both"/>
                </w:pPr>
                <w:r>
                  <w:rPr>
                    <w:iCs/>
                    <w:szCs w:val="24"/>
                  </w:rPr>
                  <w:t xml:space="preserve">2.6.2. </w:t>
                </w:r>
                <w:r>
                  <w:t xml:space="preserve">Pareiškėjo, Projekto vykdytojo „Eureka“ tinklaveikai skatinti skirtos veiklos (Partnerių pritraukimo ir paieškos veiklos); </w:t>
                </w:r>
                <w:r>
                  <w:rPr>
                    <w:color w:val="000000"/>
                  </w:rPr>
                  <w:t>žinių perdavimo pajėgumų stiprinimas (ekspertinės sesijos, grupiniai seminarai intelektinės nuosavybės, sertifikavimo ir kitomis aktualiomis temomis, MTEP produkto komercinio potencialo vertinimo veiklos); žinių komercinimo populiarinimo renginiai (</w:t>
                </w:r>
                <w:r>
                  <w:t>komunikacinės veiklos MSI sukurtiems MTEP produktams pristatyti, gerosios patirties dalinimasis ir kiti komunikacijos veiksmai).</w:t>
                </w:r>
              </w:p>
              <w:p>
                <w:pPr>
                  <w:jc w:val="both"/>
                  <w:rPr>
                    <w:color w:val="000000"/>
                  </w:rPr>
                </w:pPr>
                <w:r>
                  <w:rPr>
                    <w:color w:val="000000"/>
                  </w:rPr>
                  <w:t xml:space="preserve">2.7. Remiami taikomieji MTEP nuo 5-ojo MTEP etapo iki 9 MTEP etapo. </w:t>
                </w:r>
              </w:p>
              <w:p>
                <w:pPr>
                  <w:jc w:val="both"/>
                  <w:rPr>
                    <w:szCs w:val="24"/>
                    <w:lang w:eastAsia="lt-LT"/>
                  </w:rPr>
                </w:pPr>
                <w:r>
                  <w:rPr>
                    <w:szCs w:val="24"/>
                    <w:lang w:eastAsia="lt-LT"/>
                  </w:rPr>
                  <w:t>2.8. Partnerių projektų parengtumo reikalavimai:</w:t>
                </w:r>
              </w:p>
              <w:p>
                <w:pPr>
                  <w:jc w:val="both"/>
                  <w:rPr>
                    <w:color w:val="000000"/>
                  </w:rPr>
                </w:pPr>
                <w:r>
                  <w:rPr>
                    <w:szCs w:val="24"/>
                    <w:lang w:eastAsia="lt-LT"/>
                  </w:rPr>
                  <w:t xml:space="preserve">2.8.1. Partneris turi turėti </w:t>
                </w:r>
                <w:r>
                  <w:rPr>
                    <w:color w:val="000000"/>
                  </w:rPr>
                  <w:t>bent vieną tarptautinį partnerį, kuris turi savo valstybės pritarimą „Eureka“ projektiniam pasiūlymui;</w:t>
                </w:r>
              </w:p>
              <w:p>
                <w:pPr>
                  <w:jc w:val="both"/>
                  <w:rPr>
                    <w:szCs w:val="24"/>
                    <w:lang w:eastAsia="lt-LT"/>
                  </w:rPr>
                </w:pPr>
                <w:r>
                  <w:rPr>
                    <w:szCs w:val="24"/>
                    <w:lang w:eastAsia="lt-LT"/>
                  </w:rPr>
                  <w:t>2.8.2. Partneris turi turėti bent vieną Partnerio partnerį – mažą arba vidutinę įmonę;</w:t>
                </w:r>
              </w:p>
              <w:p>
                <w:pPr>
                  <w:jc w:val="both"/>
                  <w:rPr>
                    <w:szCs w:val="24"/>
                    <w:lang w:eastAsia="lt-LT"/>
                  </w:rPr>
                </w:pPr>
                <w:r>
                  <w:rPr>
                    <w:color w:val="000000"/>
                  </w:rPr>
                  <w:t xml:space="preserve">2.8.3. Partnerių vykdomas „Eureka“ projektas turi turėti „Eureka“ projekto statusą. </w:t>
                </w:r>
              </w:p>
              <w:p>
                <w:pPr>
                  <w:jc w:val="both"/>
                  <w:rPr>
                    <w:iCs/>
                    <w:szCs w:val="24"/>
                  </w:rPr>
                </w:pPr>
                <w:r>
                  <w:rPr>
                    <w:iCs/>
                    <w:szCs w:val="24"/>
                  </w:rPr>
                  <w:t>2.9. Pagal Aprašą projektams įgyvendinti skiriama iki 16 200 000 Eur (šešiolikos milijonų dviejų šimtų tūkstančių eurų). Iš kurių:</w:t>
                </w:r>
              </w:p>
              <w:p>
                <w:pPr>
                  <w:jc w:val="both"/>
                  <w:rPr>
                    <w:iCs/>
                    <w:szCs w:val="24"/>
                  </w:rPr>
                </w:pPr>
                <w:r>
                  <w:rPr>
                    <w:iCs/>
                    <w:szCs w:val="24"/>
                  </w:rPr>
                  <w:t xml:space="preserve">2.9.1. investicijos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tinklaveiką (pramoniniai tyrimai, eksperimentinė plėtra, galimybių studijos“ sudaro iki 13 499 410 Eur (trylikos milijonų keturių šimtų devyniasdešimt devynių tūkstančių keturių šimtų dešimt eurų), iš kurių:</w:t>
                </w:r>
              </w:p>
              <w:p>
                <w:pPr>
                  <w:jc w:val="both"/>
                  <w:rPr>
                    <w:iCs/>
                    <w:szCs w:val="24"/>
                  </w:rPr>
                </w:pPr>
                <w:r>
                  <w:rPr>
                    <w:iCs/>
                    <w:szCs w:val="24"/>
                  </w:rPr>
                  <w:t xml:space="preserve">- iki 7 459 182 Eur (septynių milijonų keturių šimtų penkiasdešimt devynių tūkstančių šimto aštuoniasdešimt dviejų eurų) </w:t>
                </w:r>
                <w:r>
                  <w:rPr>
                    <w:szCs w:val="24"/>
                  </w:rPr>
                  <w:t xml:space="preserve">Europos Sąjungos fondų </w:t>
                </w:r>
                <w:r>
                  <w:rPr>
                    <w:iCs/>
                    <w:szCs w:val="24"/>
                  </w:rPr>
                  <w:t xml:space="preserve">lėšų, iš kurių iki </w:t>
                </w:r>
                <w:r>
                  <w:rPr>
                    <w:color w:val="000000"/>
                    <w:szCs w:val="24"/>
                  </w:rPr>
                  <w:t>2 549 140</w:t>
                </w:r>
                <w:r>
                  <w:rPr>
                    <w:szCs w:val="24"/>
                  </w:rPr>
                  <w:t xml:space="preserve"> </w:t>
                </w:r>
                <w:r>
                  <w:rPr>
                    <w:iCs/>
                    <w:szCs w:val="24"/>
                  </w:rPr>
                  <w:t>Eur (dviejų milijonų penkių šimtų keturiasdešimt devynių tūkstančių šimto keturiasdešimt eurų) Sostinės regionui ir iki</w:t>
                </w:r>
                <w:r>
                  <w:rPr>
                    <w:szCs w:val="24"/>
                  </w:rPr>
                  <w:t xml:space="preserve"> </w:t>
                </w:r>
                <w:r>
                  <w:t>4 910 042 </w:t>
                </w:r>
                <w:r>
                  <w:rPr>
                    <w:iCs/>
                    <w:szCs w:val="24"/>
                  </w:rPr>
                  <w:t>Eur (keturių milijonų devynių šimtų dešimt tūkstančių keturiasdešimt dviejų eurų) Vidurio ir vakarų Lietuvos regionui;</w:t>
                </w:r>
              </w:p>
              <w:p>
                <w:pPr>
                  <w:jc w:val="both"/>
                  <w:rPr>
                    <w:iCs/>
                    <w:szCs w:val="24"/>
                  </w:rPr>
                </w:pPr>
                <w:r>
                  <w:rPr>
                    <w:iCs/>
                    <w:szCs w:val="24"/>
                  </w:rPr>
                  <w:t xml:space="preserve">- iki </w:t>
                </w:r>
                <w:r>
                  <w:t>6 040 228</w:t>
                </w:r>
                <w:r>
                  <w:rPr>
                    <w:color w:val="000000"/>
                    <w:szCs w:val="24"/>
                  </w:rPr>
                  <w:t xml:space="preserve"> </w:t>
                </w:r>
                <w:r>
                  <w:rPr>
                    <w:iCs/>
                    <w:szCs w:val="24"/>
                  </w:rPr>
                  <w:t>Eur (šešių milijonų keturiasdešimt tūkstančių dviejų šimtų dvidešimt aštuonių eurų) Europos Sąjungos bendrojo finansavimo lėšų Sostinės regionui;</w:t>
                </w:r>
              </w:p>
              <w:p>
                <w:pPr>
                  <w:jc w:val="both"/>
                  <w:rPr>
                    <w:iCs/>
                    <w:szCs w:val="24"/>
                  </w:rPr>
                </w:pPr>
                <w:r>
                  <w:rPr>
                    <w:iCs/>
                    <w:szCs w:val="24"/>
                  </w:rPr>
                  <w:t xml:space="preserve">2.9.2. investicijos pagal </w:t>
                </w:r>
                <w:r>
                  <w:rPr>
                    <w:color w:val="000000"/>
                    <w:szCs w:val="24"/>
                    <w:bdr w:val="none" w:sz="0" w:space="0" w:color="auto" w:frame="1"/>
                  </w:rPr>
                  <w:t xml:space="preserve">intervencinės priemonės sritį </w:t>
                </w:r>
                <w:r>
                  <w:rPr>
                    <w:iCs/>
                    <w:szCs w:val="24"/>
                  </w:rPr>
                  <w:t>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2 700 590 Eur (dviejų milijonų septynių šimtų tūkstančių penkių šimtų devyniasdešimt eurų), iš kurių:</w:t>
                </w:r>
              </w:p>
              <w:p>
                <w:pPr>
                  <w:jc w:val="both"/>
                  <w:rPr>
                    <w:iCs/>
                    <w:szCs w:val="24"/>
                  </w:rPr>
                </w:pPr>
                <w:r>
                  <w:rPr>
                    <w:iCs/>
                    <w:szCs w:val="24"/>
                  </w:rPr>
                  <w:t xml:space="preserve">- iki 2 135 274 Eur (dviejų milijonų šimto trisdešimt penkių tūkstančių dviejų šimtų septyniasdešimt keturių eurų) </w:t>
                </w:r>
                <w:r>
                  <w:rPr>
                    <w:szCs w:val="24"/>
                  </w:rPr>
                  <w:t xml:space="preserve">Europos Sąjungos fondų </w:t>
                </w:r>
                <w:r>
                  <w:rPr>
                    <w:iCs/>
                    <w:szCs w:val="24"/>
                  </w:rPr>
                  <w:t xml:space="preserve">lėšų, iš kurių iki </w:t>
                </w:r>
                <w:r>
                  <w:rPr>
                    <w:szCs w:val="24"/>
                  </w:rPr>
                  <w:t xml:space="preserve">565 316 </w:t>
                </w:r>
                <w:r>
                  <w:rPr>
                    <w:iCs/>
                    <w:szCs w:val="24"/>
                  </w:rPr>
                  <w:t>Eur (penkių šimtų šešiasdešimt penkių tūkstančių trijų šimtų šešiolikos eurų) Sostinės regionui ir iki</w:t>
                </w:r>
                <w:r>
                  <w:rPr>
                    <w:szCs w:val="24"/>
                  </w:rPr>
                  <w:t xml:space="preserve"> 1 569 958 </w:t>
                </w:r>
                <w:r>
                  <w:rPr>
                    <w:iCs/>
                    <w:szCs w:val="24"/>
                  </w:rPr>
                  <w:t>Eur (vieno milijono penkių šimtų šešiasdešimt devynių tūkstančių devynių šimtų penkiasdešimt aštuonių eurų) Vidurio ir vakarų Lietuvos regionui;</w:t>
                </w:r>
              </w:p>
              <w:p>
                <w:pPr>
                  <w:jc w:val="both"/>
                  <w:rPr>
                    <w:iCs/>
                    <w:szCs w:val="24"/>
                  </w:rPr>
                </w:pPr>
                <w:r>
                  <w:rPr>
                    <w:iCs/>
                    <w:szCs w:val="24"/>
                  </w:rPr>
                  <w:t xml:space="preserve">- iki </w:t>
                </w:r>
                <w:r>
                  <w:rPr>
                    <w:szCs w:val="24"/>
                  </w:rPr>
                  <w:t>565 316</w:t>
                </w:r>
                <w:r>
                  <w:rPr>
                    <w:color w:val="000000"/>
                    <w:szCs w:val="24"/>
                  </w:rPr>
                  <w:t xml:space="preserve"> </w:t>
                </w:r>
                <w:r>
                  <w:rPr>
                    <w:iCs/>
                    <w:szCs w:val="24"/>
                  </w:rPr>
                  <w:t>Eur (penkių šimtų šešiasdešimt penkių tūkstančių trijų šimtų šešiolikos eurų) Europos Sąjungos bendrojo finansavimo lėšų Sostinės regionui.</w:t>
                </w:r>
              </w:p>
              <w:p>
                <w:pPr>
                  <w:jc w:val="both"/>
                  <w:rPr>
                    <w:iCs/>
                    <w:szCs w:val="24"/>
                  </w:rPr>
                </w:pPr>
                <w:r>
                  <w:rPr>
                    <w:iCs/>
                    <w:szCs w:val="24"/>
                  </w:rPr>
                  <w:t xml:space="preserve">2.10. Didžiausia pagal Aprašą Pareiškėjo projektui vienam kvietimui skiriama suma negali viršyti 4 000 000 Eur (keturių milijonų eurų). </w:t>
                </w:r>
              </w:p>
              <w:p>
                <w:pPr>
                  <w:jc w:val="both"/>
                  <w:rPr>
                    <w:iCs/>
                    <w:szCs w:val="24"/>
                  </w:rPr>
                </w:pPr>
                <w:r>
                  <w:rPr>
                    <w:iCs/>
                    <w:szCs w:val="24"/>
                  </w:rPr>
                  <w:t>2.11. Didžiausia galima Partnerio su Partnerio partneriu vykdomo „Eureka“ bendradarbiavimo vieno projekto arba „Eureka“ klasterio projekto tinkamų finansuoti išlaidų suma yra 300 000 Eur (trys šimtai tūkstančių eurų).</w:t>
                </w:r>
              </w:p>
              <w:p>
                <w:pPr>
                  <w:jc w:val="both"/>
                  <w:rPr>
                    <w:iCs/>
                    <w:szCs w:val="24"/>
                  </w:rPr>
                </w:pPr>
                <w:r>
                  <w:rPr>
                    <w:iCs/>
                    <w:szCs w:val="24"/>
                  </w:rPr>
                  <w:t>2.12. Veiklos pagalbos intensyvumas kiekvienam Partneriui ir Partnerio partneriui nustatomas atskirai, vadovaujantis Aprašo 5 skyriaus nuostatomis.</w:t>
                </w:r>
              </w:p>
              <w:p>
                <w:pPr>
                  <w:jc w:val="both"/>
                  <w:rPr>
                    <w:iCs/>
                    <w:szCs w:val="24"/>
                  </w:rPr>
                </w:pPr>
                <w:r>
                  <w:rPr>
                    <w:iCs/>
                    <w:szCs w:val="24"/>
                  </w:rPr>
                  <w:t xml:space="preserve">2.13. </w:t>
                </w:r>
                <w:r>
                  <w:rPr>
                    <w:szCs w:val="24"/>
                  </w:rPr>
                  <w:t>Teikiamų paraiškų skaičius vienam Partneriui ir Partnerio partneriui neribojamas.</w:t>
                </w:r>
              </w:p>
              <w:p>
                <w:pPr>
                  <w:jc w:val="both"/>
                  <w:rPr>
                    <w:iCs/>
                    <w:szCs w:val="24"/>
                  </w:rPr>
                </w:pPr>
                <w:r>
                  <w:rPr>
                    <w:iCs/>
                    <w:szCs w:val="24"/>
                  </w:rPr>
                  <w:t xml:space="preserve">2.14. Projektas turi atitikti projekto bendruosius atrankos kriterijus, nustatytus PAFT 2 priede. </w:t>
                </w:r>
              </w:p>
              <w:p>
                <w:pPr>
                  <w:jc w:val="both"/>
                  <w:rPr>
                    <w:iCs/>
                    <w:szCs w:val="24"/>
                  </w:rPr>
                </w:pPr>
                <w:r>
                  <w:rPr>
                    <w:iCs/>
                    <w:szCs w:val="24"/>
                  </w:rPr>
                  <w:t>2.15. Projekto veiklos turi būti įgyvendintos per 42 mėnesius nuo projekto sutarties įsigaliojimo. Prireikus projekto veiklos gali būti pratęstos pagrįstam laikotarpiui, bet ne vėliau kaip iki 2029 m. rugpjūčio 31 d.</w:t>
                </w:r>
              </w:p>
              <w:p>
                <w:pPr>
                  <w:jc w:val="both"/>
                  <w:rPr>
                    <w:iCs/>
                    <w:szCs w:val="24"/>
                  </w:rPr>
                </w:pPr>
                <w:r>
                  <w:rPr>
                    <w:iCs/>
                    <w:szCs w:val="24"/>
                  </w:rPr>
                  <w:t xml:space="preserve">2.16. Pareiškėjo projektas gali būti įgyvendinamas Sostinės regione ir Vidurio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programos tikslų.</w:t>
                </w:r>
              </w:p>
              <w:p>
                <w:pPr>
                  <w:jc w:val="both"/>
                  <w:rPr>
                    <w:iCs/>
                    <w:szCs w:val="24"/>
                  </w:rPr>
                </w:pPr>
                <w:r>
                  <w:rPr>
                    <w:iCs/>
                    <w:szCs w:val="24"/>
                  </w:rPr>
                  <w:t xml:space="preserve">2.17. </w:t>
                </w:r>
                <w:r>
                  <w:t xml:space="preserve">Iki PĮP pateikimo Administruojančiajai institucijai Pareiškėjo projektinis pasiūlymas turi būti suderintas su </w:t>
                </w:r>
                <w:r>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w:t>
                </w:r>
              </w:p>
              <w:p>
                <w:pPr>
                  <w:jc w:val="both"/>
                  <w:rPr>
                    <w:iCs/>
                    <w:szCs w:val="24"/>
                  </w:rPr>
                </w:pPr>
                <w:r>
                  <w:rPr>
                    <w:szCs w:val="24"/>
                  </w:rPr>
                  <w:t>2.18. Projekto veiklos gali būti pradėtos įgyvendinti ne anksčiau nei po PĮP registravimo Administruojančiojoje institucijoje dienos, tačiau projekto išlaidos nuo PĮP registravimo Administruojančiojoje institucijoje dienos iki projekto sutarties pasirašymo yra patiriamos Pareiškėjo ir (ar) Partnerio (-ių) rizika.</w:t>
                </w:r>
              </w:p>
              <w:p>
                <w:pPr>
                  <w:jc w:val="both"/>
                  <w:rPr>
                    <w:iCs/>
                    <w:szCs w:val="24"/>
                  </w:rPr>
                </w:pPr>
                <w:r>
                  <w:rPr>
                    <w:iCs/>
                    <w:szCs w:val="24"/>
                  </w:rPr>
                  <w:t>2.19. Projekto vykdytojas privalo įgyvendinti privalomas matomumo ir informavimo apie projektą veiksmų priemones, nustatytas PAFT.</w:t>
                </w:r>
              </w:p>
              <w:p>
                <w:pPr>
                  <w:jc w:val="both"/>
                  <w:rPr>
                    <w:iCs/>
                    <w:szCs w:val="24"/>
                  </w:rPr>
                </w:pPr>
                <w:r>
                  <w:rPr>
                    <w:iCs/>
                    <w:szCs w:val="24"/>
                  </w:rPr>
                  <w:t xml:space="preserve">2.20. Kartu su PĮP Administruojančiai institucijai turi būti pateikta: </w:t>
                </w:r>
              </w:p>
              <w:p>
                <w:pPr>
                  <w:jc w:val="both"/>
                  <w:rPr>
                    <w:iCs/>
                    <w:szCs w:val="24"/>
                  </w:rPr>
                </w:pPr>
                <w:r>
                  <w:rPr>
                    <w:iCs/>
                    <w:szCs w:val="24"/>
                  </w:rPr>
                  <w:t>2.20.1. Partnerių deklaracijos pagal PAFT 1 priedo 1 priedą.</w:t>
                </w:r>
              </w:p>
              <w:p>
                <w:pPr>
                  <w:jc w:val="both"/>
                  <w:rPr>
                    <w:iCs/>
                    <w:szCs w:val="24"/>
                  </w:rPr>
                </w:pPr>
                <w:r>
                  <w:rPr>
                    <w:iCs/>
                    <w:szCs w:val="24"/>
                  </w:rPr>
                  <w:t>2.20.2. Informacija apie projekto biudžeto paskirstymą Pareiškėjui ir jo Partneriams pagal PAFT 1 priedo 2 priedą.</w:t>
                </w:r>
              </w:p>
              <w:p>
                <w:pPr>
                  <w:jc w:val="both"/>
                  <w:rPr>
                    <w:iCs/>
                    <w:szCs w:val="24"/>
                  </w:rPr>
                </w:pPr>
                <w:r>
                  <w:rPr>
                    <w:iCs/>
                    <w:szCs w:val="24"/>
                  </w:rPr>
                  <w:t>2.20.3. Projekto atitiktį bendriesiems projektų atrankos kriterijams, nurodytiems PAFT 2 priede, patvirtinantys dokumentai.</w:t>
                </w:r>
              </w:p>
              <w:p>
                <w:pPr>
                  <w:jc w:val="both"/>
                  <w:rPr>
                    <w:iCs/>
                    <w:szCs w:val="24"/>
                  </w:rPr>
                </w:pPr>
                <w:r>
                  <w:rPr>
                    <w:iCs/>
                    <w:szCs w:val="24"/>
                  </w:rPr>
                  <w:t>2.20.4. Partnerių užpildytos Informacijos, reikalingos projekto atitikčiai sumaniosios specializacijos koncepcijai įvertinti, formos.</w:t>
                </w:r>
              </w:p>
              <w:p>
                <w:pPr>
                  <w:tabs>
                    <w:tab w:val="left" w:pos="318"/>
                  </w:tabs>
                  <w:jc w:val="both"/>
                  <w:rPr>
                    <w:iCs/>
                    <w:szCs w:val="24"/>
                  </w:rPr>
                </w:pPr>
                <w:r>
                  <w:rPr>
                    <w:iCs/>
                    <w:szCs w:val="24"/>
                  </w:rPr>
                  <w:t xml:space="preserve">2.20.5. Dokumentai, pagrindžiantys „Eureka“ projekto statusą („Eureka“ projektas ar paraiška). </w:t>
                </w:r>
              </w:p>
              <w:p>
                <w:pPr>
                  <w:tabs>
                    <w:tab w:val="left" w:pos="318"/>
                  </w:tabs>
                  <w:jc w:val="both"/>
                  <w:rPr>
                    <w:szCs w:val="24"/>
                  </w:rPr>
                </w:pPr>
              </w:p>
            </w:tc>
          </w:tr>
          <w:tr>
            <w:trPr>
              <w:trHeight w:val="285"/>
            </w:trPr>
            <w:tc>
              <w:tcPr>
                <w:tcW w:w="14709" w:type="dxa"/>
              </w:tcPr>
              <w:p>
                <w:pPr>
                  <w:rPr>
                    <w:szCs w:val="24"/>
                  </w:rPr>
                </w:pPr>
                <w:r>
                  <w:rPr>
                    <w:b/>
                    <w:bCs/>
                    <w:szCs w:val="24"/>
                  </w:rPr>
                  <w:t xml:space="preserve">3. Horizontaliųjų principų reikalavimai </w:t>
                </w:r>
              </w:p>
            </w:tc>
          </w:tr>
          <w:tr>
            <w:tc>
              <w:tcPr>
                <w:tcW w:w="14709" w:type="dxa"/>
              </w:tcPr>
              <w:p>
                <w:pPr>
                  <w:jc w:val="both"/>
                  <w:textAlignment w:val="baseline"/>
                  <w:rPr>
                    <w:rFonts w:ascii="Segoe UI" w:hAnsi="Segoe UI" w:cs="Segoe UI"/>
                    <w:szCs w:val="24"/>
                    <w:lang w:eastAsia="lt-LT"/>
                  </w:rPr>
                </w:pPr>
                <w:r>
                  <w:rPr>
                    <w:szCs w:val="24"/>
                    <w:lang w:eastAsia="lt-LT"/>
                  </w:rPr>
                  <w:t>Projektas turi atitikti tris horizontaliuosius principus: </w:t>
                </w:r>
              </w:p>
              <w:p>
                <w:pPr>
                  <w:jc w:val="both"/>
                  <w:textAlignment w:val="baseline"/>
                  <w:rPr>
                    <w:szCs w:val="24"/>
                    <w:lang w:eastAsia="lt-LT"/>
                  </w:rPr>
                </w:pPr>
                <w:r>
                  <w:rPr>
                    <w:b/>
                    <w:bCs/>
                    <w:szCs w:val="24"/>
                    <w:lang w:eastAsia="lt-LT"/>
                  </w:rPr>
                  <w:t>Darnaus vystymosi</w:t>
                </w:r>
                <w:r>
                  <w:rPr>
                    <w:szCs w:val="24"/>
                    <w:lang w:eastAsia="lt-LT"/>
                  </w:rPr>
                  <w:t xml:space="preserve"> horizontalusis principas suprantamas kaip ekonominio, socialinio ir aplinkos sričių vystymosi balansas. Projektas turi prisidėti prie darnaus vystymosi tikslų – nelygybės mažinimas, klimato kaitos švelninimas, partnerystės stiprinimas. Siekiant didinti viešojo sektoriaus indėlį skatinant darnų vystymąsi, įgyvendinant projektines veiklas bus siekiama, kad dalis pirkimų būtų atliekami kaip žalieji viešieji pirkimai. </w:t>
                </w:r>
              </w:p>
              <w:p>
                <w:pPr>
                  <w:jc w:val="both"/>
                  <w:textAlignment w:val="baseline"/>
                  <w:rPr>
                    <w:szCs w:val="24"/>
                    <w:lang w:eastAsia="lt-LT"/>
                  </w:rPr>
                </w:pPr>
                <w:r>
                  <w:rPr>
                    <w:b/>
                    <w:bCs/>
                    <w:szCs w:val="24"/>
                    <w:lang w:eastAsia="lt-LT"/>
                  </w:rPr>
                  <w:t>Inovatyvumo</w:t>
                </w:r>
                <w:r>
                  <w:rPr>
                    <w:szCs w:val="24"/>
                    <w:lang w:eastAsia="lt-LT"/>
                  </w:rPr>
                  <w:t xml:space="preserve"> horizontalusis principas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MTEP ir inovacijų veikloms vykdyti skiriamų viešojo sektoriaus investicijų dalies nuoseklaus didėjimo. </w:t>
                </w:r>
              </w:p>
              <w:p>
                <w:pPr>
                  <w:jc w:val="both"/>
                  <w:textAlignment w:val="baseline"/>
                  <w:rPr>
                    <w:szCs w:val="24"/>
                    <w:lang w:eastAsia="lt-LT"/>
                  </w:rPr>
                </w:pPr>
                <w:r>
                  <w:rPr>
                    <w:b/>
                    <w:bCs/>
                    <w:szCs w:val="24"/>
                    <w:lang w:eastAsia="lt-LT"/>
                  </w:rPr>
                  <w:t>Lygių galimybių</w:t>
                </w:r>
                <w:r>
                  <w:rPr>
                    <w:szCs w:val="24"/>
                    <w:lang w:eastAsia="lt-LT"/>
                  </w:rPr>
                  <w:t xml:space="preserve">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pPr>
                  <w:jc w:val="both"/>
                  <w:rPr>
                    <w:i/>
                    <w:iCs/>
                    <w:szCs w:val="24"/>
                  </w:rPr>
                </w:pPr>
              </w:p>
            </w:tc>
          </w:tr>
          <w:tr>
            <w:tc>
              <w:tcPr>
                <w:tcW w:w="14709" w:type="dxa"/>
              </w:tcPr>
              <w:p>
                <w:pPr>
                  <w:jc w:val="both"/>
                  <w:rPr>
                    <w:szCs w:val="24"/>
                  </w:rPr>
                </w:pPr>
                <w:r>
                  <w:rPr>
                    <w:b/>
                    <w:bCs/>
                    <w:szCs w:val="24"/>
                  </w:rPr>
                  <w:t>3.1. Europos Sąjungos pagrindinių teisių chartijos reikalavimai</w:t>
                </w:r>
              </w:p>
            </w:tc>
          </w:tr>
          <w:tr>
            <w:tc>
              <w:tcPr>
                <w:tcW w:w="14709" w:type="dxa"/>
              </w:tcPr>
              <w:p>
                <w:pPr>
                  <w:jc w:val="both"/>
                  <w:rPr>
                    <w:color w:val="242424"/>
                    <w:szCs w:val="24"/>
                  </w:rPr>
                </w:pPr>
                <w:r>
                  <w:rPr>
                    <w:color w:val="242424"/>
                    <w:szCs w:val="24"/>
                  </w:rPr>
                  <w:t>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pPr>
                  <w:jc w:val="both"/>
                  <w:rPr>
                    <w:szCs w:val="24"/>
                  </w:rPr>
                </w:pPr>
              </w:p>
            </w:tc>
          </w:tr>
          <w:tr>
            <w:tc>
              <w:tcPr>
                <w:tcW w:w="14709" w:type="dxa"/>
              </w:tcPr>
              <w:p>
                <w:pPr>
                  <w:rPr>
                    <w:b/>
                    <w:bCs/>
                    <w:szCs w:val="24"/>
                  </w:rPr>
                </w:pPr>
                <w:r>
                  <w:rPr>
                    <w:b/>
                    <w:bCs/>
                    <w:szCs w:val="24"/>
                  </w:rPr>
                  <w:t>4. Apskritis, kurioje gali būti įgyvendinami projektai</w:t>
                </w:r>
              </w:p>
            </w:tc>
          </w:tr>
          <w:tr>
            <w:tc>
              <w:tcPr>
                <w:tcW w:w="14709" w:type="dxa"/>
              </w:tcPr>
              <w:p>
                <w:pPr>
                  <w:jc w:val="both"/>
                  <w:rPr>
                    <w:szCs w:val="24"/>
                  </w:rPr>
                </w:pPr>
                <w:r>
                  <w:rPr>
                    <w:szCs w:val="24"/>
                  </w:rPr>
                  <w:t>Netaikoma.</w:t>
                </w:r>
              </w:p>
              <w:p>
                <w:pPr>
                  <w:jc w:val="both"/>
                  <w:rPr>
                    <w:szCs w:val="24"/>
                  </w:rPr>
                </w:pPr>
              </w:p>
            </w:tc>
          </w:tr>
          <w:tr>
            <w:tc>
              <w:tcPr>
                <w:tcW w:w="14709" w:type="dxa"/>
              </w:tcPr>
              <w:p>
                <w:pPr>
                  <w:jc w:val="both"/>
                  <w:rPr>
                    <w:b/>
                    <w:bCs/>
                    <w:szCs w:val="24"/>
                  </w:rPr>
                </w:pPr>
                <w:r>
                  <w:rPr>
                    <w:b/>
                    <w:bCs/>
                    <w:szCs w:val="24"/>
                  </w:rPr>
                  <w:t xml:space="preserve">5. Reikalavimai valstybės pagalbai </w:t>
                </w:r>
              </w:p>
            </w:tc>
          </w:tr>
          <w:tr>
            <w:tc>
              <w:tcPr>
                <w:tcW w:w="14709" w:type="dxa"/>
              </w:tcPr>
              <w:p>
                <w:pPr>
                  <w:jc w:val="both"/>
                  <w:rPr>
                    <w:szCs w:val="24"/>
                  </w:rPr>
                </w:pPr>
                <w:r>
                  <w:rPr>
                    <w:szCs w:val="24"/>
                  </w:rPr>
                  <w:t xml:space="preserve">5.1. </w:t>
                </w:r>
                <w:r>
                  <w:t xml:space="preserve">Pagal Aprašą valstybės pagalba, kaip ji apibrėžta Sutarties dėl Europos Sąjungos veikimo (OL 2010 C 83, p. 47) 107 straipsnyje, ir </w:t>
                </w:r>
                <w:r>
                  <w:rPr>
                    <w:i/>
                    <w:iCs/>
                  </w:rPr>
                  <w:t>de minimis</w:t>
                </w:r>
                <w:r>
                  <w:t xml:space="preserve"> pagalba, kuri atitinka 2013 m. gruodžio 18 d. Komisijos reglamento </w:t>
                </w:r>
                <w:r>
                  <w:t>(ES) Nr. 1407/2013</w:t>
                </w:r>
                <w:r>
                  <w:t xml:space="preserve"> dėl Sutarties dėl Europos Sąjungos veikimo 107 ir 108 straipsnių taikymo </w:t>
                </w:r>
                <w:r>
                  <w:rPr>
                    <w:i/>
                    <w:iCs/>
                  </w:rPr>
                  <w:t>de minimis</w:t>
                </w:r>
                <w:r>
                  <w:t xml:space="preserve"> pagalbai (OL 2013 L 352, p. 1) nuostatas, Pareiškėjui neteikiama.</w:t>
                </w:r>
              </w:p>
              <w:p>
                <w:pPr>
                  <w:jc w:val="both"/>
                  <w:rPr>
                    <w:szCs w:val="24"/>
                  </w:rPr>
                </w:pPr>
                <w:r>
                  <w:rPr>
                    <w:szCs w:val="24"/>
                  </w:rPr>
                  <w:t>5.2. S</w:t>
                </w:r>
                <w:r>
                  <w:rPr>
                    <w:color w:val="000000"/>
                    <w:szCs w:val="24"/>
                  </w:rPr>
                  <w:t>iekiant nustatyti, ar Partneriui ir Partnerio partneriui teikiama parama yra valstybės pagalba, kiekvienu konkrečiu atveju turi būti įvertinta, ar tenkinamos Sutarties dėl Europos Sąjungos veikimo 107 straipsnio 1 dalyje nustatytos sąlygos.</w:t>
                </w:r>
                <w:r>
                  <w:rPr>
                    <w:szCs w:val="24"/>
                  </w:rPr>
                  <w:t xml:space="preserve"> Pagal Aprašą finansuojami projektai turi atitikti BBIR 25 straipsnio nuostatas.</w:t>
                </w:r>
              </w:p>
              <w:p>
                <w:pPr>
                  <w:jc w:val="both"/>
                  <w:rPr>
                    <w:szCs w:val="24"/>
                  </w:rPr>
                </w:pPr>
                <w:r>
                  <w:rPr>
                    <w:szCs w:val="24"/>
                  </w:rPr>
                  <w:t>5.3. „Eureka“ projekto veiklai teikiamas finansavimas nėra valstybės pagalba, kai ją vykdo MSI</w:t>
                </w:r>
                <w:r>
                  <w:rPr>
                    <w:rFonts w:eastAsia="Calibri"/>
                    <w:szCs w:val="24"/>
                  </w:rPr>
                  <w:t xml:space="preserve"> </w:t>
                </w:r>
                <w:r>
                  <w:rPr>
                    <w:szCs w:val="24"/>
                  </w:rPr>
                  <w:t xml:space="preserve">ir kai ši veikla atitinka neekonominės veiklos sampratą, apibrėžtą </w:t>
                </w:r>
                <w:r>
                  <w:rPr>
                    <w:lang w:val="lt"/>
                  </w:rPr>
                  <w:t xml:space="preserve">apibrėžtą Europos Komisijos pranešime dėl valstybės pagalbos sąvokos (angl. </w:t>
                </w:r>
                <w:r>
                  <w:rPr>
                    <w:i/>
                    <w:lang w:val="lt"/>
                  </w:rPr>
                  <w:t>Commission Notice on the notion of State aid pursuant to Article</w:t>
                </w:r>
                <w:r>
                  <w:rPr>
                    <w:lang w:val="lt"/>
                  </w:rPr>
                  <w:t xml:space="preserve"> 107(1) TFEU)</w:t>
                </w:r>
                <w:r>
                  <w:rPr>
                    <w:szCs w:val="24"/>
                  </w:rPr>
                  <w:t xml:space="preserve">, bei atitinka Komunikato 20 punkto nuostatas. </w:t>
                </w:r>
              </w:p>
              <w:p>
                <w:pPr>
                  <w:jc w:val="both"/>
                </w:pPr>
                <w:r>
                  <w:rPr>
                    <w:szCs w:val="24"/>
                  </w:rPr>
                  <w:t xml:space="preserve">5.4. </w:t>
                </w:r>
                <w:r>
                  <w:t xml:space="preserve">PĮP vertinimo metu nustačius, kad </w:t>
                </w:r>
                <w:r>
                  <w:rPr>
                    <w:szCs w:val="24"/>
                  </w:rPr>
                  <w:t xml:space="preserve">„Eureka“ projekto </w:t>
                </w:r>
                <w:r>
                  <w:t>veikla neatitinka Aprašo 5.2 papunktyje nurodytų sąlygų, „Eureka“ projekto veiklų finansavimas yra valstybės pagalba, kaip ji apibrėžta Sutarties dėl Europos Sąjungos veikimo 107 straipsnyje, kuri teikiama taikant BBIR I skyriaus ir III skyriaus 25 straipsnio nuostatas.</w:t>
                </w:r>
              </w:p>
              <w:p>
                <w:pPr>
                  <w:jc w:val="both"/>
                  <w:rPr>
                    <w:szCs w:val="24"/>
                  </w:rPr>
                </w:pPr>
                <w:r>
                  <w:rPr>
                    <w:szCs w:val="24"/>
                  </w:rPr>
                  <w:t xml:space="preserve">5.5. Didžiausia galima „Eureka“ projekto finansuojamoji dalis, kuri apskaičiuojama pagal BBIR 25 straipsnio 5 dalies b ir c punktus ir 6 dalį, </w:t>
                </w:r>
                <w:r>
                  <w:rPr>
                    <w:szCs w:val="24"/>
                    <w:lang w:eastAsia="lt-LT"/>
                  </w:rPr>
                  <w:t>nurodyta 1 lentelėje</w:t>
                </w:r>
                <w:r>
                  <w:rPr>
                    <w:szCs w:val="24"/>
                  </w:rPr>
                  <w:t>.</w:t>
                </w:r>
              </w:p>
              <w:p>
                <w:pPr>
                  <w:jc w:val="both"/>
                  <w:rPr>
                    <w:szCs w:val="24"/>
                    <w:lang w:eastAsia="lt-LT"/>
                  </w:rPr>
                </w:pPr>
                <w:r>
                  <w:rPr>
                    <w:szCs w:val="24"/>
                    <w:lang w:eastAsia="lt-LT"/>
                  </w:rPr>
                  <w:t xml:space="preserve">1 lentelė. Projekto finansuojamoji dalis. </w:t>
                </w:r>
              </w:p>
              <w:tbl>
                <w:tblPr>
                  <w:tblW w:w="14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610"/>
                  <w:gridCol w:w="1418"/>
                  <w:gridCol w:w="1275"/>
                  <w:gridCol w:w="1701"/>
                  <w:gridCol w:w="2268"/>
                  <w:gridCol w:w="2552"/>
                  <w:gridCol w:w="1984"/>
                  <w:gridCol w:w="560"/>
                  <w:gridCol w:w="7"/>
                </w:tblGrid>
                <w:tr>
                  <w:trPr>
                    <w:gridAfter w:val="1"/>
                    <w:wAfter w:w="7" w:type="dxa"/>
                    <w:trHeight w:val="412"/>
                  </w:trPr>
                  <w:tc>
                    <w:tcPr>
                      <w:tcW w:w="675" w:type="dxa"/>
                      <w:vMerge w:val="restart"/>
                      <w:tcBorders>
                        <w:top w:val="single" w:sz="4" w:space="0" w:color="auto"/>
                        <w:left w:val="single" w:sz="4" w:space="0" w:color="auto"/>
                        <w:right w:val="single" w:sz="4" w:space="0" w:color="auto"/>
                      </w:tcBorders>
                      <w:shd w:val="clear" w:color="auto" w:fill="E7E6E6" w:themeFill="background2"/>
                      <w:vAlign w:val="center"/>
                    </w:tcPr>
                    <w:p>
                      <w:pPr>
                        <w:tabs>
                          <w:tab w:val="left" w:pos="318"/>
                        </w:tabs>
                        <w:rPr>
                          <w:iCs/>
                          <w:szCs w:val="24"/>
                        </w:rPr>
                      </w:pPr>
                      <w:r>
                        <w:rPr>
                          <w:iCs/>
                          <w:szCs w:val="24"/>
                        </w:rPr>
                        <w:t>Eil.Nr.</w:t>
                      </w:r>
                    </w:p>
                  </w:tc>
                  <w:tc>
                    <w:tcPr>
                      <w:tcW w:w="1610" w:type="dxa"/>
                      <w:vMerge w:val="restart"/>
                      <w:tcBorders>
                        <w:top w:val="single" w:sz="4" w:space="0" w:color="auto"/>
                        <w:left w:val="single" w:sz="4" w:space="0" w:color="auto"/>
                        <w:right w:val="single" w:sz="4" w:space="0" w:color="auto"/>
                      </w:tcBorders>
                      <w:shd w:val="clear" w:color="auto" w:fill="E7E6E6" w:themeFill="background2"/>
                    </w:tcPr>
                    <w:p>
                      <w:pPr>
                        <w:tabs>
                          <w:tab w:val="left" w:pos="426"/>
                        </w:tabs>
                        <w:jc w:val="both"/>
                        <w:rPr>
                          <w:iCs/>
                          <w:szCs w:val="24"/>
                        </w:rPr>
                      </w:pPr>
                      <w:r>
                        <w:rPr>
                          <w:iCs/>
                          <w:szCs w:val="24"/>
                        </w:rPr>
                        <w:t>MTEP veikla</w:t>
                      </w:r>
                    </w:p>
                  </w:tc>
                  <w:tc>
                    <w:tcPr>
                      <w:tcW w:w="1418" w:type="dxa"/>
                      <w:vMerge w:val="restart"/>
                      <w:tcBorders>
                        <w:top w:val="single" w:sz="4" w:space="0" w:color="auto"/>
                        <w:left w:val="single" w:sz="4" w:space="0" w:color="auto"/>
                        <w:right w:val="single" w:sz="4" w:space="0" w:color="auto"/>
                      </w:tcBorders>
                      <w:shd w:val="clear" w:color="auto" w:fill="E7E6E6" w:themeFill="background2"/>
                    </w:tcPr>
                    <w:p>
                      <w:pPr>
                        <w:rPr>
                          <w:b/>
                          <w:iCs/>
                          <w:color w:val="FF0000"/>
                          <w:szCs w:val="24"/>
                          <w:u w:val="single"/>
                        </w:rPr>
                      </w:pPr>
                      <w:r>
                        <w:rPr>
                          <w:iCs/>
                          <w:szCs w:val="24"/>
                        </w:rPr>
                        <w:t>Bazinė finansuoja-moji dalis</w:t>
                      </w:r>
                    </w:p>
                  </w:tc>
                  <w:tc>
                    <w:tcPr>
                      <w:tcW w:w="5244" w:type="dxa"/>
                      <w:gridSpan w:val="3"/>
                      <w:tcBorders>
                        <w:top w:val="single" w:sz="4" w:space="0" w:color="auto"/>
                        <w:left w:val="single" w:sz="4" w:space="0" w:color="auto"/>
                        <w:right w:val="single" w:sz="4" w:space="0" w:color="auto"/>
                      </w:tcBorders>
                      <w:shd w:val="clear" w:color="auto" w:fill="E7E6E6" w:themeFill="background2"/>
                    </w:tcPr>
                    <w:p>
                      <w:pPr>
                        <w:tabs>
                          <w:tab w:val="left" w:pos="426"/>
                        </w:tabs>
                        <w:jc w:val="center"/>
                        <w:rPr>
                          <w:iCs/>
                          <w:szCs w:val="24"/>
                        </w:rPr>
                      </w:pPr>
                      <w:r>
                        <w:rPr>
                          <w:iCs/>
                          <w:szCs w:val="24"/>
                        </w:rPr>
                        <w:t>Galimas bazinės finansuojamosios dalies padidinimas, bet ne daugiau nei iki 80 procentų tinkamų finansuoti išlaidų</w:t>
                      </w:r>
                    </w:p>
                  </w:tc>
                  <w:tc>
                    <w:tcPr>
                      <w:tcW w:w="5096" w:type="dxa"/>
                      <w:gridSpan w:val="3"/>
                      <w:tcBorders>
                        <w:top w:val="single" w:sz="4" w:space="0" w:color="auto"/>
                        <w:left w:val="single" w:sz="4" w:space="0" w:color="auto"/>
                        <w:right w:val="single" w:sz="4" w:space="0" w:color="auto"/>
                      </w:tcBorders>
                      <w:shd w:val="clear" w:color="auto" w:fill="E7E6E6" w:themeFill="background2"/>
                      <w:vAlign w:val="center"/>
                    </w:tcPr>
                    <w:p>
                      <w:pPr>
                        <w:tabs>
                          <w:tab w:val="left" w:pos="426"/>
                        </w:tabs>
                        <w:jc w:val="center"/>
                        <w:rPr>
                          <w:iCs/>
                          <w:szCs w:val="24"/>
                        </w:rPr>
                      </w:pPr>
                      <w:r>
                        <w:rPr>
                          <w:iCs/>
                          <w:szCs w:val="24"/>
                        </w:rPr>
                        <w:t xml:space="preserve">Didžiausia galima finansuojamoji dalis atsižvelgiant į valstybės pagalbos gavėjo statusą </w:t>
                      </w:r>
                    </w:p>
                  </w:tc>
                </w:tr>
                <w:tr>
                  <w:trPr>
                    <w:trHeight w:val="270"/>
                  </w:trPr>
                  <w:tc>
                    <w:tcPr>
                      <w:tcW w:w="675" w:type="dxa"/>
                      <w:vMerge/>
                      <w:tcBorders>
                        <w:left w:val="single" w:sz="4" w:space="0" w:color="auto"/>
                        <w:bottom w:val="single" w:sz="4" w:space="0" w:color="auto"/>
                        <w:right w:val="single" w:sz="4" w:space="0" w:color="auto"/>
                      </w:tcBorders>
                      <w:shd w:val="clear" w:color="auto" w:fill="E7E6E6" w:themeFill="background2"/>
                    </w:tcPr>
                    <w:p>
                      <w:pPr>
                        <w:rPr>
                          <w:iCs/>
                          <w:szCs w:val="24"/>
                        </w:rPr>
                      </w:pPr>
                    </w:p>
                  </w:tc>
                  <w:tc>
                    <w:tcPr>
                      <w:tcW w:w="1610" w:type="dxa"/>
                      <w:vMerge/>
                      <w:tcBorders>
                        <w:left w:val="single" w:sz="4" w:space="0" w:color="auto"/>
                        <w:bottom w:val="single" w:sz="4" w:space="0" w:color="auto"/>
                        <w:right w:val="single" w:sz="4" w:space="0" w:color="auto"/>
                      </w:tcBorders>
                      <w:shd w:val="clear" w:color="auto" w:fill="E7E6E6" w:themeFill="background2"/>
                      <w:vAlign w:val="center"/>
                      <w:hideMark/>
                    </w:tcPr>
                    <w:p>
                      <w:pPr>
                        <w:rPr>
                          <w:iCs/>
                          <w:szCs w:val="24"/>
                        </w:rPr>
                      </w:pPr>
                    </w:p>
                  </w:tc>
                  <w:tc>
                    <w:tcPr>
                      <w:tcW w:w="1418" w:type="dxa"/>
                      <w:vMerge/>
                      <w:tcBorders>
                        <w:left w:val="single" w:sz="4" w:space="0" w:color="auto"/>
                        <w:bottom w:val="single" w:sz="4" w:space="0" w:color="auto"/>
                        <w:right w:val="single" w:sz="4" w:space="0" w:color="auto"/>
                      </w:tcBorders>
                      <w:shd w:val="clear" w:color="auto" w:fill="E7E6E6" w:themeFill="background2"/>
                      <w:vAlign w:val="center"/>
                      <w:hideMark/>
                    </w:tcPr>
                    <w:p>
                      <w:pPr>
                        <w:rPr>
                          <w:iCs/>
                          <w:szCs w:val="24"/>
                        </w:rPr>
                      </w:pP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tabs>
                          <w:tab w:val="left" w:pos="426"/>
                        </w:tabs>
                        <w:jc w:val="both"/>
                        <w:rPr>
                          <w:iCs/>
                          <w:szCs w:val="24"/>
                        </w:rPr>
                      </w:pPr>
                      <w:r>
                        <w:rPr>
                          <w:iCs/>
                          <w:szCs w:val="24"/>
                        </w:rPr>
                        <w:t xml:space="preserve">Padidi-nama viduti-nėms įmonėms </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tabs>
                          <w:tab w:val="left" w:pos="426"/>
                        </w:tabs>
                        <w:rPr>
                          <w:iCs/>
                          <w:szCs w:val="24"/>
                        </w:rPr>
                      </w:pPr>
                      <w:r>
                        <w:rPr>
                          <w:iCs/>
                          <w:szCs w:val="24"/>
                        </w:rPr>
                        <w:t xml:space="preserve">Padidinama labai mažoms įmonėms ir mažoms įmonėms </w:t>
                      </w: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tabs>
                          <w:tab w:val="left" w:pos="426"/>
                        </w:tabs>
                        <w:rPr>
                          <w:iCs/>
                          <w:szCs w:val="24"/>
                        </w:rPr>
                      </w:pPr>
                      <w:r>
                        <w:rPr>
                          <w:iCs/>
                          <w:szCs w:val="24"/>
                        </w:rPr>
                        <w:t xml:space="preserve">Padidinama už veiksmingą bendradarbiavimą, jei atitinka </w:t>
                      </w:r>
                    </w:p>
                    <w:p>
                      <w:pPr>
                        <w:tabs>
                          <w:tab w:val="left" w:pos="426"/>
                        </w:tabs>
                        <w:rPr>
                          <w:iCs/>
                          <w:szCs w:val="24"/>
                        </w:rPr>
                      </w:pPr>
                      <w:r>
                        <w:rPr>
                          <w:iCs/>
                          <w:szCs w:val="24"/>
                        </w:rPr>
                        <w:t>BBIR 25 straipsnio 6 dalies b punkto i papunktyje nurodytas sąlygas</w:t>
                      </w:r>
                    </w:p>
                  </w:tc>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pPr>
                        <w:tabs>
                          <w:tab w:val="left" w:pos="426"/>
                        </w:tabs>
                        <w:rPr>
                          <w:iCs/>
                          <w:szCs w:val="24"/>
                        </w:rPr>
                      </w:pPr>
                      <w:r>
                        <w:rPr>
                          <w:iCs/>
                          <w:szCs w:val="24"/>
                        </w:rPr>
                        <w:t xml:space="preserve">Vidutinė įmonė </w:t>
                      </w:r>
                    </w:p>
                  </w:tc>
                  <w:tc>
                    <w:tcPr>
                      <w:tcW w:w="1984" w:type="dxa"/>
                      <w:tcBorders>
                        <w:top w:val="single" w:sz="4" w:space="0" w:color="auto"/>
                        <w:left w:val="single" w:sz="4" w:space="0" w:color="auto"/>
                        <w:bottom w:val="single" w:sz="4" w:space="0" w:color="auto"/>
                        <w:right w:val="nil"/>
                      </w:tcBorders>
                      <w:shd w:val="clear" w:color="auto" w:fill="E7E6E6" w:themeFill="background2"/>
                    </w:tcPr>
                    <w:p>
                      <w:pPr>
                        <w:tabs>
                          <w:tab w:val="left" w:pos="426"/>
                        </w:tabs>
                        <w:rPr>
                          <w:iCs/>
                          <w:szCs w:val="24"/>
                        </w:rPr>
                      </w:pPr>
                      <w:r>
                        <w:rPr>
                          <w:iCs/>
                          <w:szCs w:val="24"/>
                        </w:rPr>
                        <w:t xml:space="preserve">Labai maža įmonė ir maža įmonė </w:t>
                      </w:r>
                    </w:p>
                  </w:tc>
                  <w:tc>
                    <w:tcPr>
                      <w:tcW w:w="567" w:type="dxa"/>
                      <w:gridSpan w:val="2"/>
                      <w:tcBorders>
                        <w:top w:val="single" w:sz="4" w:space="0" w:color="auto"/>
                        <w:left w:val="nil"/>
                        <w:bottom w:val="single" w:sz="4" w:space="0" w:color="auto"/>
                        <w:right w:val="single" w:sz="4" w:space="0" w:color="auto"/>
                      </w:tcBorders>
                      <w:shd w:val="clear" w:color="auto" w:fill="E7E6E6" w:themeFill="background2"/>
                    </w:tcPr>
                    <w:p>
                      <w:pPr>
                        <w:tabs>
                          <w:tab w:val="left" w:pos="426"/>
                        </w:tabs>
                        <w:rPr>
                          <w:iCs/>
                          <w:szCs w:val="24"/>
                        </w:rPr>
                      </w:pPr>
                    </w:p>
                  </w:tc>
                </w:tr>
                <w:tr>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tcPr>
                    <w:p>
                      <w:pPr>
                        <w:tabs>
                          <w:tab w:val="left" w:pos="426"/>
                        </w:tabs>
                        <w:jc w:val="both"/>
                        <w:rPr>
                          <w:iCs/>
                          <w:szCs w:val="24"/>
                        </w:rPr>
                      </w:pPr>
                      <w:r>
                        <w:rPr>
                          <w:iCs/>
                          <w:szCs w:val="24"/>
                        </w:rPr>
                        <w:t>1.</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tabs>
                          <w:tab w:val="left" w:pos="426"/>
                        </w:tabs>
                        <w:jc w:val="both"/>
                        <w:rPr>
                          <w:iCs/>
                          <w:szCs w:val="24"/>
                        </w:rPr>
                      </w:pPr>
                      <w:r>
                        <w:rPr>
                          <w:iCs/>
                          <w:szCs w:val="24"/>
                        </w:rPr>
                        <w:t>Taikomieji moksliniai tyrimai</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426"/>
                        </w:tabs>
                        <w:jc w:val="both"/>
                        <w:rPr>
                          <w:iCs/>
                          <w:szCs w:val="24"/>
                        </w:rPr>
                      </w:pPr>
                      <w:r>
                        <w:rPr>
                          <w:iCs/>
                          <w:szCs w:val="24"/>
                        </w:rPr>
                        <w:t>50 proc.</w:t>
                      </w:r>
                    </w:p>
                  </w:tc>
                  <w:tc>
                    <w:tcPr>
                      <w:tcW w:w="1275" w:type="dxa"/>
                      <w:tcBorders>
                        <w:top w:val="single" w:sz="4" w:space="0" w:color="auto"/>
                        <w:left w:val="single" w:sz="4" w:space="0" w:color="auto"/>
                        <w:bottom w:val="single" w:sz="4" w:space="0" w:color="auto"/>
                        <w:right w:val="single" w:sz="4" w:space="0" w:color="auto"/>
                      </w:tcBorders>
                      <w:hideMark/>
                    </w:tcPr>
                    <w:p>
                      <w:pPr>
                        <w:rPr>
                          <w:iCs/>
                          <w:szCs w:val="24"/>
                        </w:rPr>
                      </w:pPr>
                      <w:r>
                        <w:rPr>
                          <w:iCs/>
                          <w:szCs w:val="24"/>
                        </w:rPr>
                        <w:t xml:space="preserve">10 procenti-nių punktų </w:t>
                      </w:r>
                    </w:p>
                  </w:tc>
                  <w:tc>
                    <w:tcPr>
                      <w:tcW w:w="1701" w:type="dxa"/>
                      <w:tcBorders>
                        <w:top w:val="single" w:sz="4" w:space="0" w:color="auto"/>
                        <w:left w:val="single" w:sz="4" w:space="0" w:color="auto"/>
                        <w:bottom w:val="single" w:sz="4" w:space="0" w:color="auto"/>
                        <w:right w:val="single" w:sz="4" w:space="0" w:color="auto"/>
                      </w:tcBorders>
                      <w:hideMark/>
                    </w:tcPr>
                    <w:p>
                      <w:pPr>
                        <w:rPr>
                          <w:iCs/>
                          <w:szCs w:val="24"/>
                        </w:rPr>
                      </w:pPr>
                      <w:r>
                        <w:rPr>
                          <w:iCs/>
                          <w:szCs w:val="24"/>
                        </w:rPr>
                        <w:t>20 procentinių punktų</w:t>
                      </w:r>
                    </w:p>
                  </w:tc>
                  <w:tc>
                    <w:tcPr>
                      <w:tcW w:w="2268" w:type="dxa"/>
                      <w:tcBorders>
                        <w:top w:val="single" w:sz="4" w:space="0" w:color="auto"/>
                        <w:left w:val="single" w:sz="4" w:space="0" w:color="auto"/>
                        <w:bottom w:val="single" w:sz="4" w:space="0" w:color="auto"/>
                        <w:right w:val="single" w:sz="4" w:space="0" w:color="auto"/>
                      </w:tcBorders>
                      <w:hideMark/>
                    </w:tcPr>
                    <w:p>
                      <w:pPr>
                        <w:rPr>
                          <w:iCs/>
                          <w:szCs w:val="24"/>
                        </w:rPr>
                      </w:pPr>
                      <w:r>
                        <w:rPr>
                          <w:iCs/>
                          <w:szCs w:val="24"/>
                        </w:rPr>
                        <w:t xml:space="preserve">15 procentinių punktų </w:t>
                      </w:r>
                    </w:p>
                  </w:tc>
                  <w:tc>
                    <w:tcPr>
                      <w:tcW w:w="2552" w:type="dxa"/>
                      <w:tcBorders>
                        <w:top w:val="single" w:sz="4" w:space="0" w:color="auto"/>
                        <w:left w:val="single" w:sz="4" w:space="0" w:color="auto"/>
                        <w:bottom w:val="single" w:sz="4" w:space="0" w:color="auto"/>
                        <w:right w:val="single" w:sz="4" w:space="0" w:color="auto"/>
                      </w:tcBorders>
                    </w:tcPr>
                    <w:p>
                      <w:pPr>
                        <w:tabs>
                          <w:tab w:val="left" w:pos="426"/>
                        </w:tabs>
                        <w:jc w:val="both"/>
                        <w:rPr>
                          <w:iCs/>
                          <w:szCs w:val="24"/>
                        </w:rPr>
                      </w:pPr>
                      <w:r>
                        <w:rPr>
                          <w:iCs/>
                          <w:szCs w:val="24"/>
                        </w:rPr>
                        <w:t>75 proc.</w:t>
                      </w:r>
                    </w:p>
                  </w:tc>
                  <w:tc>
                    <w:tcPr>
                      <w:tcW w:w="1984" w:type="dxa"/>
                      <w:tcBorders>
                        <w:top w:val="single" w:sz="4" w:space="0" w:color="auto"/>
                        <w:left w:val="single" w:sz="4" w:space="0" w:color="auto"/>
                        <w:bottom w:val="single" w:sz="4" w:space="0" w:color="auto"/>
                        <w:right w:val="nil"/>
                      </w:tcBorders>
                    </w:tcPr>
                    <w:p>
                      <w:pPr>
                        <w:tabs>
                          <w:tab w:val="left" w:pos="426"/>
                        </w:tabs>
                        <w:jc w:val="both"/>
                        <w:rPr>
                          <w:iCs/>
                          <w:szCs w:val="24"/>
                        </w:rPr>
                      </w:pPr>
                      <w:r>
                        <w:rPr>
                          <w:iCs/>
                          <w:szCs w:val="24"/>
                        </w:rPr>
                        <w:t>80 proc.</w:t>
                      </w:r>
                    </w:p>
                  </w:tc>
                  <w:tc>
                    <w:tcPr>
                      <w:tcW w:w="567" w:type="dxa"/>
                      <w:gridSpan w:val="2"/>
                      <w:tcBorders>
                        <w:top w:val="single" w:sz="4" w:space="0" w:color="auto"/>
                        <w:left w:val="nil"/>
                        <w:bottom w:val="single" w:sz="4" w:space="0" w:color="auto"/>
                        <w:right w:val="single" w:sz="4" w:space="0" w:color="auto"/>
                      </w:tcBorders>
                    </w:tcPr>
                    <w:p>
                      <w:pPr>
                        <w:tabs>
                          <w:tab w:val="left" w:pos="426"/>
                        </w:tabs>
                        <w:jc w:val="both"/>
                        <w:rPr>
                          <w:iCs/>
                          <w:szCs w:val="24"/>
                        </w:rPr>
                      </w:pPr>
                    </w:p>
                  </w:tc>
                </w:tr>
                <w:tr>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tcPr>
                    <w:p>
                      <w:pPr>
                        <w:tabs>
                          <w:tab w:val="left" w:pos="426"/>
                        </w:tabs>
                        <w:jc w:val="both"/>
                        <w:rPr>
                          <w:iCs/>
                          <w:szCs w:val="24"/>
                        </w:rPr>
                      </w:pPr>
                      <w:r>
                        <w:rPr>
                          <w:iCs/>
                          <w:szCs w:val="24"/>
                        </w:rPr>
                        <w:t>2.</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pPr>
                        <w:tabs>
                          <w:tab w:val="left" w:pos="426"/>
                        </w:tabs>
                        <w:jc w:val="both"/>
                        <w:rPr>
                          <w:iCs/>
                          <w:szCs w:val="24"/>
                        </w:rPr>
                      </w:pPr>
                      <w:r>
                        <w:rPr>
                          <w:iCs/>
                          <w:szCs w:val="24"/>
                        </w:rPr>
                        <w:t xml:space="preserve">Eksperi-mentinė plėtra </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426"/>
                        </w:tabs>
                        <w:jc w:val="both"/>
                        <w:rPr>
                          <w:iCs/>
                          <w:szCs w:val="24"/>
                        </w:rPr>
                      </w:pPr>
                      <w:r>
                        <w:rPr>
                          <w:iCs/>
                          <w:szCs w:val="24"/>
                        </w:rPr>
                        <w:t>25 proc.</w:t>
                      </w:r>
                    </w:p>
                  </w:tc>
                  <w:tc>
                    <w:tcPr>
                      <w:tcW w:w="1275" w:type="dxa"/>
                      <w:tcBorders>
                        <w:top w:val="single" w:sz="4" w:space="0" w:color="auto"/>
                        <w:left w:val="single" w:sz="4" w:space="0" w:color="auto"/>
                        <w:bottom w:val="single" w:sz="4" w:space="0" w:color="auto"/>
                        <w:right w:val="single" w:sz="4" w:space="0" w:color="auto"/>
                      </w:tcBorders>
                      <w:hideMark/>
                    </w:tcPr>
                    <w:p>
                      <w:pPr>
                        <w:tabs>
                          <w:tab w:val="left" w:pos="426"/>
                        </w:tabs>
                        <w:jc w:val="both"/>
                        <w:rPr>
                          <w:iCs/>
                          <w:szCs w:val="24"/>
                        </w:rPr>
                      </w:pPr>
                      <w:r>
                        <w:rPr>
                          <w:iCs/>
                          <w:szCs w:val="24"/>
                        </w:rPr>
                        <w:t xml:space="preserve">10 procenti-nių punktų </w:t>
                      </w:r>
                    </w:p>
                  </w:tc>
                  <w:tc>
                    <w:tcPr>
                      <w:tcW w:w="1701" w:type="dxa"/>
                      <w:tcBorders>
                        <w:top w:val="single" w:sz="4" w:space="0" w:color="auto"/>
                        <w:left w:val="single" w:sz="4" w:space="0" w:color="auto"/>
                        <w:bottom w:val="single" w:sz="4" w:space="0" w:color="auto"/>
                        <w:right w:val="single" w:sz="4" w:space="0" w:color="auto"/>
                      </w:tcBorders>
                      <w:hideMark/>
                    </w:tcPr>
                    <w:p>
                      <w:pPr>
                        <w:tabs>
                          <w:tab w:val="left" w:pos="426"/>
                        </w:tabs>
                        <w:jc w:val="both"/>
                        <w:rPr>
                          <w:iCs/>
                          <w:szCs w:val="24"/>
                        </w:rPr>
                      </w:pPr>
                      <w:r>
                        <w:rPr>
                          <w:iCs/>
                          <w:szCs w:val="24"/>
                        </w:rPr>
                        <w:t xml:space="preserve">20 procentinių punktų </w:t>
                      </w:r>
                    </w:p>
                  </w:tc>
                  <w:tc>
                    <w:tcPr>
                      <w:tcW w:w="2268" w:type="dxa"/>
                      <w:tcBorders>
                        <w:top w:val="single" w:sz="4" w:space="0" w:color="auto"/>
                        <w:left w:val="single" w:sz="4" w:space="0" w:color="auto"/>
                        <w:bottom w:val="single" w:sz="4" w:space="0" w:color="auto"/>
                        <w:right w:val="single" w:sz="4" w:space="0" w:color="auto"/>
                      </w:tcBorders>
                      <w:hideMark/>
                    </w:tcPr>
                    <w:p>
                      <w:pPr>
                        <w:tabs>
                          <w:tab w:val="left" w:pos="426"/>
                        </w:tabs>
                        <w:jc w:val="both"/>
                        <w:rPr>
                          <w:iCs/>
                          <w:szCs w:val="24"/>
                        </w:rPr>
                      </w:pPr>
                      <w:r>
                        <w:rPr>
                          <w:iCs/>
                          <w:szCs w:val="24"/>
                        </w:rPr>
                        <w:t xml:space="preserve">15 procentinių punktų </w:t>
                      </w:r>
                    </w:p>
                  </w:tc>
                  <w:tc>
                    <w:tcPr>
                      <w:tcW w:w="2552" w:type="dxa"/>
                      <w:tcBorders>
                        <w:top w:val="single" w:sz="4" w:space="0" w:color="auto"/>
                        <w:left w:val="single" w:sz="4" w:space="0" w:color="auto"/>
                        <w:bottom w:val="single" w:sz="4" w:space="0" w:color="auto"/>
                        <w:right w:val="single" w:sz="4" w:space="0" w:color="auto"/>
                      </w:tcBorders>
                    </w:tcPr>
                    <w:p>
                      <w:pPr>
                        <w:tabs>
                          <w:tab w:val="left" w:pos="426"/>
                        </w:tabs>
                        <w:jc w:val="both"/>
                        <w:rPr>
                          <w:iCs/>
                          <w:szCs w:val="24"/>
                        </w:rPr>
                      </w:pPr>
                      <w:r>
                        <w:rPr>
                          <w:iCs/>
                          <w:szCs w:val="24"/>
                        </w:rPr>
                        <w:t>50 proc.</w:t>
                      </w:r>
                    </w:p>
                  </w:tc>
                  <w:tc>
                    <w:tcPr>
                      <w:tcW w:w="1984" w:type="dxa"/>
                      <w:tcBorders>
                        <w:top w:val="single" w:sz="4" w:space="0" w:color="auto"/>
                        <w:left w:val="single" w:sz="4" w:space="0" w:color="auto"/>
                        <w:bottom w:val="single" w:sz="4" w:space="0" w:color="auto"/>
                        <w:right w:val="nil"/>
                      </w:tcBorders>
                    </w:tcPr>
                    <w:p>
                      <w:pPr>
                        <w:tabs>
                          <w:tab w:val="left" w:pos="426"/>
                        </w:tabs>
                        <w:jc w:val="both"/>
                        <w:rPr>
                          <w:iCs/>
                          <w:szCs w:val="24"/>
                        </w:rPr>
                      </w:pPr>
                      <w:r>
                        <w:rPr>
                          <w:iCs/>
                          <w:szCs w:val="24"/>
                        </w:rPr>
                        <w:t>60 proc.</w:t>
                      </w:r>
                    </w:p>
                  </w:tc>
                  <w:tc>
                    <w:tcPr>
                      <w:tcW w:w="567" w:type="dxa"/>
                      <w:gridSpan w:val="2"/>
                      <w:tcBorders>
                        <w:top w:val="single" w:sz="4" w:space="0" w:color="auto"/>
                        <w:left w:val="nil"/>
                        <w:bottom w:val="single" w:sz="4" w:space="0" w:color="auto"/>
                        <w:right w:val="single" w:sz="4" w:space="0" w:color="auto"/>
                      </w:tcBorders>
                    </w:tcPr>
                    <w:p>
                      <w:pPr>
                        <w:tabs>
                          <w:tab w:val="left" w:pos="426"/>
                        </w:tabs>
                        <w:jc w:val="both"/>
                        <w:rPr>
                          <w:iCs/>
                          <w:szCs w:val="24"/>
                        </w:rPr>
                      </w:pPr>
                    </w:p>
                  </w:tc>
                </w:tr>
              </w:tbl>
              <w:p>
                <w:pPr>
                  <w:jc w:val="both"/>
                </w:pPr>
                <w:r>
                  <w:t xml:space="preserve">5.6. Nustačius, kad teikiamas finansavimas yra valstybės pagalba, Administruojančioji institucija pildo </w:t>
                </w:r>
                <w:r>
                  <w:rPr>
                    <w:color w:val="000000"/>
                  </w:rPr>
                  <w:t>Atitikties valstybės pagalbos taisyklėms patikros lapą, kurio forma patvirtinta Aprašo 3 priede</w:t>
                </w:r>
                <w:r>
                  <w:t>.</w:t>
                </w:r>
              </w:p>
              <w:p>
                <w:pPr>
                  <w:jc w:val="both"/>
                  <w:rPr>
                    <w:szCs w:val="24"/>
                  </w:rPr>
                </w:pPr>
                <w:r>
                  <w:rPr>
                    <w:szCs w:val="24"/>
                  </w:rPr>
                  <w:t>5.7. Valstybės pagalba neteikiama:</w:t>
                </w:r>
              </w:p>
              <w:p>
                <w:pPr>
                  <w:jc w:val="both"/>
                  <w:rPr>
                    <w:szCs w:val="24"/>
                  </w:rPr>
                </w:pPr>
                <w:r>
                  <w:rPr>
                    <w:szCs w:val="24"/>
                  </w:rPr>
                  <w:t>5.7.1. sunkumus patiriančioms įmonėms, kaip apibrėžta BBIR I skyriaus 2 straipsnio 18 punkte;</w:t>
                </w:r>
              </w:p>
              <w:p>
                <w:pPr>
                  <w:jc w:val="both"/>
                  <w:rPr>
                    <w:szCs w:val="24"/>
                  </w:rPr>
                </w:pPr>
                <w:r>
                  <w:rPr>
                    <w:szCs w:val="24"/>
                  </w:rPr>
                  <w:t>5.7.2.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pPr>
                  <w:jc w:val="both"/>
                  <w:rPr>
                    <w:szCs w:val="24"/>
                  </w:rPr>
                </w:pPr>
                <w:r>
                  <w:rPr>
                    <w:szCs w:val="24"/>
                  </w:rPr>
                  <w:t>5.7.3. jei ji neturi skatinamojo poveikio, nustatyto BBIR 6 straipsnyje.</w:t>
                </w:r>
              </w:p>
              <w:p>
                <w:pPr>
                  <w:jc w:val="both"/>
                  <w:rPr>
                    <w:szCs w:val="24"/>
                  </w:rPr>
                </w:pPr>
                <w:r>
                  <w:rPr>
                    <w:szCs w:val="24"/>
                  </w:rPr>
                  <w:t>5.8. Valstybės pagalba, kurios tinkamas finansuoti išlaidas galima nustatyti ir kuriai pagal BBIR taikoma išimtis, gali būti sumuojama su:</w:t>
                </w:r>
              </w:p>
              <w:p>
                <w:pPr>
                  <w:jc w:val="both"/>
                  <w:rPr>
                    <w:szCs w:val="24"/>
                  </w:rPr>
                </w:pPr>
                <w:r>
                  <w:rPr>
                    <w:szCs w:val="24"/>
                  </w:rPr>
                  <w:t>5.8.1. bet kokia kita valstybės pagalba, jei tos veiklos yra susijusios su skirtingomis tinkamomis finansuoti išlaidomis, kurias galima nustatyti;</w:t>
                </w:r>
              </w:p>
              <w:p>
                <w:pPr>
                  <w:jc w:val="both"/>
                  <w:rPr>
                    <w:szCs w:val="24"/>
                  </w:rPr>
                </w:pPr>
                <w:r>
                  <w:rPr>
                    <w:szCs w:val="24"/>
                  </w:rPr>
                  <w:t>5.8.2.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rPr>
                    <w:szCs w:val="24"/>
                  </w:rPr>
                </w:pPr>
                <w:r>
                  <w:rPr>
                    <w:szCs w:val="24"/>
                  </w:rPr>
                  <w:t xml:space="preserve">5.9.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pPr>
                  <w:jc w:val="both"/>
                  <w:rPr>
                    <w:szCs w:val="24"/>
                  </w:rPr>
                </w:pPr>
                <w:r>
                  <w:rPr>
                    <w:szCs w:val="24"/>
                  </w:rPr>
                  <w:t>5.10. Administruojančioji institucija PĮP vertinimo metu patikrina Pareiškėjo teisę gauti valstybės pagalbą pagal BBIR ir, priėmusi sprendimą finansuoti projektą, per 20 (dvidešimt) darbo dienų registruoja suteiktos valstybės pagalbos sumą Suteiktos valstybės pagalbos ir nereikšmingos (</w:t>
                </w:r>
                <w:r>
                  <w:rPr>
                    <w:i/>
                    <w:iCs/>
                    <w:szCs w:val="24"/>
                  </w:rPr>
                  <w:t>de minimis</w:t>
                </w:r>
                <w:r>
                  <w:rPr>
                    <w:szCs w:val="24"/>
                  </w:rPr>
                  <w:t>) pagalbos registre, kurio nuostatai patvirtinti Lietuvos Respublikos Vyriausybės 2005 m. sausio 19 d. nutarimu Nr. 35 „Dėl Suteiktos valstybės pagalbos ir nereikšmingos (</w:t>
                </w:r>
                <w:r>
                  <w:rPr>
                    <w:i/>
                    <w:szCs w:val="24"/>
                  </w:rPr>
                  <w:t>de minimis</w:t>
                </w:r>
                <w:r>
                  <w:rPr>
                    <w:szCs w:val="24"/>
                  </w:rPr>
                  <w:t>) pagalbos registro nuostatų patvirtinimo“.</w:t>
                </w:r>
              </w:p>
              <w:p>
                <w:pPr>
                  <w:jc w:val="both"/>
                  <w:rPr>
                    <w:szCs w:val="24"/>
                  </w:rPr>
                </w:pPr>
                <w:r>
                  <w:rPr>
                    <w:szCs w:val="24"/>
                  </w:rPr>
                  <w:t>5.11. Projekto vykdytojas ir Partneriai turi užtikrinti, kad projekto įgyvendinimo metu ir naudojant projekto metu sukurtus rezultatus nebus teikiama netiesioginė valstybės pagalba kitiems juridiniams asmenims.</w:t>
                </w:r>
              </w:p>
              <w:p>
                <w:pPr>
                  <w:jc w:val="both"/>
                  <w:rPr>
                    <w:szCs w:val="24"/>
                  </w:rPr>
                </w:pPr>
                <w:r>
                  <w:rPr>
                    <w:szCs w:val="24"/>
                  </w:rPr>
                  <w:t xml:space="preserve">5.12. Laikoma, kad netiesioginė valstybės pagalba kitiems juridiniams asmenims neperduodama, jeigu atitinka bent viena iš šių sąlygų: </w:t>
                </w:r>
              </w:p>
              <w:p>
                <w:pPr>
                  <w:jc w:val="both"/>
                  <w:rPr>
                    <w:szCs w:val="24"/>
                  </w:rPr>
                </w:pPr>
                <w:r>
                  <w:rPr>
                    <w:szCs w:val="24"/>
                  </w:rPr>
                  <w:t xml:space="preserve">5.12.1. visos intelektinės nuosavybės teisės į MTEP, susijusios su veikla projekte, yra visiškai suteikiamos šiems subjektams, t. y. jie gauna visą šių teisių teikiamą ekonominę naudą ir pasilieka teisę jomis visomis naudotis, ypač nuosavybės teise ir licencijos teise; šios sąlygos taip pat gali būti įvykdytos, jeigu nusprendžia toliau sudaryti sutartis dėl šių teisių, įskaitant jų licencijavimą bendradarbiavimo partneriui (rezultatai, kuriems netaikomos intelektinės nuosavybės teisės, gali būti plačiai skleidžiami); </w:t>
                </w:r>
              </w:p>
              <w:p>
                <w:pPr>
                  <w:jc w:val="both"/>
                  <w:rPr>
                    <w:szCs w:val="24"/>
                  </w:rPr>
                </w:pPr>
                <w:r>
                  <w:rPr>
                    <w:szCs w:val="24"/>
                  </w:rPr>
                  <w:t xml:space="preserve">5.12.2. kai gauna juridinio asmens kompensaciją, lygią intelektinės nuosavybės teisių, kurios yra susijusios su šių subjektų veikla įgyvendinant projektą ir kurios perduodamos juridiniams asmenims, rinkos kaina, t. y. kompensaciją už visą tų teisių teikiamą ekonominę naudą; vadovaujantis bendraisiais valstybės pagalbos principais ir atsižvelgiant į tai, kad intelektinės nuosavybės teisių rinkos kainą objektyviai nustatyti sunku, ši sąlyga laikoma įvykdyta, jeigu ne valstybės pagalbos gavėjas, kaip pardavėjas, derėsis, kad gautų didžiausią naudą sutarties sudarymo metu. Bet kuris juridinio asmens įnašas dengiant ne valstybės pagalbos gavėjo sąnaudas yra atimamas iš tokios kompensacijos. </w:t>
                </w:r>
              </w:p>
              <w:p>
                <w:pPr>
                  <w:jc w:val="both"/>
                  <w:rPr>
                    <w:szCs w:val="24"/>
                  </w:rPr>
                </w:pPr>
                <w:r>
                  <w:rPr>
                    <w:szCs w:val="24"/>
                  </w:rPr>
                  <w:t>5.13. Visi su projekto ir „Eureka“ projektų įgyvendinimu susiję dokumentai Pareiškėjo ir Partnerių turi būti saugomi PAFT VIII skyriaus šeštajame skirsnyje nustatyta tvarka ir terminais.</w:t>
                </w:r>
              </w:p>
              <w:p>
                <w:pPr>
                  <w:jc w:val="both"/>
                  <w:rPr>
                    <w:szCs w:val="24"/>
                  </w:rPr>
                </w:pPr>
              </w:p>
            </w:tc>
          </w:tr>
          <w:tr>
            <w:tc>
              <w:tcPr>
                <w:tcW w:w="14709" w:type="dxa"/>
              </w:tcPr>
              <w:p>
                <w:pPr>
                  <w:ind w:left="426" w:hanging="426"/>
                  <w:jc w:val="both"/>
                  <w:rPr>
                    <w:i/>
                    <w:iCs/>
                    <w:szCs w:val="24"/>
                  </w:rPr>
                </w:pPr>
                <w:r>
                  <w:rPr>
                    <w:b/>
                    <w:bCs/>
                    <w:szCs w:val="24"/>
                  </w:rPr>
                  <w:t>6. Projektų atrankos kriterijai</w:t>
                </w:r>
              </w:p>
            </w:tc>
          </w:tr>
          <w:tr>
            <w:trPr>
              <w:trHeight w:val="676"/>
            </w:trPr>
            <w:tc>
              <w:tcPr>
                <w:tcW w:w="14709" w:type="dxa"/>
              </w:tcPr>
              <w:p>
                <w:pPr>
                  <w:jc w:val="both"/>
                  <w:rPr>
                    <w:color w:val="000000"/>
                    <w:szCs w:val="24"/>
                    <w:shd w:val="clear" w:color="auto" w:fill="FFFFFF"/>
                  </w:rPr>
                </w:pPr>
                <w:r>
                  <w:rPr>
                    <w:color w:val="000000"/>
                    <w:szCs w:val="24"/>
                    <w:shd w:val="clear" w:color="auto" w:fill="FFFFFF"/>
                  </w:rPr>
                  <w:t xml:space="preserve">Projekto atranka vykdoma planavimo būdu, todėl </w:t>
                </w:r>
                <w:r>
                  <w:rPr>
                    <w:szCs w:val="24"/>
                  </w:rPr>
                  <w:t>specialieji ir prioritetiniai projektų atrankos kriterijai nėra nustatomi.</w:t>
                </w:r>
              </w:p>
            </w:tc>
          </w:tr>
          <w:tr>
            <w:tc>
              <w:tcPr>
                <w:tcW w:w="14709" w:type="dxa"/>
              </w:tcPr>
              <w:p>
                <w:pPr>
                  <w:rPr>
                    <w:b/>
                    <w:bCs/>
                    <w:szCs w:val="24"/>
                  </w:rPr>
                </w:pPr>
                <w:r>
                  <w:rPr>
                    <w:b/>
                    <w:bCs/>
                    <w:szCs w:val="24"/>
                  </w:rPr>
                  <w:t xml:space="preserve">7. Reikalavimai įgyvendinus projektų veiklas </w:t>
                </w:r>
              </w:p>
            </w:tc>
          </w:tr>
          <w:tr>
            <w:tc>
              <w:tcPr>
                <w:tcW w:w="14709" w:type="dxa"/>
              </w:tcPr>
              <w:p>
                <w:pPr>
                  <w:rPr>
                    <w:szCs w:val="24"/>
                  </w:rPr>
                </w:pPr>
                <w:r>
                  <w:rPr>
                    <w:szCs w:val="24"/>
                  </w:rPr>
                  <w:t xml:space="preserve">Netaikoma. </w:t>
                </w:r>
              </w:p>
            </w:tc>
          </w:tr>
          <w:tr>
            <w:tc>
              <w:tcPr>
                <w:tcW w:w="14709" w:type="dxa"/>
              </w:tcPr>
              <w:p>
                <w:pPr>
                  <w:rPr>
                    <w:b/>
                    <w:bCs/>
                    <w:szCs w:val="24"/>
                  </w:rPr>
                </w:pPr>
                <w:r>
                  <w:rPr>
                    <w:b/>
                    <w:bCs/>
                    <w:szCs w:val="24"/>
                  </w:rPr>
                  <w:t>8. Kiti reikalavimai</w:t>
                </w:r>
              </w:p>
            </w:tc>
          </w:tr>
          <w:tr>
            <w:tc>
              <w:tcPr>
                <w:tcW w:w="14709" w:type="dxa"/>
              </w:tcPr>
              <w:p>
                <w:pPr>
                  <w:tabs>
                    <w:tab w:val="left" w:pos="1134"/>
                  </w:tabs>
                  <w:jc w:val="both"/>
                  <w:rPr>
                    <w:szCs w:val="24"/>
                  </w:rPr>
                </w:pPr>
                <w:r>
                  <w:rPr>
                    <w:szCs w:val="24"/>
                  </w:rPr>
                  <w:t>Aprašas gali būti keičiamas PAFT nustatyta tvarka.</w:t>
                </w:r>
              </w:p>
              <w:p>
                <w:pPr>
                  <w:tabs>
                    <w:tab w:val="left" w:pos="1134"/>
                  </w:tabs>
                  <w:jc w:val="both"/>
                  <w:rPr>
                    <w:szCs w:val="24"/>
                  </w:rPr>
                </w:pPr>
              </w:p>
            </w:tc>
          </w:tr>
          <w:tr>
            <w:tc>
              <w:tcPr>
                <w:tcW w:w="14709" w:type="dxa"/>
              </w:tcPr>
              <w:p>
                <w:pPr>
                  <w:rPr>
                    <w:b/>
                    <w:bCs/>
                    <w:szCs w:val="24"/>
                  </w:rPr>
                </w:pPr>
                <w:r>
                  <w:rPr>
                    <w:b/>
                    <w:bCs/>
                    <w:szCs w:val="24"/>
                  </w:rPr>
                  <w:t>IŠLAIDŲ TINKAMUMO FINANSUOTI REIKALAVIMAI</w:t>
                </w:r>
              </w:p>
            </w:tc>
          </w:tr>
          <w:tr>
            <w:tc>
              <w:tcPr>
                <w:tcW w:w="14709" w:type="dxa"/>
              </w:tcPr>
              <w:p>
                <w:pPr>
                  <w:jc w:val="both"/>
                  <w:rPr>
                    <w:b/>
                    <w:bCs/>
                    <w:szCs w:val="24"/>
                  </w:rPr>
                </w:pPr>
                <w:r>
                  <w:rPr>
                    <w:b/>
                    <w:bCs/>
                    <w:szCs w:val="24"/>
                  </w:rPr>
                  <w:t>9. Išlaidų tinkamumo finansuoti reikalavimai</w:t>
                </w:r>
              </w:p>
            </w:tc>
          </w:tr>
          <w:tr>
            <w:tc>
              <w:tcPr>
                <w:tcW w:w="14709" w:type="dxa"/>
              </w:tcPr>
              <w:p>
                <w:pPr>
                  <w:jc w:val="both"/>
                  <w:rPr>
                    <w:i/>
                    <w:iCs/>
                    <w:szCs w:val="24"/>
                  </w:rPr>
                </w:pPr>
              </w:p>
              <w:p>
                <w:pPr>
                  <w:jc w:val="both"/>
                  <w:rPr>
                    <w:szCs w:val="24"/>
                  </w:rPr>
                </w:pPr>
                <w:r>
                  <w:rPr>
                    <w:szCs w:val="24"/>
                  </w:rPr>
                  <w:t>9.1. Planuojamos išlaidos turi atitikti PAFT VII skyriuje išdėstytus projektų išlaidoms taikomus reikalavimus.</w:t>
                </w:r>
              </w:p>
              <w:p>
                <w:pPr>
                  <w:jc w:val="both"/>
                  <w:rPr>
                    <w:szCs w:val="24"/>
                  </w:rPr>
                </w:pPr>
                <w:r>
                  <w:rPr>
                    <w:szCs w:val="24"/>
                  </w:rPr>
                  <w:t>9.2. PĮP parengimo išlaidos nėra finansuojamos (išskyrus investicijų projekto parengimo išlaidas).</w:t>
                </w:r>
              </w:p>
              <w:p>
                <w:pPr>
                  <w:jc w:val="both"/>
                  <w:rPr>
                    <w:szCs w:val="24"/>
                  </w:rPr>
                </w:pPr>
                <w:r>
                  <w:rPr>
                    <w:szCs w:val="24"/>
                  </w:rPr>
                  <w:t>9.3. PVM gali būti finansuojamas valstybės biudžeto lėšomis vadovaujantis PAFT VII skyriaus ketvirtajame skirsnyje nustatyta tvarka.</w:t>
                </w:r>
              </w:p>
              <w:p>
                <w:pPr>
                  <w:jc w:val="both"/>
                  <w:rPr>
                    <w:szCs w:val="24"/>
                  </w:rPr>
                </w:pPr>
                <w:r>
                  <w:rPr>
                    <w:szCs w:val="24"/>
                  </w:rPr>
                  <w:t xml:space="preserve">9.4. Investicijų projekto parengimo išlaidos gali būti patirtos iki projekto sutarties pasirašymo, neprieštaraujant PAFT 294.2.2 papunkčio nuostatoms. </w:t>
                </w:r>
              </w:p>
              <w:p>
                <w:pPr>
                  <w:tabs>
                    <w:tab w:val="left" w:pos="459"/>
                  </w:tabs>
                  <w:spacing w:line="256" w:lineRule="auto"/>
                  <w:jc w:val="both"/>
                  <w:rPr>
                    <w:color w:val="000000"/>
                    <w:szCs w:val="24"/>
                  </w:rPr>
                </w:pPr>
                <w:r>
                  <w:rPr>
                    <w:szCs w:val="24"/>
                  </w:rPr>
                  <w:t>9.5.</w:t>
                </w:r>
                <w:r>
                  <w:rPr>
                    <w:color w:val="000000"/>
                    <w:szCs w:val="24"/>
                  </w:rPr>
                  <w:t xml:space="preserve"> Finansavimo intensyvumas, kai teikiamas finansavimas nėra valstybės pagalba, gali sudaryti iki 100 proc. tinkamų finansuoti išlaidų. </w:t>
                </w:r>
              </w:p>
              <w:p>
                <w:pPr>
                  <w:tabs>
                    <w:tab w:val="left" w:pos="459"/>
                    <w:tab w:val="left" w:pos="596"/>
                  </w:tabs>
                  <w:spacing w:line="256" w:lineRule="auto"/>
                  <w:jc w:val="both"/>
                  <w:rPr>
                    <w:szCs w:val="24"/>
                  </w:rPr>
                </w:pPr>
                <w:r>
                  <w:rPr>
                    <w:szCs w:val="24"/>
                  </w:rPr>
                  <w:t>9.6. Partneris ir Partnerio partneris savo iniciatyva ir savo ir (arba) kitų šaltinių lėšomis gali prisidėti prie „Eureka“ projekto įgyvendinimo.</w:t>
                </w:r>
              </w:p>
              <w:p>
                <w:pPr>
                  <w:tabs>
                    <w:tab w:val="left" w:pos="459"/>
                    <w:tab w:val="left" w:pos="596"/>
                  </w:tabs>
                  <w:spacing w:line="256" w:lineRule="auto"/>
                  <w:jc w:val="both"/>
                  <w:rPr>
                    <w:szCs w:val="24"/>
                  </w:rPr>
                </w:pPr>
                <w:r>
                  <w:rPr>
                    <w:szCs w:val="24"/>
                  </w:rPr>
                  <w:t xml:space="preserve">9.7. Projekto tinkamų finansuoti išlaidų dalis, kurios nepadengia projektui skiriamo finansavimo lėšos, turi būti finansuojama iš Projekto vykdytojo ar Partnerių, ar Partnerių partnerių lėšų. </w:t>
                </w:r>
              </w:p>
              <w:p>
                <w:pPr>
                  <w:jc w:val="both"/>
                  <w:rPr>
                    <w:szCs w:val="24"/>
                  </w:rPr>
                </w:pPr>
                <w:r>
                  <w:rPr>
                    <w:szCs w:val="24"/>
                  </w:rPr>
                  <w:t>9.8. Projekto vykdytojui gali būti mokamas avansas, vadovaujantis PAFT numatytomis avanso mokėjimo sąlygomis.</w:t>
                </w:r>
              </w:p>
              <w:p>
                <w:pPr>
                  <w:jc w:val="both"/>
                  <w:rPr>
                    <w:szCs w:val="24"/>
                  </w:rPr>
                </w:pPr>
                <w:r>
                  <w:rPr>
                    <w:szCs w:val="24"/>
                  </w:rPr>
                  <w:t>9.9. Kryžminis finansavimas netaikomas.</w:t>
                </w:r>
              </w:p>
              <w:p>
                <w:pPr>
                  <w:jc w:val="both"/>
                  <w:rPr>
                    <w:szCs w:val="24"/>
                  </w:rPr>
                </w:pPr>
                <w:r>
                  <w:rPr>
                    <w:szCs w:val="24"/>
                  </w:rPr>
                  <w:t>9.10. Pagal Aprašą tinkamos finansuoti išlaidos yra šios:</w:t>
                </w:r>
              </w:p>
              <w:p>
                <w:pPr>
                  <w:jc w:val="both"/>
                  <w:rPr>
                    <w:i/>
                    <w:iCs/>
                    <w:szCs w:val="24"/>
                  </w:rPr>
                </w:pPr>
              </w:p>
              <w:tbl>
                <w:tblPr>
                  <w:tblW w:w="144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
                  <w:gridCol w:w="729"/>
                  <w:gridCol w:w="2160"/>
                  <w:gridCol w:w="94"/>
                  <w:gridCol w:w="2796"/>
                  <w:gridCol w:w="2890"/>
                  <w:gridCol w:w="2890"/>
                  <w:gridCol w:w="2890"/>
                  <w:gridCol w:w="30"/>
                </w:tblGrid>
                <w:tr>
                  <w:tc>
                    <w:tcPr>
                      <w:tcW w:w="731"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lang w:eastAsia="lt-LT"/>
                        </w:rPr>
                        <w:t>9.10.1</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firstLine="62"/>
                        <w:jc w:val="both"/>
                        <w:textAlignment w:val="baseline"/>
                        <w:rPr>
                          <w:szCs w:val="24"/>
                          <w:lang w:eastAsia="lt-LT"/>
                        </w:rPr>
                      </w:pPr>
                      <w:r>
                        <w:rPr>
                          <w:szCs w:val="24"/>
                          <w:lang w:eastAsia="lt-LT"/>
                        </w:rPr>
                        <w:t>Paslaugos ir darbo užmokestis</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szCs w:val="24"/>
                        </w:rPr>
                        <w:t>Partnerio ir Partnerio partnerio išlaidos:</w:t>
                      </w:r>
                    </w:p>
                    <w:p>
                      <w:pPr>
                        <w:ind w:left="720" w:hanging="360"/>
                        <w:jc w:val="both"/>
                        <w:textAlignment w:val="baseline"/>
                        <w:rPr>
                          <w:szCs w:val="24"/>
                        </w:rPr>
                      </w:pPr>
                      <w:r>
                        <w:rPr>
                          <w:rFonts w:ascii="Symbol" w:hAnsi="Symbol"/>
                          <w:szCs w:val="24"/>
                        </w:rPr>
                        <w:t></w:t>
                        <w:tab/>
                      </w:r>
                      <w:r>
                        <w:rPr>
                          <w:color w:val="000000"/>
                          <w:shd w:val="clear" w:color="auto" w:fill="FFFFFF"/>
                        </w:rPr>
                        <w:t>MTEP veiklas vykdančio personalo darbo užmokesčio ir susijusių darbdavio įsipareigojimų vykdymo išlaidos;</w:t>
                      </w:r>
                    </w:p>
                    <w:p>
                      <w:pPr>
                        <w:ind w:left="720" w:hanging="360"/>
                        <w:jc w:val="both"/>
                        <w:textAlignment w:val="baseline"/>
                        <w:rPr>
                          <w:szCs w:val="24"/>
                        </w:rPr>
                      </w:pPr>
                      <w:r>
                        <w:rPr>
                          <w:rFonts w:ascii="Symbol" w:hAnsi="Symbol"/>
                          <w:szCs w:val="24"/>
                        </w:rPr>
                        <w:t></w:t>
                        <w:tab/>
                      </w:r>
                      <w:r>
                        <w:rPr>
                          <w:szCs w:val="24"/>
                        </w:rPr>
                        <w:t>veiklas vykdančio personalo užsienio komandiruočių išlaidos (ne daugiau kaip 2 komandiruotės per projekto įgyvendinimo laikotarpį);</w:t>
                      </w:r>
                    </w:p>
                    <w:p>
                      <w:pPr>
                        <w:ind w:left="720" w:hanging="360"/>
                        <w:jc w:val="both"/>
                        <w:textAlignment w:val="baseline"/>
                        <w:rPr>
                          <w:szCs w:val="24"/>
                        </w:rPr>
                      </w:pPr>
                      <w:r>
                        <w:rPr>
                          <w:rFonts w:ascii="Symbol" w:hAnsi="Symbol"/>
                          <w:szCs w:val="24"/>
                        </w:rPr>
                        <w:t></w:t>
                        <w:tab/>
                      </w:r>
                      <w:r>
                        <w:rPr>
                          <w:szCs w:val="24"/>
                        </w:rPr>
                        <w:t>medžiagų ir trumpalaikio turto, reikalingų įgyvendinti projekto veiklas, įsigijimo išlaidos (ne daugiau kaip 20 proc. tinkamų finansuoti išlaidų);</w:t>
                      </w:r>
                    </w:p>
                    <w:p>
                      <w:pPr>
                        <w:ind w:left="720" w:hanging="360"/>
                        <w:jc w:val="both"/>
                        <w:textAlignment w:val="baseline"/>
                        <w:rPr>
                          <w:szCs w:val="24"/>
                        </w:rPr>
                      </w:pPr>
                      <w:r>
                        <w:rPr>
                          <w:rFonts w:ascii="Symbol" w:hAnsi="Symbol"/>
                          <w:szCs w:val="24"/>
                        </w:rPr>
                        <w:t></w:t>
                        <w:tab/>
                      </w:r>
                      <w:r>
                        <w:rPr>
                          <w:szCs w:val="24"/>
                        </w:rPr>
                        <w:t>MTEP paslaugų įsigijimo išlaidos (išlaidos gali sudaryti ne daugiau kaip 15 proc. tinkamų finansuoti išlaidų);</w:t>
                      </w:r>
                    </w:p>
                    <w:p>
                      <w:pPr>
                        <w:tabs>
                          <w:tab w:val="left" w:pos="237"/>
                        </w:tabs>
                        <w:ind w:left="720" w:hanging="360"/>
                        <w:jc w:val="both"/>
                        <w:textAlignment w:val="baseline"/>
                        <w:rPr>
                          <w:szCs w:val="24"/>
                        </w:rPr>
                      </w:pPr>
                      <w:r>
                        <w:rPr>
                          <w:rFonts w:ascii="Symbol" w:hAnsi="Symbol"/>
                          <w:szCs w:val="24"/>
                        </w:rPr>
                        <w:t></w:t>
                        <w:tab/>
                      </w:r>
                      <w:r>
                        <w:rPr>
                          <w:szCs w:val="24"/>
                        </w:rPr>
                        <w:t>patentavimo paslaugos, susijusios su finansuotu projektu;</w:t>
                      </w:r>
                    </w:p>
                    <w:p>
                      <w:pPr>
                        <w:tabs>
                          <w:tab w:val="left" w:pos="237"/>
                        </w:tabs>
                        <w:ind w:left="720" w:hanging="360"/>
                        <w:jc w:val="both"/>
                        <w:textAlignment w:val="baseline"/>
                        <w:rPr>
                          <w:szCs w:val="24"/>
                        </w:rPr>
                      </w:pPr>
                      <w:r>
                        <w:rPr>
                          <w:rFonts w:ascii="Symbol" w:hAnsi="Symbol"/>
                          <w:szCs w:val="24"/>
                        </w:rPr>
                        <w:t></w:t>
                        <w:tab/>
                      </w:r>
                      <w:r>
                        <w:rPr>
                          <w:szCs w:val="24"/>
                          <w:lang w:eastAsia="lt-LT"/>
                        </w:rPr>
                        <w:t>pasiruošimas sertifikuoti MTEP produktą ir sertifikavimo išlaidos.</w:t>
                      </w:r>
                    </w:p>
                    <w:p>
                      <w:pPr>
                        <w:shd w:val="clear" w:color="auto" w:fill="FFFFFF"/>
                        <w:rPr>
                          <w:color w:val="000000"/>
                          <w:szCs w:val="24"/>
                          <w:lang w:eastAsia="lt-LT"/>
                        </w:rPr>
                      </w:pPr>
                    </w:p>
                    <w:p>
                      <w:pPr>
                        <w:shd w:val="clear" w:color="auto" w:fill="FFFFFF"/>
                        <w:rPr>
                          <w:color w:val="000000"/>
                          <w:szCs w:val="24"/>
                          <w:lang w:eastAsia="lt-LT"/>
                        </w:rPr>
                      </w:pPr>
                    </w:p>
                    <w:p>
                      <w:pPr>
                        <w:shd w:val="clear" w:color="auto" w:fill="FFFFFF"/>
                        <w:rPr>
                          <w:color w:val="000000"/>
                          <w:szCs w:val="24"/>
                          <w:lang w:eastAsia="lt-LT"/>
                        </w:rPr>
                      </w:pPr>
                      <w:r>
                        <w:rPr>
                          <w:color w:val="000000"/>
                          <w:szCs w:val="24"/>
                          <w:lang w:eastAsia="lt-LT"/>
                        </w:rPr>
                        <w:t>Projekto vykdytojo išlaidos:</w:t>
                      </w:r>
                    </w:p>
                    <w:p>
                      <w:pPr>
                        <w:shd w:val="clear" w:color="auto" w:fill="FFFFFF"/>
                        <w:ind w:left="720" w:hanging="360"/>
                        <w:jc w:val="both"/>
                        <w:rPr>
                          <w:color w:val="000000"/>
                          <w:szCs w:val="24"/>
                          <w:lang w:eastAsia="lt-LT"/>
                        </w:rPr>
                      </w:pPr>
                      <w:r>
                        <w:rPr>
                          <w:rFonts w:ascii="Symbol" w:hAnsi="Symbol"/>
                          <w:color w:val="000000"/>
                          <w:szCs w:val="24"/>
                          <w:lang w:eastAsia="lt-LT"/>
                        </w:rPr>
                        <w:t></w:t>
                        <w:tab/>
                      </w:r>
                      <w:r>
                        <w:t xml:space="preserve">„Eureka“ tinklaveikos skatinimas (Partnerių pritraukimo ir paieškos veiklos; </w:t>
                      </w:r>
                      <w:r>
                        <w:rPr>
                          <w:color w:val="000000"/>
                        </w:rPr>
                        <w:t xml:space="preserve">ekspertinės sesijos, grupiniai seminarai intelektinės nuosavybės, sertifikavimo ir kitomis aktualiomis temomis, MTEP produkto komercinio potencialo vertinimo veiklos; </w:t>
                      </w:r>
                      <w:r>
                        <w:t>komunikacinės veiklos MSI sukurtiems MTEP produktams pristatyti, dalinimasis gerąja patirtimi ir kiti komunikacijos veiksmai;</w:t>
                      </w:r>
                    </w:p>
                    <w:p>
                      <w:pPr>
                        <w:shd w:val="clear" w:color="auto" w:fill="FFFFFF"/>
                        <w:ind w:left="720" w:hanging="360"/>
                        <w:rPr>
                          <w:color w:val="000000"/>
                          <w:szCs w:val="24"/>
                          <w:lang w:eastAsia="lt-LT"/>
                        </w:rPr>
                      </w:pPr>
                      <w:r>
                        <w:rPr>
                          <w:rFonts w:ascii="Symbol" w:hAnsi="Symbol"/>
                          <w:color w:val="000000"/>
                          <w:szCs w:val="24"/>
                          <w:lang w:eastAsia="lt-LT"/>
                        </w:rPr>
                        <w:t></w:t>
                        <w:tab/>
                      </w:r>
                      <w:r>
                        <w:rPr>
                          <w:color w:val="000000"/>
                          <w:szCs w:val="24"/>
                          <w:lang w:eastAsia="lt-LT"/>
                        </w:rPr>
                        <w:t>komandiruotės Lietuvoje ir užsienyje.</w:t>
                      </w:r>
                    </w:p>
                  </w:tc>
                </w:tr>
                <w:tr>
                  <w:tc>
                    <w:tcPr>
                      <w:tcW w:w="731" w:type="dxa"/>
                      <w:gridSpan w:val="2"/>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lang w:eastAsia="lt-LT"/>
                        </w:rPr>
                      </w:pPr>
                      <w:r>
                        <w:rPr>
                          <w:szCs w:val="24"/>
                          <w:lang w:eastAsia="lt-LT"/>
                        </w:rPr>
                        <w:t>9.10.2.</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tcPr>
                    <w:p>
                      <w:pPr>
                        <w:jc w:val="both"/>
                        <w:textAlignment w:val="baseline"/>
                        <w:rPr>
                          <w:szCs w:val="24"/>
                          <w:lang w:eastAsia="lt-LT"/>
                        </w:rPr>
                      </w:pPr>
                      <w:r>
                        <w:rPr>
                          <w:szCs w:val="24"/>
                          <w:lang w:eastAsia="lt-LT"/>
                        </w:rPr>
                        <w:t xml:space="preserve">Įranga, įrenginiai ir kitas turtas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tcPr>
                    <w:p>
                      <w:pPr>
                        <w:tabs>
                          <w:tab w:val="left" w:pos="237"/>
                        </w:tabs>
                        <w:jc w:val="both"/>
                        <w:textAlignment w:val="baseline"/>
                        <w:rPr>
                          <w:szCs w:val="24"/>
                        </w:rPr>
                      </w:pPr>
                      <w:r>
                        <w:rPr>
                          <w:szCs w:val="24"/>
                        </w:rPr>
                        <w:t>Šiai išlaidų kategorijai skiriama ne daugiau kaip 20 proc. nuo tinkamų finansuoti išlaidų:</w:t>
                      </w:r>
                    </w:p>
                    <w:p>
                      <w:pPr>
                        <w:tabs>
                          <w:tab w:val="left" w:pos="237"/>
                        </w:tabs>
                        <w:ind w:left="720" w:hanging="360"/>
                        <w:jc w:val="both"/>
                        <w:textAlignment w:val="baseline"/>
                        <w:rPr>
                          <w:szCs w:val="24"/>
                        </w:rPr>
                      </w:pPr>
                      <w:r>
                        <w:rPr>
                          <w:szCs w:val="24"/>
                        </w:rPr>
                        <w:t>-</w:t>
                        <w:tab/>
                        <w:t>MTEP įrengimai, įranga, prietaisai, įrenginiai ir technologijos;</w:t>
                      </w:r>
                    </w:p>
                    <w:p>
                      <w:pPr>
                        <w:tabs>
                          <w:tab w:val="left" w:pos="237"/>
                        </w:tabs>
                        <w:ind w:left="720" w:hanging="360"/>
                        <w:jc w:val="both"/>
                        <w:textAlignment w:val="baseline"/>
                        <w:rPr>
                          <w:szCs w:val="24"/>
                        </w:rPr>
                      </w:pPr>
                      <w:r>
                        <w:rPr>
                          <w:szCs w:val="24"/>
                        </w:rPr>
                        <w:t>-</w:t>
                        <w:tab/>
                        <w:t>kompiuterinė technika ir programinė įranga (išskyrus esamos programinės įrangos atnaujinimą).</w:t>
                      </w:r>
                    </w:p>
                  </w:tc>
                </w:tr>
                <w:tr>
                  <w:tc>
                    <w:tcPr>
                      <w:tcW w:w="14481" w:type="dxa"/>
                      <w:gridSpan w:val="9"/>
                      <w:tcBorders>
                        <w:top w:val="single" w:sz="6" w:space="0" w:color="auto"/>
                        <w:left w:val="single" w:sz="6" w:space="0" w:color="auto"/>
                        <w:bottom w:val="single" w:sz="6" w:space="0" w:color="auto"/>
                        <w:right w:val="single" w:sz="6" w:space="0" w:color="auto"/>
                      </w:tcBorders>
                      <w:shd w:val="clear" w:color="auto" w:fill="auto"/>
                    </w:tcPr>
                    <w:p>
                      <w:pPr>
                        <w:jc w:val="center"/>
                        <w:textAlignment w:val="baseline"/>
                        <w:rPr>
                          <w:szCs w:val="24"/>
                        </w:rPr>
                      </w:pPr>
                    </w:p>
                  </w:tc>
                </w:tr>
                <w:tr>
                  <w:tc>
                    <w:tcPr>
                      <w:tcW w:w="731"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lang w:eastAsia="lt-LT"/>
                        </w:rPr>
                        <w:t>9.10.3.</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szCs w:val="24"/>
                          <w:lang w:eastAsia="lt-LT"/>
                        </w:rPr>
                        <w:t>Informavimas apie projektą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szCs w:val="24"/>
                        </w:rPr>
                        <w:t xml:space="preserve">Tinkama finansuoti: </w:t>
                      </w:r>
                    </w:p>
                    <w:p>
                      <w:pPr>
                        <w:ind w:left="720" w:hanging="360"/>
                        <w:jc w:val="both"/>
                        <w:textAlignment w:val="baseline"/>
                        <w:rPr>
                          <w:szCs w:val="24"/>
                        </w:rPr>
                      </w:pPr>
                      <w:r>
                        <w:rPr>
                          <w:rFonts w:ascii="Symbol" w:hAnsi="Symbol"/>
                          <w:szCs w:val="24"/>
                        </w:rPr>
                        <w:t></w:t>
                        <w:tab/>
                      </w:r>
                      <w:r>
                        <w:rPr>
                          <w:szCs w:val="24"/>
                        </w:rPr>
                        <w:t>privalomos projekto matomumo ir informavimo apie projektą priemonės;</w:t>
                      </w:r>
                    </w:p>
                    <w:p>
                      <w:pPr>
                        <w:ind w:left="720" w:hanging="360"/>
                        <w:jc w:val="both"/>
                        <w:textAlignment w:val="baseline"/>
                        <w:rPr>
                          <w:szCs w:val="24"/>
                        </w:rPr>
                      </w:pPr>
                      <w:r>
                        <w:rPr>
                          <w:rFonts w:ascii="Symbol" w:hAnsi="Symbol"/>
                          <w:szCs w:val="24"/>
                        </w:rPr>
                        <w:t></w:t>
                        <w:tab/>
                      </w:r>
                      <w:r>
                        <w:rPr>
                          <w:szCs w:val="24"/>
                        </w:rPr>
                        <w:t xml:space="preserve">papildomos projekto veiklų sklaidos ir viešinimo priemonės. </w:t>
                      </w:r>
                    </w:p>
                  </w:tc>
                </w:tr>
                <w:tr>
                  <w:tc>
                    <w:tcPr>
                      <w:tcW w:w="731"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lang w:eastAsia="lt-LT"/>
                        </w:rPr>
                        <w:t>9.10.4.</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lang w:eastAsia="lt-LT"/>
                        </w:rPr>
                      </w:pPr>
                      <w:r>
                        <w:rPr>
                          <w:szCs w:val="24"/>
                          <w:lang w:eastAsia="lt-LT"/>
                        </w:rPr>
                        <w:t>Netiesioginės išlaidos ir kitos išlaidos pagal fiksuotąją projekto išlaidų normą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szCs w:val="24"/>
                        </w:rPr>
                      </w:pPr>
                      <w:r>
                        <w:rPr>
                          <w:szCs w:val="24"/>
                          <w:lang w:eastAsia="lt-LT"/>
                        </w:rPr>
                        <w:t xml:space="preserve">Netiesioginės projekto išlaidos apmokamos taikant fiksuotąją normą (7 proc. nuo tinkamų finansuoti projekto tiesioginių išlaidų). </w:t>
                      </w:r>
                      <w:r>
                        <w:rPr>
                          <w:color w:val="000000"/>
                          <w:szCs w:val="24"/>
                          <w:lang w:eastAsia="lt-LT"/>
                        </w:rPr>
                        <w:t>Išlaidas gali patirti Projekto vykdytojas ir Projekto partneriai.</w:t>
                      </w:r>
                    </w:p>
                    <w:p>
                      <w:pPr>
                        <w:jc w:val="both"/>
                        <w:textAlignment w:val="baseline"/>
                        <w:rPr>
                          <w:color w:val="000000"/>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14449" w:type="dxa"/>
                      <w:gridSpan w:val="7"/>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gridSpan w:val="2"/>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pPr>
                        <w:rPr>
                          <w:szCs w:val="24"/>
                        </w:rPr>
                      </w:pPr>
                      <w:r>
                        <w:rPr>
                          <w:szCs w:val="24"/>
                        </w:rPr>
                        <w:t>Netiesioginės projekto išlaidos</w:t>
                      </w:r>
                    </w:p>
                  </w:tc>
                  <w:tc>
                    <w:tcPr>
                      <w:tcW w:w="2890" w:type="dxa"/>
                      <w:gridSpan w:val="2"/>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szCs w:val="24"/>
                        </w:rPr>
                        <w:t>Netiesioginės išlaidos sudaro iki 7 proc. tinkamų finansuoti tiesioginių projekto išlaidų</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gridSpan w:val="2"/>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gridSpan w:val="2"/>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rPr>
                          <w:szCs w:val="24"/>
                        </w:rPr>
                      </w:pPr>
                    </w:p>
                    <w:p>
                      <w:pPr>
                        <w:rPr>
                          <w:szCs w:val="24"/>
                        </w:rPr>
                      </w:pPr>
                    </w:p>
                    <w:p>
                      <w:pPr>
                        <w:rPr>
                          <w:szCs w:val="24"/>
                        </w:rPr>
                      </w:pPr>
                    </w:p>
                    <w:p>
                      <w:pPr>
                        <w:rPr>
                          <w:szCs w:val="24"/>
                        </w:rPr>
                      </w:pPr>
                    </w:p>
                    <w:p>
                      <w:pPr>
                        <w:rPr>
                          <w:szCs w:val="24"/>
                        </w:rPr>
                      </w:pPr>
                    </w:p>
                    <w:p>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darbo dienų (toliau – d. d.) (jeigu dirbama 5 d. d. per savaitę) arba 24 d. d. (jeigu dirbama 6 d. d. per savaitę) kasmetinės atostogos</w:t>
                      </w: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12,35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15,25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Before w:val="1"/>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w:t>
                      </w:r>
                    </w:p>
                  </w:tc>
                </w:tr>
              </w:tbl>
              <w:p>
                <w:pPr>
                  <w:jc w:val="both"/>
                  <w:rPr>
                    <w:szCs w:val="24"/>
                  </w:rPr>
                </w:pPr>
              </w:p>
              <w:p>
                <w:pPr>
                  <w:jc w:val="both"/>
                  <w:rPr>
                    <w:szCs w:val="24"/>
                  </w:rPr>
                </w:pPr>
                <w:r>
                  <w:rPr>
                    <w:szCs w:val="24"/>
                  </w:rPr>
                  <w:t xml:space="preserve">9.11. Projektas ir projekto veiklos negali būti finansuotos ar finansuojamos iš kitų Lietuvos Respublikos valstybės biudžeto ir (arba) savivaldybių biudžetų, kitų piniginių išteklių, kuriais disponuoja valstybė ir (ar) savivaldybės, Europos Sąjungos struktūrinių fondų, kitų Europos Sąjungos finansinės paramos priemonių ar kitos tarptautinės paramos lėšų, kurioms apmokėti skyrus Europos Sąjungos struktūrinių fondų lėšų jos būtų pripažintos tinkamomis finansuoti ir (arba) apmokėtos daugiau nei vieną kartą. </w:t>
                </w:r>
              </w:p>
              <w:p>
                <w:pPr>
                  <w:jc w:val="both"/>
                  <w:rPr>
                    <w:b/>
                    <w:bCs/>
                    <w:szCs w:val="24"/>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szCs w:val="24"/>
                        </w:rPr>
                        <w:t>Netiesioginės išlaidos sudaro iki 7 proc. tinkamų finansuoti tiesioginių projekto išlaidų</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100 km iki 499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500 km iki 1999 km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2 000 km iki 2 999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FĮ-32-05</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3 000 km iki 3 999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FĮ-32-06</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nuo 4 000 km iki 7 999 km</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FĮ-32-07</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Projekto dalyvio ir (arba) projektą vykdančio personalo kelionės į užsienį fiksuotasis vieneto įkainis, kai kelionės į vieną pusę atstumas siekia 8 000 km ir daugiau</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1-oje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2-oje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3-oje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4-oje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FĮ-34-05</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vienos dienos, praleistos komandiruotėje, fiksuotasis vieneto įkainis (kai komandiruotė trunka dvi ir daugiau dienų), kai vykstama į šalį, nustatytą 5-oje šalių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FĮ-34-06</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6-oje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FĮ-34-07</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7-oje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FĮ-34-08</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8-oje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FĮ-34-09</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9-oje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Darbuotojo komandiruotė į užsienio valstybę (-es)</w:t>
                      </w:r>
                    </w:p>
                    <w:p>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FĮ-34-10</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Darbuotojo komandiruotės fiksuotasis vieneto įkainis (kai komandiruotė trunka vieną dieną), kai vykstama į šalį, nustatytą 10-oje grupėje</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FĮ-22-01</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FĮ-22-02</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Cs w:val="24"/>
                        </w:rPr>
                      </w:pPr>
                      <w:r>
                        <w:rPr>
                          <w:szCs w:val="24"/>
                        </w:rPr>
                        <w:t>Privalomos projektų matomumo ir informavimo apie projektus priemonės</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Privalomos projektų matomumo ir informavimo apie projektus priemonės</w:t>
                      </w:r>
                    </w:p>
                    <w:p>
                      <w:pPr>
                        <w:rPr>
                          <w:sz w:val="8"/>
                          <w:szCs w:val="8"/>
                        </w:rPr>
                      </w:pP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8"/>
                          <w:szCs w:val="8"/>
                        </w:rPr>
                      </w:pPr>
                    </w:p>
                    <w:p>
                      <w:pPr>
                        <w:rPr>
                          <w:szCs w:val="24"/>
                        </w:rPr>
                      </w:pPr>
                      <w:r>
                        <w:rPr>
                          <w:szCs w:val="24"/>
                        </w:rPr>
                        <w:t>Privalomos projektų matomumo ir informavimo apie projektus priemonės</w:t>
                      </w:r>
                    </w:p>
                    <w:p>
                      <w:pPr>
                        <w:rPr>
                          <w:sz w:val="8"/>
                          <w:szCs w:val="8"/>
                        </w:rPr>
                      </w:pPr>
                    </w:p>
                    <w:p>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Cs w:val="24"/>
                        </w:rPr>
                      </w:pPr>
                      <w:r>
                        <w:rPr>
                          <w:i/>
                          <w:iCs/>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20 d. d. (jeigu dirbama 5 d. d. per savaitę) arba 24 d. d. (jeigu dirbama 6 d. d. per savaitę) kasmetinės atostogos</w:t>
                      </w:r>
                    </w:p>
                    <w:p>
                      <w:pPr>
                        <w:rPr>
                          <w:szCs w:val="24"/>
                        </w:rPr>
                      </w:pP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r>
                  <w:tc>
                    <w:tcPr>
                      <w:tcW w:w="2889"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pPr>
                        <w:rPr>
                          <w:szCs w:val="24"/>
                        </w:rPr>
                      </w:pPr>
                      <w:r>
                        <w:rPr>
                          <w:szCs w:val="24"/>
                        </w:rPr>
                        <w:t>-</w:t>
                      </w:r>
                    </w:p>
                  </w:tc>
                </w:tr>
              </w:tbl>
              <w:p>
                <w:pPr>
                  <w:jc w:val="both"/>
                  <w:rPr>
                    <w:szCs w:val="24"/>
                  </w:rPr>
                </w:pPr>
              </w:p>
              <w:p>
                <w:pPr>
                  <w:jc w:val="both"/>
                  <w:rPr>
                    <w:i/>
                    <w:iCs/>
                    <w:szCs w:val="24"/>
                  </w:rPr>
                </w:pPr>
              </w:p>
            </w:tc>
          </w:tr>
        </w:tbl>
        <w:sdt>
          <w:sdtPr>
            <w:alias w:val="pabaiga"/>
            <w:tag w:val="part_6481810f99d74d57a30ac0431eb55a18"/>
            <w:lock w:val="sdtLocked"/>
            <w:richText/>
          </w:sdtPr>
          <w:sdtContent>
            <w:p>
              <w:pPr>
                <w:spacing w:line="276" w:lineRule="auto"/>
                <w:jc w:val="center"/>
                <w:rPr>
                  <w:rFonts w:eastAsia="Calibri"/>
                  <w:szCs w:val="24"/>
                </w:rPr>
              </w:pPr>
              <w:r>
                <w:rPr>
                  <w:rFonts w:eastAsia="Calibri"/>
                  <w:szCs w:val="24"/>
                </w:rPr>
                <w:t>________________</w:t>
              </w:r>
            </w:p>
            <w:p>
              <w:pPr>
                <w:spacing w:line="259" w:lineRule="auto"/>
                <w:rPr>
                  <w:rFonts w:eastAsia="Calibri"/>
                  <w:szCs w:val="24"/>
                </w:rPr>
              </w:pPr>
              <w:r>
                <w:rPr>
                  <w:rFonts w:eastAsia="Calibri"/>
                  <w:szCs w:val="24"/>
                </w:rPr>
                <w:br w:type="page"/>
              </w:r>
            </w:p>
            <w:p>
              <w:pPr>
                <w:rPr>
                  <w:sz w:val="14"/>
                  <w:szCs w:val="14"/>
                </w:rPr>
              </w:pPr>
            </w:p>
            <w:p>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1134" w:bottom="567" w:left="1134" w:header="567" w:footer="567" w:gutter="0"/>
                  <w:pgNumType w:start="1"/>
                  <w:cols w:space="1296"/>
                  <w:titlePg/>
                  <w:docGrid w:linePitch="360"/>
                </w:sectPr>
              </w:pPr>
            </w:p>
            <w:p>
              <w:pPr>
                <w:tabs>
                  <w:tab w:val="center" w:pos="4819"/>
                  <w:tab w:val="right" w:pos="9638"/>
                </w:tabs>
              </w:pPr>
            </w:p>
          </w:sdtContent>
        </w:sdt>
      </w:sdtContent>
    </w:sdt>
    <w:sdt>
      <w:sdtPr>
        <w:alias w:val="1 pr."/>
        <w:tag w:val="part_d84e63c914824dff8a656b65ece28adc"/>
        <w:lock w:val="sdtLocked"/>
        <w:richText/>
      </w:sdtPr>
      <w:sdtContent>
        <w:p>
          <w:pPr>
            <w:ind w:left="10206"/>
            <w:jc w:val="both"/>
            <w:rPr>
              <w:szCs w:val="24"/>
            </w:rPr>
          </w:pPr>
          <w:r>
            <w:rPr>
              <w:szCs w:val="24"/>
            </w:rPr>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pPr>
            <w:ind w:left="10206"/>
            <w:jc w:val="both"/>
            <w:rPr>
              <w:szCs w:val="24"/>
            </w:rPr>
          </w:pPr>
          <w:sdt>
            <w:sdtPr>
              <w:alias w:val="Numeris"/>
              <w:tag w:val="nr_d84e63c914824dff8a656b65ece28adc"/>
              <w:lock w:val="sdtLocked"/>
              <w:richText/>
            </w:sdtPr>
            <w:sdtContent>
              <w:r>
                <w:rPr>
                  <w:szCs w:val="24"/>
                </w:rPr>
                <w:t>1</w:t>
              </w:r>
            </w:sdtContent>
          </w:sdt>
          <w:r>
            <w:rPr>
              <w:szCs w:val="24"/>
            </w:rPr>
            <w:t xml:space="preserve"> priedas</w:t>
          </w:r>
        </w:p>
        <w:p>
          <w:pPr>
            <w:jc w:val="center"/>
            <w:rPr>
              <w:b/>
              <w:bCs/>
              <w:szCs w:val="24"/>
            </w:rPr>
          </w:pPr>
        </w:p>
        <w:p>
          <w:pPr>
            <w:jc w:val="center"/>
            <w:rPr>
              <w:rFonts w:eastAsia="Calibri"/>
              <w:b/>
              <w:bCs/>
              <w:szCs w:val="24"/>
            </w:rPr>
          </w:pPr>
        </w:p>
        <w:p>
          <w:pPr>
            <w:jc w:val="center"/>
            <w:rPr>
              <w:rFonts w:eastAsia="Calibri"/>
              <w:b/>
              <w:bCs/>
              <w:szCs w:val="24"/>
            </w:rPr>
          </w:pPr>
          <w:sdt>
            <w:sdtPr>
              <w:alias w:val="Pavadinimas"/>
              <w:tag w:val="title_d84e63c914824dff8a656b65ece28adc"/>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pPr>
            <w:spacing w:line="276" w:lineRule="auto"/>
            <w:jc w:val="both"/>
            <w:rPr>
              <w:rFonts w:eastAsia="Calibri"/>
              <w:szCs w:val="24"/>
            </w:rPr>
          </w:pPr>
          <w:r>
            <w:rPr>
              <w:szCs w:val="24"/>
            </w:rPr>
            <w:t>× Europos Sąjungos fondų i</w:t>
          </w:r>
          <w:r>
            <w:rPr>
              <w:rFonts w:eastAsia="Calibri"/>
              <w:szCs w:val="24"/>
            </w:rPr>
            <w:t>nvesticijų programa (toliau – ESIP)</w:t>
          </w:r>
        </w:p>
        <w:p>
          <w:pPr>
            <w:spacing w:line="276" w:lineRule="auto"/>
            <w:jc w:val="both"/>
            <w:rPr>
              <w:rFonts w:eastAsia="Calibri"/>
              <w:szCs w:val="24"/>
            </w:rPr>
          </w:pPr>
        </w:p>
        <w:p>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spacing w:line="259" w:lineRule="auto"/>
                  <w:jc w:val="both"/>
                  <w:rPr>
                    <w:rFonts w:eastAsia="Calibri"/>
                    <w:bCs/>
                    <w:i/>
                    <w:sz w:val="22"/>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 w:val="22"/>
                    <w:szCs w:val="22"/>
                  </w:rPr>
                  <w:t xml:space="preserve">nes: </w:t>
                </w:r>
              </w:p>
              <w:p>
                <w:pPr>
                  <w:rPr>
                    <w:sz w:val="14"/>
                    <w:szCs w:val="14"/>
                  </w:rPr>
                </w:pPr>
              </w:p>
              <w:p>
                <w:pPr>
                  <w:jc w:val="both"/>
                  <w:rPr>
                    <w:rFonts w:eastAsia="Calibri"/>
                    <w:bCs/>
                    <w:i/>
                    <w:sz w:val="20"/>
                  </w:rPr>
                </w:pPr>
                <w:r>
                  <w:rPr>
                    <w:rFonts w:eastAsia="Calibri"/>
                    <w:bCs/>
                    <w:szCs w:val="22"/>
                  </w:rPr>
                  <w:t>- </w:t>
                </w:r>
                <w:r>
                  <w:rPr>
                    <w:rFonts w:eastAsia="Calibri"/>
                    <w:bCs/>
                    <w:sz w:val="22"/>
                    <w:szCs w:val="22"/>
                  </w:rPr>
                  <w:t>planuojama įsigyti įranga privalės atitikti (tai bus numatoma atitinkamuose įrangos įsigijimo dokumentuose) efektyvumo, tvarumo, ilgaamžiškumo reikalavimus pagal Direktyvą 2009/125/EC ir Direktyvą 2011/65/EU (taikoma, jeigu vykdant veiklas, yra numatoma įsigyti IT ir kt. įrangą).</w:t>
                </w:r>
              </w:p>
            </w:tc>
            <w:tc>
              <w:tcPr>
                <w:tcW w:w="5331" w:type="dxa"/>
              </w:tcPr>
              <w:p>
                <w:pPr>
                  <w:tabs>
                    <w:tab w:val="left" w:pos="589"/>
                  </w:tabs>
                  <w:spacing w:line="259" w:lineRule="auto"/>
                  <w:jc w:val="both"/>
                  <w:rPr>
                    <w:rFonts w:eastAsia="Calibri"/>
                    <w:sz w:val="22"/>
                    <w:szCs w:val="22"/>
                  </w:rPr>
                </w:pPr>
                <w:r>
                  <w:rPr>
                    <w:rFonts w:eastAsia="Calibri"/>
                    <w:sz w:val="22"/>
                    <w:szCs w:val="22"/>
                  </w:rPr>
                  <w:t>Pirkimų dokumentacija, sutartis su rangovu, darbų atlikimo aktas ir pan.</w:t>
                </w:r>
              </w:p>
              <w:p>
                <w:pPr>
                  <w:rPr>
                    <w:sz w:val="14"/>
                    <w:szCs w:val="14"/>
                  </w:rPr>
                </w:pPr>
              </w:p>
              <w:p>
                <w:pPr>
                  <w:tabs>
                    <w:tab w:val="left" w:pos="589"/>
                  </w:tabs>
                  <w:jc w:val="both"/>
                  <w:rPr>
                    <w:rFonts w:eastAsia="Calibri"/>
                    <w:sz w:val="22"/>
                    <w:szCs w:val="22"/>
                  </w:rPr>
                </w:pPr>
                <w:r>
                  <w:rPr>
                    <w:rFonts w:eastAsia="Calibri"/>
                    <w:sz w:val="22"/>
                    <w:szCs w:val="22"/>
                  </w:rPr>
                  <w:t>Įrangos įsigijimo dokumentai.</w:t>
                </w:r>
              </w:p>
              <w:p>
                <w:pPr>
                  <w:tabs>
                    <w:tab w:val="left" w:pos="589"/>
                  </w:tabs>
                  <w:jc w:val="both"/>
                  <w:rPr>
                    <w:rFonts w:eastAsia="Calibri"/>
                    <w:sz w:val="22"/>
                    <w:szCs w:val="22"/>
                  </w:rPr>
                </w:pPr>
                <w:r>
                  <w:rPr>
                    <w:rFonts w:eastAsia="Calibri"/>
                    <w:sz w:val="22"/>
                    <w:szCs w:val="22"/>
                  </w:rPr>
                  <w:t>Projekto vykdytojo deklaracija.</w:t>
                </w:r>
              </w:p>
              <w:p>
                <w:pPr>
                  <w:tabs>
                    <w:tab w:val="left" w:pos="589"/>
                  </w:tabs>
                  <w:jc w:val="both"/>
                  <w:rPr>
                    <w:rFonts w:eastAsia="Calibri"/>
                    <w:i/>
                    <w:sz w:val="20"/>
                  </w:rPr>
                </w:pP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rFonts w:eastAsia="Calibri"/>
                    <w:bCs/>
                    <w:szCs w:val="24"/>
                  </w:rPr>
                </w:pPr>
                <w:r>
                  <w:rPr>
                    <w:rFonts w:eastAsia="Calibri"/>
                    <w:bCs/>
                    <w:sz w:val="22"/>
                    <w:szCs w:val="22"/>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(kondensavimo) poreikius ir kt.</w:t>
                </w:r>
              </w:p>
            </w:tc>
            <w:tc>
              <w:tcPr>
                <w:tcW w:w="5331" w:type="dxa"/>
              </w:tcPr>
              <w:p>
                <w:pPr>
                  <w:tabs>
                    <w:tab w:val="left" w:pos="31"/>
                  </w:tabs>
                  <w:ind w:firstLine="57"/>
                  <w:jc w:val="both"/>
                  <w:rPr>
                    <w:rFonts w:eastAsia="Calibri"/>
                    <w:sz w:val="22"/>
                    <w:szCs w:val="22"/>
                  </w:rPr>
                </w:pPr>
                <w:r>
                  <w:rPr>
                    <w:rFonts w:eastAsia="Calibri"/>
                    <w:sz w:val="22"/>
                    <w:szCs w:val="22"/>
                  </w:rPr>
                  <w:t>Pirkimų dokumentacija, sutartis su rangovu, darbų atlikimo aktas ir pan.</w:t>
                </w:r>
              </w:p>
              <w:p>
                <w:pPr>
                  <w:jc w:val="both"/>
                  <w:rPr>
                    <w:rFonts w:eastAsia="Calibri"/>
                    <w:sz w:val="22"/>
                    <w:szCs w:val="22"/>
                  </w:rPr>
                </w:pPr>
                <w:r>
                  <w:rPr>
                    <w:rFonts w:eastAsia="Calibri"/>
                    <w:sz w:val="22"/>
                    <w:szCs w:val="22"/>
                  </w:rPr>
                  <w:t>Įrangos įsigijimo dokumentai.</w:t>
                </w:r>
              </w:p>
              <w:p>
                <w:pPr>
                  <w:jc w:val="both"/>
                  <w:rPr>
                    <w:rFonts w:eastAsia="Calibri"/>
                    <w:bCs/>
                    <w:szCs w:val="24"/>
                  </w:rPr>
                </w:pPr>
                <w:r>
                  <w:rPr>
                    <w:rFonts w:eastAsia="Calibri"/>
                    <w:bCs/>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pPr>
                  <w:jc w:val="both"/>
                  <w:rPr>
                    <w:rFonts w:eastAsia="Calibri"/>
                    <w:bCs/>
                    <w:sz w:val="22"/>
                    <w:szCs w:val="22"/>
                  </w:rPr>
                </w:pPr>
                <w:r>
                  <w:rPr>
                    <w:rFonts w:eastAsia="Calibri"/>
                    <w:bCs/>
                    <w:sz w:val="22"/>
                    <w:szCs w:val="22"/>
                  </w:rPr>
                  <w:t>Pirkimų dokumentacija, sutartis su rangovu, darbų atlikimo aktas ir pan.</w:t>
                </w:r>
              </w:p>
              <w:p>
                <w:pPr>
                  <w:jc w:val="both"/>
                  <w:rPr>
                    <w:rFonts w:eastAsia="Calibri"/>
                    <w:bCs/>
                    <w:sz w:val="22"/>
                    <w:szCs w:val="22"/>
                  </w:rPr>
                </w:pPr>
                <w:r>
                  <w:rPr>
                    <w:rFonts w:eastAsia="Calibri"/>
                    <w:bCs/>
                    <w:sz w:val="22"/>
                    <w:szCs w:val="22"/>
                  </w:rPr>
                  <w:t>Įrangos įsigijimo dokumentai.</w:t>
                </w:r>
              </w:p>
              <w:p>
                <w:pPr>
                  <w:jc w:val="both"/>
                  <w:rPr>
                    <w:rFonts w:eastAsia="Calibri"/>
                    <w:bCs/>
                    <w:szCs w:val="24"/>
                  </w:rPr>
                </w:pPr>
                <w:r>
                  <w:rPr>
                    <w:rFonts w:eastAsia="Calibri"/>
                    <w:bCs/>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spacing w:line="259" w:lineRule="auto"/>
                  <w:jc w:val="both"/>
                  <w:rPr>
                    <w:rFonts w:eastAsia="Calibri"/>
                    <w:bCs/>
                    <w:sz w:val="22"/>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pPr>
                  <w:rPr>
                    <w:sz w:val="14"/>
                    <w:szCs w:val="14"/>
                  </w:rPr>
                </w:pPr>
              </w:p>
              <w:p>
                <w:pPr>
                  <w:spacing w:line="259" w:lineRule="auto"/>
                  <w:jc w:val="both"/>
                  <w:rPr>
                    <w:rFonts w:eastAsia="Calibri"/>
                    <w:bCs/>
                    <w:sz w:val="22"/>
                    <w:szCs w:val="22"/>
                  </w:rPr>
                </w:pPr>
                <w:r>
                  <w:rPr>
                    <w:rFonts w:eastAsia="Calibri"/>
                    <w:bCs/>
                    <w:sz w:val="22"/>
                    <w:szCs w:val="22"/>
                  </w:rPr>
                  <w:t>Planuojama įsigyti įranga privalės atitikti (tai bus numatoma atitinkamuose įrangos įsigijimo dokumentuose) efektyvumo, tvarumo, ilgaamžiškumo reikalavimus pagal Direktyvą 2009/125/EC (serveriams ir duomenims saugoti, kompiuteriams ir kompiuterių serveriams ar elektroniniams ekranams) ir Direktyvą 2011/65/EU.</w:t>
                </w:r>
              </w:p>
              <w:p>
                <w:pPr>
                  <w:rPr>
                    <w:sz w:val="14"/>
                    <w:szCs w:val="14"/>
                  </w:rPr>
                </w:pPr>
              </w:p>
              <w:p>
                <w:pPr>
                  <w:jc w:val="both"/>
                  <w:rPr>
                    <w:rFonts w:eastAsia="Calibri"/>
                    <w:bCs/>
                    <w:szCs w:val="24"/>
                  </w:rPr>
                </w:pPr>
                <w:r>
                  <w:rPr>
                    <w:rFonts w:eastAsia="Calibri"/>
                    <w:bCs/>
                    <w:sz w:val="22"/>
                    <w:szCs w:val="22"/>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31" w:type="dxa"/>
              </w:tcPr>
              <w:p>
                <w:pPr>
                  <w:jc w:val="both"/>
                  <w:rPr>
                    <w:rFonts w:eastAsia="Calibri"/>
                    <w:sz w:val="22"/>
                    <w:szCs w:val="22"/>
                  </w:rPr>
                </w:pPr>
                <w:r>
                  <w:rPr>
                    <w:rFonts w:eastAsia="Calibri"/>
                    <w:sz w:val="22"/>
                    <w:szCs w:val="22"/>
                  </w:rPr>
                  <w:t>Pirkimų dokumentacija, sutartis su rangovu, darbų atlikimo aktas ir pan.</w:t>
                </w:r>
              </w:p>
              <w:p>
                <w:pPr>
                  <w:jc w:val="both"/>
                  <w:rPr>
                    <w:rFonts w:eastAsia="Calibri"/>
                    <w:sz w:val="22"/>
                    <w:szCs w:val="22"/>
                  </w:rPr>
                </w:pPr>
                <w:r>
                  <w:rPr>
                    <w:rFonts w:eastAsia="Calibri"/>
                    <w:sz w:val="22"/>
                    <w:szCs w:val="22"/>
                  </w:rPr>
                  <w:t>IT įrangos įsigijimo dokumentai.</w:t>
                </w:r>
              </w:p>
              <w:p>
                <w:pPr>
                  <w:jc w:val="both"/>
                  <w:rPr>
                    <w:rFonts w:eastAsia="Calibri"/>
                    <w:szCs w:val="24"/>
                  </w:rPr>
                </w:pPr>
                <w:r>
                  <w:rPr>
                    <w:rFonts w:eastAsia="Calibri"/>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pPr>
                  <w:rPr>
                    <w:sz w:val="14"/>
                    <w:szCs w:val="14"/>
                  </w:rPr>
                </w:pPr>
              </w:p>
              <w:p>
                <w:pPr>
                  <w:rPr>
                    <w:sz w:val="14"/>
                    <w:szCs w:val="14"/>
                  </w:rPr>
                </w:pPr>
              </w:p>
              <w:p>
                <w:pPr>
                  <w:spacing w:line="259" w:lineRule="auto"/>
                  <w:jc w:val="both"/>
                  <w:rPr>
                    <w:rFonts w:eastAsia="Calibri"/>
                    <w:sz w:val="22"/>
                    <w:szCs w:val="22"/>
                  </w:rPr>
                </w:pPr>
                <w:r>
                  <w:rPr>
                    <w:rFonts w:eastAsia="Calibri"/>
                    <w:sz w:val="22"/>
                    <w:szCs w:val="22"/>
                  </w:rPr>
                  <w:t>Nenumatoma, kad įgyvendinant reformą ar investiciją padidės teršalų išmetimas į orą, vandenį ar žemę, kadangi:</w:t>
                </w:r>
              </w:p>
              <w:p>
                <w:pPr>
                  <w:rPr>
                    <w:sz w:val="14"/>
                    <w:szCs w:val="14"/>
                  </w:rPr>
                </w:pPr>
              </w:p>
              <w:p>
                <w:pPr>
                  <w:jc w:val="both"/>
                  <w:rPr>
                    <w:rFonts w:eastAsia="Calibri"/>
                    <w:sz w:val="22"/>
                    <w:szCs w:val="22"/>
                  </w:rPr>
                </w:pPr>
                <w:r>
                  <w:rPr>
                    <w:rFonts w:eastAsia="Calibri"/>
                    <w:sz w:val="22"/>
                    <w:szCs w:val="22"/>
                  </w:rPr>
                  <w:t>* statybose naudojamose statybinėse dalyse ir medžiagose nėra asbesto ir labai didelį susirūpinimą keliančių medžiagų, nustatytų remiantis medžiagų, kurioms reikalingas leidimas, sąrašu, nurodytu Europos Parlamento reglamento (EB) Nr. 1907/2006 XIV priede ir Tarybos;</w:t>
                </w:r>
              </w:p>
              <w:p>
                <w:pPr>
                  <w:jc w:val="both"/>
                  <w:rPr>
                    <w:rFonts w:eastAsia="Calibri"/>
                    <w:sz w:val="22"/>
                    <w:szCs w:val="22"/>
                  </w:rPr>
                </w:pPr>
                <w:r>
                  <w:rPr>
                    <w:rFonts w:eastAsia="Calibri"/>
                    <w:sz w:val="22"/>
                    <w:szCs w:val="22"/>
                  </w:rPr>
                  <w:t>* statyboje naudojami komponentai ir medžiagos, galinčios liestis su gyventojais, išskiria mažiau nei 0,06 mg formaldehido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pPr>
                  <w:spacing w:line="259" w:lineRule="auto"/>
                  <w:jc w:val="both"/>
                  <w:rPr>
                    <w:rFonts w:eastAsia="Calibri"/>
                    <w:sz w:val="22"/>
                    <w:szCs w:val="22"/>
                  </w:rPr>
                </w:pPr>
                <w:r>
                  <w:rPr>
                    <w:rFonts w:eastAsia="Calibri"/>
                    <w:sz w:val="22"/>
                    <w:szCs w:val="22"/>
                  </w:rPr>
                  <w:t>* imamasi priemonių sumažinti triukšmą, dulkes ir teršalus išmetant statybos ar priežiūros darbus.</w:t>
                </w:r>
              </w:p>
              <w:p>
                <w:pPr>
                  <w:rPr>
                    <w:sz w:val="14"/>
                    <w:szCs w:val="14"/>
                  </w:rPr>
                </w:pPr>
              </w:p>
              <w:p>
                <w:pPr>
                  <w:spacing w:line="259" w:lineRule="auto"/>
                  <w:jc w:val="both"/>
                  <w:rPr>
                    <w:rFonts w:eastAsia="Calibri"/>
                    <w:sz w:val="22"/>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pPr>
                  <w:rPr>
                    <w:sz w:val="14"/>
                    <w:szCs w:val="14"/>
                  </w:rPr>
                </w:pPr>
              </w:p>
              <w:p>
                <w:pPr>
                  <w:rPr>
                    <w:rFonts w:eastAsia="Calibri"/>
                    <w:b/>
                    <w:szCs w:val="24"/>
                  </w:rPr>
                </w:pPr>
                <w:r>
                  <w:rPr>
                    <w:rFonts w:eastAsia="Calibri"/>
                    <w:sz w:val="22"/>
                    <w:szCs w:val="22"/>
                  </w:rPr>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pPr>
                  <w:jc w:val="both"/>
                  <w:rPr>
                    <w:rFonts w:eastAsia="Calibri"/>
                    <w:sz w:val="22"/>
                    <w:szCs w:val="22"/>
                  </w:rPr>
                </w:pPr>
                <w:r>
                  <w:rPr>
                    <w:rFonts w:eastAsia="Calibri"/>
                    <w:sz w:val="22"/>
                    <w:szCs w:val="22"/>
                  </w:rPr>
                  <w:t>Pirkimų dokumentacija, sutartis su rangovu, darbų atlikimo aktas ir pan.</w:t>
                </w:r>
              </w:p>
              <w:p>
                <w:pPr>
                  <w:jc w:val="both"/>
                  <w:rPr>
                    <w:rFonts w:eastAsia="Calibri"/>
                    <w:sz w:val="22"/>
                    <w:szCs w:val="22"/>
                  </w:rPr>
                </w:pPr>
                <w:r>
                  <w:rPr>
                    <w:rFonts w:eastAsia="Calibri"/>
                    <w:sz w:val="22"/>
                    <w:szCs w:val="22"/>
                  </w:rPr>
                  <w:t>Įrangos įsigijimo dokumentai.</w:t>
                </w:r>
              </w:p>
              <w:p>
                <w:pPr>
                  <w:jc w:val="both"/>
                  <w:rPr>
                    <w:rFonts w:eastAsia="Calibri"/>
                    <w:szCs w:val="24"/>
                  </w:rPr>
                </w:pPr>
                <w:r>
                  <w:rPr>
                    <w:rFonts w:eastAsia="Calibri"/>
                    <w:sz w:val="22"/>
                    <w:szCs w:val="22"/>
                  </w:rPr>
                  <w:t>Projekto vykdytojo deklaracija.</w:t>
                </w: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spacing w:line="259" w:lineRule="auto"/>
                  <w:jc w:val="both"/>
                  <w:rPr>
                    <w:rFonts w:eastAsia="Calibri"/>
                    <w:sz w:val="22"/>
                    <w:szCs w:val="22"/>
                  </w:rPr>
                </w:pPr>
                <w:r>
                  <w:rPr>
                    <w:rFonts w:eastAsia="Calibri"/>
                    <w:sz w:val="22"/>
                    <w:szCs w:val="22"/>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pPr>
                  <w:rPr>
                    <w:sz w:val="14"/>
                    <w:szCs w:val="14"/>
                  </w:rPr>
                </w:pPr>
              </w:p>
              <w:p>
                <w:pPr>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pPr>
                  <w:jc w:val="both"/>
                  <w:rPr>
                    <w:rFonts w:eastAsia="Calibri"/>
                    <w:szCs w:val="24"/>
                  </w:rPr>
                </w:pPr>
                <w:r>
                  <w:rPr>
                    <w:rFonts w:eastAsia="Calibri"/>
                    <w:sz w:val="22"/>
                    <w:szCs w:val="22"/>
                  </w:rPr>
                  <w:t>Projekto vykdytojo deklaracija</w:t>
                </w:r>
              </w:p>
            </w:tc>
          </w:tr>
        </w:tbl>
        <w:p>
          <w:pPr>
            <w:spacing w:line="276" w:lineRule="auto"/>
            <w:jc w:val="center"/>
            <w:rPr>
              <w:rFonts w:ascii="Calibri" w:eastAsia="Calibri" w:hAnsi="Calibri"/>
              <w:szCs w:val="24"/>
            </w:rPr>
          </w:pPr>
        </w:p>
        <w:p>
          <w:pPr>
            <w:spacing w:line="276" w:lineRule="auto"/>
            <w:jc w:val="center"/>
            <w:rPr>
              <w:rFonts w:ascii="Calibri" w:eastAsia="Calibri" w:hAnsi="Calibri"/>
              <w:szCs w:val="24"/>
            </w:rPr>
          </w:pPr>
          <w:r>
            <w:rPr>
              <w:szCs w:val="24"/>
            </w:rPr>
            <w:t>___________________________________</w:t>
          </w:r>
        </w:p>
        <w:p>
          <w:pPr>
            <w:spacing w:line="259" w:lineRule="auto"/>
            <w:rPr>
              <w:rFonts w:ascii="Calibri" w:eastAsia="Calibri" w:hAnsi="Calibri"/>
              <w:szCs w:val="24"/>
            </w:rPr>
            <w:sectPr>
              <w:pgSz w:w="16838" w:h="11906" w:orient="landscape"/>
              <w:pgMar w:top="1701" w:right="567" w:bottom="1134" w:left="1701" w:header="567" w:footer="567" w:gutter="0"/>
              <w:pgNumType w:start="1"/>
              <w:cols w:space="1296"/>
              <w:titlePg/>
              <w:docGrid w:linePitch="360"/>
            </w:sectPr>
          </w:pPr>
        </w:p>
        <w:p>
          <w:pPr>
            <w:rPr>
              <w:sz w:val="14"/>
              <w:szCs w:val="14"/>
            </w:rPr>
          </w:pPr>
        </w:p>
        <w:p>
          <w:pPr>
            <w:tabs>
              <w:tab w:val="center" w:pos="4819"/>
              <w:tab w:val="right" w:pos="9638"/>
            </w:tabs>
          </w:pPr>
        </w:p>
        <w:p>
          <w:pPr>
            <w:spacing w:line="259" w:lineRule="auto"/>
            <w:rPr>
              <w:rFonts w:ascii="Calibri" w:eastAsia="Calibri" w:hAnsi="Calibri"/>
              <w:szCs w:val="24"/>
            </w:rPr>
          </w:pPr>
        </w:p>
        <w:p>
          <w:pPr>
            <w:rPr>
              <w:sz w:val="14"/>
              <w:szCs w:val="14"/>
            </w:rPr>
          </w:pPr>
        </w:p>
        <w:p>
          <w:pPr>
            <w:spacing w:line="276" w:lineRule="auto"/>
            <w:jc w:val="center"/>
            <w:rPr>
              <w:rFonts w:ascii="Calibri" w:eastAsia="Calibri" w:hAnsi="Calibri"/>
              <w:szCs w:val="24"/>
            </w:rPr>
          </w:pPr>
        </w:p>
      </w:sdtContent>
    </w:sdt>
    <w:sdt>
      <w:sdtPr>
        <w:alias w:val="2 pr."/>
        <w:tag w:val="part_1eaa3770f7c54aeeab82aa45de6545f0"/>
        <w:lock w:val="sdtLocked"/>
        <w:richText/>
      </w:sdtPr>
      <w:sdtContent>
        <w:p>
          <w:pPr>
            <w:ind w:left="10206"/>
            <w:jc w:val="both"/>
            <w:rPr>
              <w:szCs w:val="24"/>
            </w:rPr>
          </w:pPr>
          <w:r>
            <w:rPr>
              <w:szCs w:val="24"/>
            </w:rPr>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pPr>
            <w:ind w:left="10206"/>
            <w:jc w:val="both"/>
            <w:rPr>
              <w:szCs w:val="24"/>
            </w:rPr>
          </w:pPr>
          <w:sdt>
            <w:sdtPr>
              <w:alias w:val="Numeris"/>
              <w:tag w:val="nr_1eaa3770f7c54aeeab82aa45de6545f0"/>
              <w:lock w:val="sdtLocked"/>
              <w:richText/>
            </w:sdtPr>
            <w:sdtContent>
              <w:r>
                <w:rPr>
                  <w:szCs w:val="24"/>
                </w:rPr>
                <w:t>2</w:t>
              </w:r>
            </w:sdtContent>
          </w:sdt>
          <w:r>
            <w:rPr>
              <w:szCs w:val="24"/>
            </w:rPr>
            <w:t xml:space="preserve"> priedas</w:t>
          </w:r>
        </w:p>
        <w:p>
          <w:pPr>
            <w:ind w:right="567"/>
            <w:jc w:val="center"/>
            <w:rPr>
              <w:b/>
              <w:szCs w:val="24"/>
              <w:lang w:eastAsia="lt-LT"/>
            </w:rPr>
          </w:pPr>
        </w:p>
        <w:p>
          <w:pPr>
            <w:ind w:right="567"/>
            <w:jc w:val="center"/>
            <w:rPr>
              <w:b/>
              <w:szCs w:val="24"/>
              <w:lang w:eastAsia="lt-LT"/>
            </w:rPr>
          </w:pPr>
          <w:sdt>
            <w:sdtPr>
              <w:alias w:val="Pavadinimas"/>
              <w:tag w:val="title_1eaa3770f7c54aeeab82aa45de6545f0"/>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sdt>
          <w:sdtPr>
            <w:alias w:val="2 pr. 1 p."/>
            <w:tag w:val="part_beb4fa9f4b2841a9ba08b630a9dd2954"/>
            <w:lock w:val="sdtLocked"/>
            <w:richText/>
          </w:sdtPr>
          <w:sdtContent>
            <w:p>
              <w:pPr>
                <w:ind w:right="567"/>
                <w:jc w:val="both"/>
                <w:rPr>
                  <w:b/>
                  <w:szCs w:val="24"/>
                  <w:lang w:eastAsia="lt-LT"/>
                </w:rPr>
              </w:pPr>
              <w:sdt>
                <w:sdtPr>
                  <w:alias w:val="Numeris"/>
                  <w:tag w:val="nr_beb4fa9f4b2841a9ba08b630a9dd2954"/>
                  <w:lock w:val="sdtLocked"/>
                  <w:richText/>
                </w:sdt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2.1.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2.1.1.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2.1.4.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2.2.1.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2.2.2.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2.3.1.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2.3.4.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2.3.6. Išmaniosios transporto sistemos</w:t>
                    </w:r>
                  </w:p>
                </w:tc>
                <w:tc>
                  <w:tcPr>
                    <w:tcW w:w="4961" w:type="dxa"/>
                  </w:tcPr>
                  <w:p>
                    <w:pPr>
                      <w:jc w:val="both"/>
                      <w:rPr>
                        <w:sz w:val="36"/>
                        <w:szCs w:val="36"/>
                      </w:rPr>
                    </w:pPr>
                    <w:r>
                      <w:rPr>
                        <w:sz w:val="36"/>
                        <w:szCs w:val="36"/>
                      </w:rPr>
                      <w:t>□</w:t>
                    </w:r>
                  </w:p>
                </w:tc>
              </w:tr>
            </w:tbl>
            <w:p>
              <w:pPr>
                <w:spacing w:line="276" w:lineRule="auto"/>
                <w:jc w:val="center"/>
                <w:rPr>
                  <w:rFonts w:ascii="Calibri" w:eastAsia="Calibri" w:hAnsi="Calibri"/>
                  <w:szCs w:val="24"/>
                </w:rPr>
              </w:pPr>
              <w:r>
                <w:rPr>
                  <w:szCs w:val="24"/>
                </w:rPr>
                <w:t>___________________________________</w:t>
              </w:r>
            </w:p>
            <w:p>
              <w:pPr>
                <w:spacing w:line="276" w:lineRule="auto"/>
                <w:jc w:val="center"/>
                <w:rPr>
                  <w:rFonts w:ascii="Calibri" w:eastAsia="Calibri" w:hAnsi="Calibri"/>
                  <w:szCs w:val="24"/>
                </w:rPr>
              </w:pPr>
            </w:p>
            <w:p>
              <w:pPr>
                <w:spacing w:line="259" w:lineRule="auto"/>
                <w:rPr>
                  <w:rFonts w:ascii="Calibri" w:eastAsia="Calibri" w:hAnsi="Calibri"/>
                  <w:szCs w:val="24"/>
                </w:rPr>
                <w:sectPr>
                  <w:pgSz w:w="16838" w:h="11906" w:orient="landscape"/>
                  <w:pgMar w:top="1701" w:right="567" w:bottom="1134" w:left="1701" w:header="567" w:footer="567" w:gutter="0"/>
                  <w:pgNumType w:start="1"/>
                  <w:cols w:space="1296"/>
                  <w:titlePg/>
                  <w:docGrid w:linePitch="360"/>
                </w:sectPr>
              </w:pPr>
              <w:r>
                <w:rPr>
                  <w:rFonts w:ascii="Calibri" w:eastAsia="Calibri" w:hAnsi="Calibri"/>
                  <w:szCs w:val="24"/>
                </w:rPr>
                <w:br w:type="page"/>
              </w:r>
            </w:p>
            <w:p>
              <w:pPr>
                <w:rPr>
                  <w:sz w:val="14"/>
                  <w:szCs w:val="14"/>
                </w:rPr>
              </w:pPr>
            </w:p>
            <w:p>
              <w:pPr>
                <w:tabs>
                  <w:tab w:val="center" w:pos="4819"/>
                  <w:tab w:val="right" w:pos="9638"/>
                </w:tabs>
              </w:pPr>
            </w:p>
            <w:p>
              <w:pPr>
                <w:spacing w:line="259" w:lineRule="auto"/>
                <w:rPr>
                  <w:rFonts w:ascii="Calibri" w:eastAsia="Calibri" w:hAnsi="Calibri"/>
                  <w:szCs w:val="24"/>
                </w:rPr>
              </w:pPr>
            </w:p>
            <w:p>
              <w:pPr>
                <w:rPr>
                  <w:sz w:val="14"/>
                  <w:szCs w:val="14"/>
                </w:rPr>
              </w:pPr>
            </w:p>
          </w:sdtContent>
        </w:sdt>
      </w:sdtContent>
    </w:sdt>
    <w:sdt>
      <w:sdtPr>
        <w:alias w:val="3 pr."/>
        <w:tag w:val="part_9843370fcd3640628f264175cbe3b041"/>
        <w:lock w:val="sdtLocked"/>
        <w:richText/>
      </w:sdtPr>
      <w:sdtContent>
        <w:p>
          <w:pPr>
            <w:ind w:left="10206"/>
            <w:jc w:val="both"/>
            <w:rPr>
              <w:szCs w:val="24"/>
            </w:rPr>
          </w:pPr>
          <w:r>
            <w:rPr>
              <w:szCs w:val="24"/>
            </w:rPr>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pPr>
            <w:ind w:left="10206"/>
            <w:jc w:val="both"/>
            <w:rPr>
              <w:szCs w:val="24"/>
            </w:rPr>
          </w:pPr>
          <w:sdt>
            <w:sdtPr>
              <w:alias w:val="Numeris"/>
              <w:tag w:val="nr_9843370fcd3640628f264175cbe3b041"/>
              <w:lock w:val="sdtLocked"/>
              <w:richText/>
            </w:sdtPr>
            <w:sdtContent>
              <w:r>
                <w:rPr>
                  <w:szCs w:val="24"/>
                </w:rPr>
                <w:t>3</w:t>
              </w:r>
            </w:sdtContent>
          </w:sdt>
          <w:r>
            <w:rPr>
              <w:szCs w:val="24"/>
            </w:rPr>
            <w:t xml:space="preserve"> priedas</w:t>
          </w:r>
        </w:p>
        <w:p>
          <w:pPr>
            <w:jc w:val="center"/>
            <w:rPr>
              <w:b/>
              <w:bCs/>
              <w:caps/>
              <w:color w:val="000000"/>
              <w:szCs w:val="24"/>
            </w:rPr>
          </w:pPr>
        </w:p>
        <w:p>
          <w:pPr>
            <w:jc w:val="center"/>
            <w:rPr>
              <w:b/>
              <w:bCs/>
              <w:caps/>
              <w:color w:val="000000"/>
              <w:szCs w:val="24"/>
            </w:rPr>
          </w:pPr>
          <w:sdt>
            <w:sdtPr>
              <w:alias w:val="Pavadinimas"/>
              <w:tag w:val="title_9843370fcd3640628f264175cbe3b041"/>
              <w:lock w:val="sdtLocked"/>
              <w:richText/>
            </w:sdtPr>
            <w:sdtContent>
              <w:r>
                <w:rPr>
                  <w:b/>
                  <w:bCs/>
                  <w:caps/>
                  <w:color w:val="000000"/>
                  <w:szCs w:val="24"/>
                </w:rPr>
                <w:t>ATITIKTIES VALSTYBĖS PAGALBOS TAISYKLĖMS Patikros lapas</w:t>
              </w:r>
            </w:sdtContent>
          </w:sdt>
        </w:p>
        <w:p>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trPr>
              <w:trHeight w:val="309"/>
            </w:trPr>
            <w:tc>
              <w:tcPr>
                <w:tcW w:w="14576" w:type="dxa"/>
                <w:shd w:val="clear" w:color="auto" w:fill="D9D9D9"/>
                <w:hideMark/>
              </w:tcPr>
              <w:p>
                <w:pPr>
                  <w:jc w:val="both"/>
                  <w:rPr>
                    <w:szCs w:val="24"/>
                    <w:lang w:eastAsia="lt-LT"/>
                  </w:rPr>
                </w:pPr>
                <w:r>
                  <w:rPr>
                    <w:rFonts w:eastAsia="Calibri"/>
                    <w:b/>
                    <w:bCs/>
                    <w:szCs w:val="24"/>
                    <w:lang w:eastAsia="lt-LT"/>
                  </w:rPr>
                  <w:t>1. Priemonės teisinis pagrindas</w:t>
                </w:r>
              </w:p>
            </w:tc>
          </w:tr>
          <w:tr>
            <w:trPr>
              <w:trHeight w:val="657"/>
            </w:trPr>
            <w:tc>
              <w:tcPr>
                <w:tcW w:w="14576" w:type="dxa"/>
              </w:tcPr>
              <w:p>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Reglamentas (ES) Nr. 651/2014</w:t>
                </w:r>
                <w:r>
                  <w:rPr>
                    <w:rFonts w:eastAsia="Calibri"/>
                    <w:bCs/>
                    <w:szCs w:val="24"/>
                    <w:lang w:eastAsia="lt-LT"/>
                  </w:rPr>
                  <w:t>), I skyrius ir 28 straipsnis.</w:t>
                </w:r>
              </w:p>
            </w:tc>
          </w:tr>
        </w:tbl>
        <w:p>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9749"/>
          </w:tblGrid>
          <w:tr>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trPr>
              <w:trHeight w:val="270"/>
            </w:trPr>
            <w:tc>
              <w:tcPr>
                <w:tcW w:w="4815"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trHeight w:val="305"/>
            </w:trPr>
            <w:tc>
              <w:tcPr>
                <w:tcW w:w="4815"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trHeight w:val="255"/>
            </w:trPr>
            <w:tc>
              <w:tcPr>
                <w:tcW w:w="4815"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p>
            </w:tc>
          </w:tr>
        </w:tbl>
        <w:p>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trPr>
              <w:trHeight w:val="272"/>
            </w:trPr>
            <w:tc>
              <w:tcPr>
                <w:tcW w:w="14513" w:type="dxa"/>
                <w:gridSpan w:val="5"/>
                <w:shd w:val="clear" w:color="auto" w:fill="D9D9D9"/>
              </w:tcPr>
              <w:p>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Reglamentui (ES) Nr. 651/2014</w:t>
                </w:r>
                <w:r>
                  <w:rPr>
                    <w:rFonts w:eastAsia="Calibri"/>
                    <w:b/>
                    <w:bCs/>
                    <w:szCs w:val="24"/>
                    <w:lang w:eastAsia="lt-LT"/>
                  </w:rPr>
                  <w:t xml:space="preserve"> </w:t>
                </w:r>
              </w:p>
            </w:tc>
          </w:tr>
          <w:tr>
            <w:trPr>
              <w:trHeight w:val="264"/>
            </w:trPr>
            <w:tc>
              <w:tcPr>
                <w:tcW w:w="988" w:type="dxa"/>
                <w:hideMark/>
              </w:tcPr>
              <w:p>
                <w:pPr>
                  <w:jc w:val="both"/>
                  <w:rPr>
                    <w:rFonts w:eastAsia="Calibri"/>
                    <w:b/>
                    <w:szCs w:val="24"/>
                    <w:lang w:eastAsia="lt-LT"/>
                  </w:rPr>
                </w:pPr>
                <w:r>
                  <w:rPr>
                    <w:rFonts w:eastAsia="Calibri"/>
                    <w:b/>
                    <w:szCs w:val="24"/>
                    <w:lang w:eastAsia="lt-LT"/>
                  </w:rPr>
                  <w:t xml:space="preserve">Eil. Nr. </w:t>
                </w:r>
              </w:p>
            </w:tc>
            <w:tc>
              <w:tcPr>
                <w:tcW w:w="6339" w:type="dxa"/>
                <w:hideMark/>
              </w:tcPr>
              <w:p>
                <w:pPr>
                  <w:ind w:firstLine="34"/>
                  <w:jc w:val="both"/>
                  <w:rPr>
                    <w:rFonts w:eastAsia="Calibri"/>
                    <w:b/>
                    <w:szCs w:val="24"/>
                    <w:lang w:eastAsia="lt-LT"/>
                  </w:rPr>
                </w:pPr>
                <w:r>
                  <w:rPr>
                    <w:rFonts w:eastAsia="Calibri"/>
                    <w:b/>
                    <w:szCs w:val="24"/>
                    <w:lang w:eastAsia="lt-LT"/>
                  </w:rPr>
                  <w:t>Klausimai</w:t>
                </w:r>
              </w:p>
            </w:tc>
            <w:tc>
              <w:tcPr>
                <w:tcW w:w="2449" w:type="dxa"/>
                <w:gridSpan w:val="2"/>
                <w:hideMark/>
              </w:tcPr>
              <w:p>
                <w:pPr>
                  <w:ind w:hanging="5"/>
                  <w:jc w:val="both"/>
                  <w:rPr>
                    <w:rFonts w:eastAsia="Calibri"/>
                    <w:b/>
                    <w:szCs w:val="24"/>
                    <w:lang w:eastAsia="lt-LT"/>
                  </w:rPr>
                </w:pPr>
                <w:r>
                  <w:rPr>
                    <w:rFonts w:eastAsia="Calibri"/>
                    <w:b/>
                    <w:szCs w:val="24"/>
                    <w:lang w:eastAsia="lt-LT"/>
                  </w:rPr>
                  <w:t>Rezultatas</w:t>
                </w:r>
              </w:p>
            </w:tc>
            <w:tc>
              <w:tcPr>
                <w:tcW w:w="4737" w:type="dxa"/>
                <w:hideMark/>
              </w:tcPr>
              <w:p>
                <w:pPr>
                  <w:jc w:val="both"/>
                  <w:rPr>
                    <w:rFonts w:eastAsia="Calibri"/>
                    <w:b/>
                    <w:szCs w:val="24"/>
                    <w:lang w:eastAsia="lt-LT"/>
                  </w:rPr>
                </w:pPr>
                <w:r>
                  <w:rPr>
                    <w:rFonts w:eastAsia="Calibri"/>
                    <w:b/>
                    <w:szCs w:val="24"/>
                    <w:lang w:eastAsia="lt-LT"/>
                  </w:rPr>
                  <w:t>Pastabos</w:t>
                </w:r>
              </w:p>
            </w:tc>
          </w:tr>
          <w:tr>
            <w:trPr>
              <w:trHeight w:val="430"/>
            </w:trPr>
            <w:tc>
              <w:tcPr>
                <w:tcW w:w="988" w:type="dxa"/>
                <w:vMerge w:val="restart"/>
                <w:hideMark/>
              </w:tcPr>
              <w:p>
                <w:pPr>
                  <w:jc w:val="both"/>
                  <w:rPr>
                    <w:rFonts w:eastAsia="Calibri"/>
                    <w:szCs w:val="24"/>
                    <w:lang w:eastAsia="lt-LT"/>
                  </w:rPr>
                </w:pPr>
                <w:r>
                  <w:rPr>
                    <w:rFonts w:eastAsia="Calibri"/>
                    <w:szCs w:val="24"/>
                    <w:lang w:eastAsia="lt-LT"/>
                  </w:rPr>
                  <w:t>3.1.</w:t>
                </w:r>
              </w:p>
              <w:p>
                <w:pPr>
                  <w:jc w:val="both"/>
                  <w:rPr>
                    <w:rFonts w:eastAsia="Calibri"/>
                    <w:szCs w:val="24"/>
                    <w:lang w:eastAsia="lt-LT"/>
                  </w:rPr>
                </w:pPr>
              </w:p>
            </w:tc>
            <w:tc>
              <w:tcPr>
                <w:tcW w:w="6339" w:type="dxa"/>
                <w:hideMark/>
              </w:tcPr>
              <w:p>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rFonts w:eastAsia="Calibri"/>
                    <w:szCs w:val="24"/>
                    <w:lang w:eastAsia="lt-LT"/>
                  </w:rPr>
                </w:pPr>
              </w:p>
            </w:tc>
          </w:tr>
          <w:tr>
            <w:trPr>
              <w:trHeight w:val="246"/>
            </w:trPr>
            <w:tc>
              <w:tcPr>
                <w:tcW w:w="988" w:type="dxa"/>
                <w:vMerge/>
              </w:tcPr>
              <w:p>
                <w:pPr>
                  <w:jc w:val="both"/>
                  <w:rPr>
                    <w:rFonts w:eastAsia="Calibri"/>
                    <w:szCs w:val="24"/>
                    <w:lang w:eastAsia="lt-LT"/>
                  </w:rPr>
                </w:pPr>
              </w:p>
            </w:tc>
            <w:tc>
              <w:tcPr>
                <w:tcW w:w="6339" w:type="dxa"/>
                <w:hideMark/>
              </w:tcPr>
              <w:p>
                <w:pPr>
                  <w:ind w:left="155" w:hanging="142"/>
                  <w:jc w:val="both"/>
                  <w:rPr>
                    <w:rFonts w:eastAsia="Calibri"/>
                    <w:szCs w:val="24"/>
                    <w:lang w:eastAsia="lt-LT"/>
                  </w:rPr>
                </w:pPr>
                <w:r>
                  <w:rPr>
                    <w:rFonts w:eastAsia="Calibri"/>
                    <w:szCs w:val="24"/>
                    <w:lang w:eastAsia="lt-LT"/>
                  </w:rPr>
                  <w:t>-</w:t>
                  <w:tab/>
                  <w:t>labai maža įmonė</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rFonts w:eastAsia="Calibri"/>
                    <w:szCs w:val="24"/>
                    <w:lang w:eastAsia="lt-LT"/>
                  </w:rPr>
                </w:pPr>
              </w:p>
            </w:tc>
          </w:tr>
          <w:tr>
            <w:trPr>
              <w:trHeight w:val="251"/>
            </w:trPr>
            <w:tc>
              <w:tcPr>
                <w:tcW w:w="988" w:type="dxa"/>
                <w:vMerge/>
                <w:hideMark/>
              </w:tcPr>
              <w:p>
                <w:pPr>
                  <w:jc w:val="both"/>
                  <w:rPr>
                    <w:rFonts w:eastAsia="Calibri"/>
                    <w:szCs w:val="24"/>
                    <w:lang w:eastAsia="lt-LT"/>
                  </w:rPr>
                </w:pPr>
              </w:p>
            </w:tc>
            <w:tc>
              <w:tcPr>
                <w:tcW w:w="6339" w:type="dxa"/>
                <w:hideMark/>
              </w:tcPr>
              <w:p>
                <w:pPr>
                  <w:jc w:val="both"/>
                  <w:rPr>
                    <w:rFonts w:eastAsia="Calibri"/>
                    <w:szCs w:val="24"/>
                    <w:lang w:eastAsia="lt-LT"/>
                  </w:rPr>
                </w:pPr>
                <w:r>
                  <w:rPr>
                    <w:rFonts w:eastAsia="Calibri"/>
                    <w:szCs w:val="24"/>
                    <w:lang w:eastAsia="lt-LT"/>
                  </w:rPr>
                  <w:t xml:space="preserve">- maža įmonė </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rFonts w:eastAsia="Calibri"/>
                    <w:szCs w:val="24"/>
                    <w:lang w:eastAsia="lt-LT"/>
                  </w:rPr>
                </w:pPr>
              </w:p>
            </w:tc>
          </w:tr>
          <w:tr>
            <w:trPr>
              <w:trHeight w:val="240"/>
            </w:trPr>
            <w:tc>
              <w:tcPr>
                <w:tcW w:w="988" w:type="dxa"/>
                <w:vMerge/>
              </w:tcPr>
              <w:p>
                <w:pPr>
                  <w:jc w:val="both"/>
                  <w:rPr>
                    <w:rFonts w:eastAsia="Calibri"/>
                    <w:szCs w:val="24"/>
                    <w:lang w:eastAsia="lt-LT"/>
                  </w:rPr>
                </w:pPr>
              </w:p>
            </w:tc>
            <w:tc>
              <w:tcPr>
                <w:tcW w:w="6339" w:type="dxa"/>
              </w:tcPr>
              <w:p>
                <w:pPr>
                  <w:ind w:left="197" w:hanging="197"/>
                  <w:jc w:val="both"/>
                  <w:rPr>
                    <w:rFonts w:eastAsia="Calibri"/>
                    <w:szCs w:val="24"/>
                    <w:lang w:eastAsia="lt-LT"/>
                  </w:rPr>
                </w:pPr>
                <w:r>
                  <w:rPr>
                    <w:rFonts w:eastAsia="Calibri"/>
                    <w:szCs w:val="24"/>
                    <w:lang w:eastAsia="lt-LT"/>
                  </w:rPr>
                  <w:t>- vidutinė įmonė</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rFonts w:eastAsia="Calibri"/>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3.2.</w:t>
                </w:r>
              </w:p>
            </w:tc>
            <w:tc>
              <w:tcPr>
                <w:tcW w:w="6339" w:type="dxa"/>
              </w:tcPr>
              <w:p>
                <w:pPr>
                  <w:jc w:val="both"/>
                  <w:rPr>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2 dalies nuostatas?</w:t>
                </w:r>
              </w:p>
            </w:tc>
            <w:tc>
              <w:tcPr>
                <w:tcW w:w="1486"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3.3.</w:t>
                </w:r>
              </w:p>
            </w:tc>
            <w:tc>
              <w:tcPr>
                <w:tcW w:w="6339" w:type="dxa"/>
              </w:tcPr>
              <w:p>
                <w:pPr>
                  <w:jc w:val="both"/>
                  <w:rPr>
                    <w:rFonts w:eastAsia="Calibri"/>
                    <w:szCs w:val="24"/>
                  </w:rPr>
                </w:pPr>
                <w:r>
                  <w:rPr>
                    <w:rFonts w:eastAsia="Calibri"/>
                    <w:szCs w:val="24"/>
                  </w:rPr>
                  <w:t>Ar teikiama valstybės pagalba atitinka Reglamento (ES) Nr. 651/2014</w:t>
                </w:r>
                <w:r>
                  <w:rPr>
                    <w:rFonts w:eastAsia="Calibri"/>
                    <w:b/>
                    <w:bCs/>
                    <w:szCs w:val="24"/>
                  </w:rPr>
                  <w:t xml:space="preserve"> </w:t>
                </w:r>
                <w:r>
                  <w:rPr>
                    <w:rFonts w:eastAsia="Calibri"/>
                    <w:szCs w:val="24"/>
                  </w:rPr>
                  <w:t>1 straipsnio 3 dalies nuostatas?</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3.4.</w:t>
                </w:r>
              </w:p>
            </w:tc>
            <w:tc>
              <w:tcPr>
                <w:tcW w:w="6339" w:type="dxa"/>
              </w:tcPr>
              <w:p>
                <w:pPr>
                  <w:jc w:val="both"/>
                  <w:rPr>
                    <w:rFonts w:eastAsia="Calibri"/>
                    <w:szCs w:val="24"/>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4 dalies nuostatas?</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3.5.</w:t>
                </w:r>
              </w:p>
            </w:tc>
            <w:tc>
              <w:tcPr>
                <w:tcW w:w="6339" w:type="dxa"/>
              </w:tcPr>
              <w:p>
                <w:pPr>
                  <w:jc w:val="both"/>
                  <w:rPr>
                    <w:rFonts w:eastAsia="Calibri"/>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5 dalies nuostatas?</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rFonts w:eastAsia="Calibri"/>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3.6.</w:t>
                </w:r>
              </w:p>
            </w:tc>
            <w:tc>
              <w:tcPr>
                <w:tcW w:w="6339" w:type="dxa"/>
              </w:tcPr>
              <w:p>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rPr>
                  <w:t>4 straipsnio 1 dalies nuostatas?</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3.7.</w:t>
                </w:r>
              </w:p>
            </w:tc>
            <w:tc>
              <w:tcPr>
                <w:tcW w:w="6339" w:type="dxa"/>
              </w:tcPr>
              <w:p>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3.8.</w:t>
                </w:r>
              </w:p>
            </w:tc>
            <w:tc>
              <w:tcPr>
                <w:tcW w:w="6339" w:type="dxa"/>
              </w:tcPr>
              <w:p>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6 straipsnio 2 dalį?</w:t>
                </w:r>
              </w:p>
            </w:tc>
            <w:tc>
              <w:tcPr>
                <w:tcW w:w="1486"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3.9.</w:t>
                </w:r>
              </w:p>
            </w:tc>
            <w:tc>
              <w:tcPr>
                <w:tcW w:w="6339" w:type="dxa"/>
              </w:tcPr>
              <w:p>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8 straipsnyje?</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pPr>
                  <w:jc w:val="both"/>
                  <w:rPr>
                    <w:szCs w:val="24"/>
                    <w:lang w:eastAsia="lt-LT"/>
                  </w:rPr>
                </w:pPr>
              </w:p>
            </w:tc>
          </w:tr>
          <w:tr>
            <w:trPr>
              <w:trHeight w:val="430"/>
            </w:trPr>
            <w:tc>
              <w:tcPr>
                <w:tcW w:w="988" w:type="dxa"/>
              </w:tcPr>
              <w:p>
                <w:pPr>
                  <w:jc w:val="both"/>
                  <w:rPr>
                    <w:rFonts w:eastAsia="Calibri"/>
                    <w:szCs w:val="24"/>
                    <w:lang w:eastAsia="lt-LT"/>
                  </w:rPr>
                </w:pPr>
                <w:r>
                  <w:rPr>
                    <w:rFonts w:eastAsia="Calibri"/>
                    <w:szCs w:val="24"/>
                    <w:lang w:eastAsia="lt-LT"/>
                  </w:rPr>
                  <w:t>3.10.</w:t>
                </w:r>
              </w:p>
            </w:tc>
            <w:tc>
              <w:tcPr>
                <w:tcW w:w="6339" w:type="dxa"/>
              </w:tcPr>
              <w:p>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28 straipsnio 4 dalies nuostatas?</w:t>
                </w:r>
              </w:p>
            </w:tc>
            <w:tc>
              <w:tcPr>
                <w:tcW w:w="1486" w:type="dxa"/>
              </w:tcPr>
              <w:p>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pPr>
                  <w:jc w:val="both"/>
                  <w:rPr>
                    <w:szCs w:val="24"/>
                    <w:lang w:eastAsia="lt-LT"/>
                  </w:rPr>
                </w:pPr>
              </w:p>
            </w:tc>
          </w:tr>
        </w:tbl>
        <w:p>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4"/>
            <w:gridCol w:w="1000"/>
            <w:gridCol w:w="418"/>
            <w:gridCol w:w="2838"/>
            <w:gridCol w:w="2939"/>
          </w:tblGrid>
          <w:tr>
            <w:tc>
              <w:tcPr>
                <w:tcW w:w="14560" w:type="dxa"/>
                <w:gridSpan w:val="6"/>
                <w:shd w:val="pct20" w:color="auto" w:fill="auto"/>
              </w:tcPr>
              <w:p>
                <w:pPr>
                  <w:rPr>
                    <w:rFonts w:eastAsia="Calibri"/>
                    <w:color w:val="000000"/>
                    <w:szCs w:val="24"/>
                  </w:rPr>
                </w:pPr>
                <w:r>
                  <w:rPr>
                    <w:rFonts w:eastAsia="Calibri"/>
                    <w:b/>
                    <w:bCs/>
                    <w:color w:val="000000"/>
                    <w:szCs w:val="24"/>
                  </w:rPr>
                  <w:t xml:space="preserve">4. Finansavimo atitikties </w:t>
                </w:r>
                <w:r>
                  <w:rPr>
                    <w:rFonts w:eastAsia="Calibri"/>
                    <w:b/>
                    <w:color w:val="000000"/>
                    <w:szCs w:val="24"/>
                  </w:rPr>
                  <w:t>Reglamentui (ES)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tc>
              <w:tcPr>
                <w:tcW w:w="7366" w:type="dxa"/>
                <w:gridSpan w:val="2"/>
              </w:tcPr>
              <w:p>
                <w:pPr>
                  <w:jc w:val="both"/>
                  <w:rPr>
                    <w:szCs w:val="24"/>
                    <w:lang w:eastAsia="lt-LT"/>
                  </w:rPr>
                </w:pPr>
                <w:r>
                  <w:rPr>
                    <w:rFonts w:eastAsia="Calibri"/>
                    <w:color w:val="000000"/>
                    <w:szCs w:val="24"/>
                  </w:rPr>
                  <w:t>Ar teikiamas finansavimas atitinka Reglamentą (ES) Nr. 651/2014?</w:t>
                </w:r>
              </w:p>
            </w:tc>
            <w:tc>
              <w:tcPr>
                <w:tcW w:w="1418" w:type="dxa"/>
                <w:gridSpan w:val="2"/>
              </w:tcPr>
              <w:p>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Taip</w:t>
                </w:r>
              </w:p>
            </w:tc>
            <w:tc>
              <w:tcPr>
                <w:tcW w:w="2835" w:type="dxa"/>
              </w:tcPr>
              <w:p>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fldChar w:fldCharType="separate"/>
                </w:r>
                <w:r>
                  <w:rPr>
                    <w:sz w:val="20"/>
                    <w:lang w:eastAsia="lt-LT"/>
                  </w:rPr>
                  <w:fldChar w:fldCharType="end"/>
                </w:r>
                <w:r>
                  <w:rPr>
                    <w:rFonts w:eastAsia="Calibri"/>
                    <w:szCs w:val="24"/>
                    <w:lang w:eastAsia="lt-LT"/>
                  </w:rPr>
                  <w:t>Ne</w:t>
                </w:r>
              </w:p>
            </w:tc>
            <w:tc>
              <w:tcPr>
                <w:tcW w:w="2941" w:type="dxa"/>
              </w:tcPr>
              <w:p>
                <w:pPr>
                  <w:rPr>
                    <w:szCs w:val="24"/>
                    <w:lang w:eastAsia="lt-LT"/>
                  </w:rPr>
                </w:pPr>
              </w:p>
            </w:tc>
          </w:tr>
          <w:tr>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pPr>
                  <w:rPr>
                    <w:i/>
                    <w:iCs/>
                    <w:color w:val="000000"/>
                    <w:szCs w:val="24"/>
                  </w:rPr>
                </w:pPr>
              </w:p>
              <w:p>
                <w:pPr>
                  <w:rPr>
                    <w:color w:val="000000"/>
                    <w:szCs w:val="24"/>
                  </w:rPr>
                </w:pPr>
                <w:r>
                  <w:rPr>
                    <w:i/>
                    <w:iCs/>
                    <w:color w:val="000000"/>
                    <w:szCs w:val="24"/>
                  </w:rPr>
                  <w:t xml:space="preserve">______________________________________ </w:t>
                </w:r>
              </w:p>
              <w:p>
                <w:pPr>
                  <w:ind w:firstLine="1612"/>
                  <w:rPr>
                    <w:color w:val="000000"/>
                    <w:szCs w:val="24"/>
                  </w:rPr>
                </w:pPr>
                <w:r>
                  <w:rPr>
                    <w:i/>
                    <w:iCs/>
                    <w:color w:val="000000"/>
                    <w:szCs w:val="24"/>
                  </w:rPr>
                  <w:t xml:space="preserve">(vertintojas) </w:t>
                </w:r>
              </w:p>
            </w:tc>
            <w:tc>
              <w:tcPr>
                <w:tcW w:w="3255" w:type="dxa"/>
                <w:gridSpan w:val="2"/>
              </w:tcPr>
              <w:p>
                <w:pPr>
                  <w:rPr>
                    <w:i/>
                    <w:iCs/>
                    <w:color w:val="000000"/>
                    <w:szCs w:val="24"/>
                  </w:rPr>
                </w:pPr>
              </w:p>
              <w:p>
                <w:pPr>
                  <w:rPr>
                    <w:color w:val="000000"/>
                    <w:szCs w:val="24"/>
                  </w:rPr>
                </w:pPr>
                <w:r>
                  <w:rPr>
                    <w:i/>
                    <w:iCs/>
                    <w:color w:val="000000"/>
                    <w:szCs w:val="24"/>
                  </w:rPr>
                  <w:t xml:space="preserve">____________ </w:t>
                </w:r>
              </w:p>
              <w:p>
                <w:pPr>
                  <w:ind w:firstLine="248"/>
                  <w:rPr>
                    <w:color w:val="000000"/>
                    <w:szCs w:val="24"/>
                  </w:rPr>
                </w:pPr>
                <w:r>
                  <w:rPr>
                    <w:i/>
                    <w:iCs/>
                    <w:color w:val="000000"/>
                    <w:szCs w:val="24"/>
                  </w:rPr>
                  <w:t xml:space="preserve">(parašas) </w:t>
                </w:r>
              </w:p>
            </w:tc>
            <w:tc>
              <w:tcPr>
                <w:tcW w:w="3257" w:type="dxa"/>
                <w:gridSpan w:val="2"/>
              </w:tcPr>
              <w:p>
                <w:pPr>
                  <w:rPr>
                    <w:i/>
                    <w:iCs/>
                    <w:color w:val="000000"/>
                    <w:szCs w:val="24"/>
                  </w:rPr>
                </w:pPr>
              </w:p>
              <w:p>
                <w:pPr>
                  <w:rPr>
                    <w:color w:val="000000"/>
                    <w:szCs w:val="24"/>
                  </w:rPr>
                </w:pPr>
                <w:r>
                  <w:rPr>
                    <w:i/>
                    <w:iCs/>
                    <w:color w:val="000000"/>
                    <w:szCs w:val="24"/>
                  </w:rPr>
                  <w:t xml:space="preserve">____________ </w:t>
                </w:r>
              </w:p>
              <w:p>
                <w:pPr>
                  <w:ind w:firstLine="434"/>
                  <w:rPr>
                    <w:i/>
                    <w:color w:val="000000"/>
                    <w:szCs w:val="24"/>
                  </w:rPr>
                </w:pPr>
                <w:r>
                  <w:rPr>
                    <w:i/>
                    <w:color w:val="000000"/>
                    <w:szCs w:val="24"/>
                  </w:rPr>
                  <w:t xml:space="preserve">(data) </w:t>
                </w:r>
              </w:p>
            </w:tc>
          </w:tr>
          <w:tr>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pPr>
                  <w:rPr>
                    <w:b/>
                    <w:bCs/>
                    <w:color w:val="000000"/>
                    <w:sz w:val="12"/>
                    <w:szCs w:val="12"/>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r>
                  <w:rPr>
                    <w:i/>
                    <w:iCs/>
                    <w:color w:val="000000"/>
                    <w:szCs w:val="24"/>
                  </w:rPr>
                  <w:t>Pastabos:_______________________________________________________________________</w:t>
                </w:r>
              </w:p>
              <w:p>
                <w:pPr>
                  <w:rPr>
                    <w:color w:val="000000"/>
                    <w:szCs w:val="24"/>
                  </w:rPr>
                </w:pPr>
              </w:p>
            </w:tc>
          </w:tr>
          <w:tr>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pPr>
                  <w:rPr>
                    <w:color w:val="000000"/>
                    <w:szCs w:val="24"/>
                  </w:rPr>
                </w:pPr>
                <w:r>
                  <w:rPr>
                    <w:i/>
                    <w:iCs/>
                    <w:color w:val="000000"/>
                    <w:szCs w:val="24"/>
                  </w:rPr>
                  <w:t xml:space="preserve">______________________________________ </w:t>
                </w:r>
              </w:p>
              <w:p>
                <w:pPr>
                  <w:ind w:firstLine="620"/>
                  <w:rPr>
                    <w:color w:val="000000"/>
                    <w:szCs w:val="24"/>
                  </w:rPr>
                </w:pPr>
                <w:r>
                  <w:rPr>
                    <w:i/>
                    <w:iCs/>
                    <w:color w:val="000000"/>
                    <w:szCs w:val="24"/>
                  </w:rPr>
                  <w:t xml:space="preserve">(vertintojo tiesioginis vadovas) </w:t>
                </w:r>
              </w:p>
            </w:tc>
            <w:tc>
              <w:tcPr>
                <w:tcW w:w="3255" w:type="dxa"/>
                <w:gridSpan w:val="2"/>
              </w:tcPr>
              <w:p>
                <w:pPr>
                  <w:rPr>
                    <w:color w:val="000000"/>
                    <w:szCs w:val="24"/>
                  </w:rPr>
                </w:pPr>
                <w:r>
                  <w:rPr>
                    <w:i/>
                    <w:iCs/>
                    <w:color w:val="000000"/>
                    <w:szCs w:val="24"/>
                  </w:rPr>
                  <w:t xml:space="preserve">____________ </w:t>
                </w:r>
              </w:p>
              <w:p>
                <w:pPr>
                  <w:ind w:firstLine="248"/>
                  <w:rPr>
                    <w:color w:val="000000"/>
                    <w:szCs w:val="24"/>
                  </w:rPr>
                </w:pPr>
                <w:r>
                  <w:rPr>
                    <w:i/>
                    <w:iCs/>
                    <w:color w:val="000000"/>
                    <w:szCs w:val="24"/>
                  </w:rPr>
                  <w:t xml:space="preserve">(parašas) </w:t>
                </w:r>
              </w:p>
            </w:tc>
            <w:tc>
              <w:tcPr>
                <w:tcW w:w="3257" w:type="dxa"/>
                <w:gridSpan w:val="2"/>
              </w:tcPr>
              <w:p>
                <w:pPr>
                  <w:rPr>
                    <w:color w:val="000000"/>
                    <w:szCs w:val="24"/>
                  </w:rPr>
                </w:pPr>
                <w:r>
                  <w:rPr>
                    <w:i/>
                    <w:iCs/>
                    <w:color w:val="000000"/>
                    <w:szCs w:val="24"/>
                  </w:rPr>
                  <w:t xml:space="preserve">____________ </w:t>
                </w:r>
              </w:p>
              <w:p>
                <w:pPr>
                  <w:ind w:firstLine="434"/>
                  <w:rPr>
                    <w:color w:val="000000"/>
                    <w:szCs w:val="24"/>
                  </w:rPr>
                </w:pPr>
                <w:r>
                  <w:rPr>
                    <w:i/>
                    <w:iCs/>
                    <w:color w:val="000000"/>
                    <w:szCs w:val="24"/>
                  </w:rPr>
                  <w:t xml:space="preserve">(data) </w:t>
                </w:r>
              </w:p>
            </w:tc>
          </w:tr>
        </w:tbl>
        <w:p>
          <w:pPr>
            <w:spacing w:line="276" w:lineRule="auto"/>
            <w:jc w:val="center"/>
            <w:rPr>
              <w:szCs w:val="24"/>
            </w:rPr>
          </w:pPr>
        </w:p>
        <w:p>
          <w:pPr>
            <w:spacing w:line="276" w:lineRule="auto"/>
            <w:jc w:val="center"/>
            <w:rPr>
              <w:szCs w:val="24"/>
            </w:rPr>
          </w:pPr>
          <w:r>
            <w:rPr>
              <w:szCs w:val="24"/>
            </w:rPr>
            <w:t>_______________________________</w:t>
          </w:r>
        </w:p>
        <w:p>
          <w:pPr>
            <w:spacing w:line="276" w:lineRule="auto"/>
            <w:rPr>
              <w:rFonts w:ascii="Calibri" w:eastAsia="Calibri" w:hAnsi="Calibri"/>
              <w:szCs w:val="24"/>
            </w:rPr>
          </w:pPr>
        </w:p>
      </w:sdtContent>
    </w:sdt>
    <w:sectPr>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8D7652-6344-4EEC-99C4-04740D956E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133027">
      <w:bodyDiv w:val="1"/>
      <w:marLeft w:val="0"/>
      <w:marRight w:val="0"/>
      <w:marTop w:val="0"/>
      <w:marBottom w:val="0"/>
      <w:divBdr>
        <w:top w:val="none" w:sz="0" w:space="0" w:color="auto"/>
        <w:left w:val="none" w:sz="0" w:space="0" w:color="auto"/>
        <w:bottom w:val="none" w:sz="0" w:space="0" w:color="auto"/>
        <w:right w:val="none" w:sz="0" w:space="0" w:color="auto"/>
      </w:divBdr>
    </w:div>
    <w:div w:id="367489768">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599408440">
      <w:bodyDiv w:val="1"/>
      <w:marLeft w:val="0"/>
      <w:marRight w:val="0"/>
      <w:marTop w:val="0"/>
      <w:marBottom w:val="0"/>
      <w:divBdr>
        <w:top w:val="none" w:sz="0" w:space="0" w:color="auto"/>
        <w:left w:val="none" w:sz="0" w:space="0" w:color="auto"/>
        <w:bottom w:val="none" w:sz="0" w:space="0" w:color="auto"/>
        <w:right w:val="none" w:sz="0" w:space="0" w:color="auto"/>
      </w:divBdr>
      <w:divsChild>
        <w:div w:id="725687530">
          <w:marLeft w:val="0"/>
          <w:marRight w:val="0"/>
          <w:marTop w:val="0"/>
          <w:marBottom w:val="0"/>
          <w:divBdr>
            <w:top w:val="none" w:sz="0" w:space="0" w:color="auto"/>
            <w:left w:val="none" w:sz="0" w:space="0" w:color="auto"/>
            <w:bottom w:val="none" w:sz="0" w:space="0" w:color="auto"/>
            <w:right w:val="none" w:sz="0" w:space="0" w:color="auto"/>
          </w:divBdr>
        </w:div>
        <w:div w:id="1050225924">
          <w:marLeft w:val="0"/>
          <w:marRight w:val="0"/>
          <w:marTop w:val="0"/>
          <w:marBottom w:val="0"/>
          <w:divBdr>
            <w:top w:val="none" w:sz="0" w:space="0" w:color="auto"/>
            <w:left w:val="none" w:sz="0" w:space="0" w:color="auto"/>
            <w:bottom w:val="none" w:sz="0" w:space="0" w:color="auto"/>
            <w:right w:val="none" w:sz="0" w:space="0" w:color="auto"/>
          </w:divBdr>
        </w:div>
        <w:div w:id="2073696154">
          <w:marLeft w:val="0"/>
          <w:marRight w:val="0"/>
          <w:marTop w:val="0"/>
          <w:marBottom w:val="0"/>
          <w:divBdr>
            <w:top w:val="none" w:sz="0" w:space="0" w:color="auto"/>
            <w:left w:val="none" w:sz="0" w:space="0" w:color="auto"/>
            <w:bottom w:val="none" w:sz="0" w:space="0" w:color="auto"/>
            <w:right w:val="none" w:sz="0" w:space="0" w:color="auto"/>
          </w:divBdr>
        </w:div>
        <w:div w:id="1837454068">
          <w:marLeft w:val="0"/>
          <w:marRight w:val="0"/>
          <w:marTop w:val="0"/>
          <w:marBottom w:val="0"/>
          <w:divBdr>
            <w:top w:val="none" w:sz="0" w:space="0" w:color="auto"/>
            <w:left w:val="none" w:sz="0" w:space="0" w:color="auto"/>
            <w:bottom w:val="none" w:sz="0" w:space="0" w:color="auto"/>
            <w:right w:val="none" w:sz="0" w:space="0" w:color="auto"/>
          </w:divBdr>
        </w:div>
        <w:div w:id="105580715">
          <w:marLeft w:val="0"/>
          <w:marRight w:val="0"/>
          <w:marTop w:val="0"/>
          <w:marBottom w:val="0"/>
          <w:divBdr>
            <w:top w:val="none" w:sz="0" w:space="0" w:color="auto"/>
            <w:left w:val="none" w:sz="0" w:space="0" w:color="auto"/>
            <w:bottom w:val="none" w:sz="0" w:space="0" w:color="auto"/>
            <w:right w:val="none" w:sz="0" w:space="0" w:color="auto"/>
          </w:divBdr>
        </w:div>
        <w:div w:id="606886589">
          <w:marLeft w:val="0"/>
          <w:marRight w:val="0"/>
          <w:marTop w:val="0"/>
          <w:marBottom w:val="0"/>
          <w:divBdr>
            <w:top w:val="none" w:sz="0" w:space="0" w:color="auto"/>
            <w:left w:val="none" w:sz="0" w:space="0" w:color="auto"/>
            <w:bottom w:val="none" w:sz="0" w:space="0" w:color="auto"/>
            <w:right w:val="none" w:sz="0" w:space="0" w:color="auto"/>
          </w:divBdr>
        </w:div>
        <w:div w:id="932011375">
          <w:marLeft w:val="0"/>
          <w:marRight w:val="0"/>
          <w:marTop w:val="0"/>
          <w:marBottom w:val="0"/>
          <w:divBdr>
            <w:top w:val="none" w:sz="0" w:space="0" w:color="auto"/>
            <w:left w:val="none" w:sz="0" w:space="0" w:color="auto"/>
            <w:bottom w:val="none" w:sz="0" w:space="0" w:color="auto"/>
            <w:right w:val="none" w:sz="0" w:space="0" w:color="auto"/>
          </w:divBdr>
        </w:div>
        <w:div w:id="523053757">
          <w:marLeft w:val="0"/>
          <w:marRight w:val="0"/>
          <w:marTop w:val="0"/>
          <w:marBottom w:val="0"/>
          <w:divBdr>
            <w:top w:val="none" w:sz="0" w:space="0" w:color="auto"/>
            <w:left w:val="none" w:sz="0" w:space="0" w:color="auto"/>
            <w:bottom w:val="none" w:sz="0" w:space="0" w:color="auto"/>
            <w:right w:val="none" w:sz="0" w:space="0" w:color="auto"/>
          </w:divBdr>
        </w:div>
        <w:div w:id="719013059">
          <w:marLeft w:val="0"/>
          <w:marRight w:val="0"/>
          <w:marTop w:val="0"/>
          <w:marBottom w:val="0"/>
          <w:divBdr>
            <w:top w:val="none" w:sz="0" w:space="0" w:color="auto"/>
            <w:left w:val="none" w:sz="0" w:space="0" w:color="auto"/>
            <w:bottom w:val="none" w:sz="0" w:space="0" w:color="auto"/>
            <w:right w:val="none" w:sz="0" w:space="0" w:color="auto"/>
          </w:divBdr>
        </w:div>
        <w:div w:id="150610662">
          <w:marLeft w:val="0"/>
          <w:marRight w:val="0"/>
          <w:marTop w:val="0"/>
          <w:marBottom w:val="0"/>
          <w:divBdr>
            <w:top w:val="none" w:sz="0" w:space="0" w:color="auto"/>
            <w:left w:val="none" w:sz="0" w:space="0" w:color="auto"/>
            <w:bottom w:val="none" w:sz="0" w:space="0" w:color="auto"/>
            <w:right w:val="none" w:sz="0" w:space="0" w:color="auto"/>
          </w:divBdr>
        </w:div>
        <w:div w:id="1622763959">
          <w:marLeft w:val="0"/>
          <w:marRight w:val="0"/>
          <w:marTop w:val="0"/>
          <w:marBottom w:val="0"/>
          <w:divBdr>
            <w:top w:val="none" w:sz="0" w:space="0" w:color="auto"/>
            <w:left w:val="none" w:sz="0" w:space="0" w:color="auto"/>
            <w:bottom w:val="none" w:sz="0" w:space="0" w:color="auto"/>
            <w:right w:val="none" w:sz="0" w:space="0" w:color="auto"/>
          </w:divBdr>
        </w:div>
        <w:div w:id="866453746">
          <w:marLeft w:val="0"/>
          <w:marRight w:val="0"/>
          <w:marTop w:val="0"/>
          <w:marBottom w:val="0"/>
          <w:divBdr>
            <w:top w:val="none" w:sz="0" w:space="0" w:color="auto"/>
            <w:left w:val="none" w:sz="0" w:space="0" w:color="auto"/>
            <w:bottom w:val="none" w:sz="0" w:space="0" w:color="auto"/>
            <w:right w:val="none" w:sz="0" w:space="0" w:color="auto"/>
          </w:divBdr>
        </w:div>
        <w:div w:id="1063720619">
          <w:marLeft w:val="0"/>
          <w:marRight w:val="0"/>
          <w:marTop w:val="0"/>
          <w:marBottom w:val="0"/>
          <w:divBdr>
            <w:top w:val="none" w:sz="0" w:space="0" w:color="auto"/>
            <w:left w:val="none" w:sz="0" w:space="0" w:color="auto"/>
            <w:bottom w:val="none" w:sz="0" w:space="0" w:color="auto"/>
            <w:right w:val="none" w:sz="0" w:space="0" w:color="auto"/>
          </w:divBdr>
        </w:div>
        <w:div w:id="499851015">
          <w:marLeft w:val="0"/>
          <w:marRight w:val="0"/>
          <w:marTop w:val="0"/>
          <w:marBottom w:val="0"/>
          <w:divBdr>
            <w:top w:val="none" w:sz="0" w:space="0" w:color="auto"/>
            <w:left w:val="none" w:sz="0" w:space="0" w:color="auto"/>
            <w:bottom w:val="none" w:sz="0" w:space="0" w:color="auto"/>
            <w:right w:val="none" w:sz="0" w:space="0" w:color="auto"/>
          </w:divBdr>
        </w:div>
        <w:div w:id="1903364889">
          <w:marLeft w:val="0"/>
          <w:marRight w:val="0"/>
          <w:marTop w:val="0"/>
          <w:marBottom w:val="0"/>
          <w:divBdr>
            <w:top w:val="none" w:sz="0" w:space="0" w:color="auto"/>
            <w:left w:val="none" w:sz="0" w:space="0" w:color="auto"/>
            <w:bottom w:val="none" w:sz="0" w:space="0" w:color="auto"/>
            <w:right w:val="none" w:sz="0" w:space="0" w:color="auto"/>
          </w:divBdr>
        </w:div>
        <w:div w:id="996224020">
          <w:marLeft w:val="0"/>
          <w:marRight w:val="0"/>
          <w:marTop w:val="0"/>
          <w:marBottom w:val="0"/>
          <w:divBdr>
            <w:top w:val="none" w:sz="0" w:space="0" w:color="auto"/>
            <w:left w:val="none" w:sz="0" w:space="0" w:color="auto"/>
            <w:bottom w:val="none" w:sz="0" w:space="0" w:color="auto"/>
            <w:right w:val="none" w:sz="0" w:space="0" w:color="auto"/>
          </w:divBdr>
        </w:div>
        <w:div w:id="2138252298">
          <w:marLeft w:val="0"/>
          <w:marRight w:val="0"/>
          <w:marTop w:val="0"/>
          <w:marBottom w:val="0"/>
          <w:divBdr>
            <w:top w:val="none" w:sz="0" w:space="0" w:color="auto"/>
            <w:left w:val="none" w:sz="0" w:space="0" w:color="auto"/>
            <w:bottom w:val="none" w:sz="0" w:space="0" w:color="auto"/>
            <w:right w:val="none" w:sz="0" w:space="0" w:color="auto"/>
          </w:divBdr>
        </w:div>
        <w:div w:id="423038611">
          <w:marLeft w:val="0"/>
          <w:marRight w:val="0"/>
          <w:marTop w:val="0"/>
          <w:marBottom w:val="0"/>
          <w:divBdr>
            <w:top w:val="none" w:sz="0" w:space="0" w:color="auto"/>
            <w:left w:val="none" w:sz="0" w:space="0" w:color="auto"/>
            <w:bottom w:val="none" w:sz="0" w:space="0" w:color="auto"/>
            <w:right w:val="none" w:sz="0" w:space="0" w:color="auto"/>
          </w:divBdr>
        </w:div>
        <w:div w:id="766271284">
          <w:marLeft w:val="0"/>
          <w:marRight w:val="0"/>
          <w:marTop w:val="0"/>
          <w:marBottom w:val="0"/>
          <w:divBdr>
            <w:top w:val="none" w:sz="0" w:space="0" w:color="auto"/>
            <w:left w:val="none" w:sz="0" w:space="0" w:color="auto"/>
            <w:bottom w:val="none" w:sz="0" w:space="0" w:color="auto"/>
            <w:right w:val="none" w:sz="0" w:space="0" w:color="auto"/>
          </w:divBdr>
        </w:div>
        <w:div w:id="1734934798">
          <w:marLeft w:val="0"/>
          <w:marRight w:val="0"/>
          <w:marTop w:val="0"/>
          <w:marBottom w:val="0"/>
          <w:divBdr>
            <w:top w:val="none" w:sz="0" w:space="0" w:color="auto"/>
            <w:left w:val="none" w:sz="0" w:space="0" w:color="auto"/>
            <w:bottom w:val="none" w:sz="0" w:space="0" w:color="auto"/>
            <w:right w:val="none" w:sz="0" w:space="0" w:color="auto"/>
          </w:divBdr>
        </w:div>
        <w:div w:id="2032684021">
          <w:marLeft w:val="0"/>
          <w:marRight w:val="0"/>
          <w:marTop w:val="0"/>
          <w:marBottom w:val="0"/>
          <w:divBdr>
            <w:top w:val="none" w:sz="0" w:space="0" w:color="auto"/>
            <w:left w:val="none" w:sz="0" w:space="0" w:color="auto"/>
            <w:bottom w:val="none" w:sz="0" w:space="0" w:color="auto"/>
            <w:right w:val="none" w:sz="0" w:space="0" w:color="auto"/>
          </w:divBdr>
        </w:div>
      </w:divsChild>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497498636">
          <w:marLeft w:val="0"/>
          <w:marRight w:val="0"/>
          <w:marTop w:val="0"/>
          <w:marBottom w:val="0"/>
          <w:divBdr>
            <w:top w:val="none" w:sz="0" w:space="0" w:color="auto"/>
            <w:left w:val="none" w:sz="0" w:space="0" w:color="auto"/>
            <w:bottom w:val="none" w:sz="0" w:space="0" w:color="auto"/>
            <w:right w:val="none" w:sz="0" w:space="0" w:color="auto"/>
          </w:divBdr>
        </w:div>
        <w:div w:id="1166163166">
          <w:marLeft w:val="0"/>
          <w:marRight w:val="0"/>
          <w:marTop w:val="0"/>
          <w:marBottom w:val="0"/>
          <w:divBdr>
            <w:top w:val="none" w:sz="0" w:space="0" w:color="auto"/>
            <w:left w:val="none" w:sz="0" w:space="0" w:color="auto"/>
            <w:bottom w:val="none" w:sz="0" w:space="0" w:color="auto"/>
            <w:right w:val="none" w:sz="0" w:space="0" w:color="auto"/>
          </w:divBdr>
        </w:div>
      </w:divsChild>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81736678">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335180284">
      <w:bodyDiv w:val="1"/>
      <w:marLeft w:val="0"/>
      <w:marRight w:val="0"/>
      <w:marTop w:val="0"/>
      <w:marBottom w:val="0"/>
      <w:divBdr>
        <w:top w:val="none" w:sz="0" w:space="0" w:color="auto"/>
        <w:left w:val="none" w:sz="0" w:space="0" w:color="auto"/>
        <w:bottom w:val="none" w:sz="0" w:space="0" w:color="auto"/>
        <w:right w:val="none" w:sz="0" w:space="0" w:color="auto"/>
      </w:divBdr>
    </w:div>
    <w:div w:id="1481536799">
      <w:bodyDiv w:val="1"/>
      <w:marLeft w:val="0"/>
      <w:marRight w:val="0"/>
      <w:marTop w:val="0"/>
      <w:marBottom w:val="0"/>
      <w:divBdr>
        <w:top w:val="none" w:sz="0" w:space="0" w:color="auto"/>
        <w:left w:val="none" w:sz="0" w:space="0" w:color="auto"/>
        <w:bottom w:val="none" w:sz="0" w:space="0" w:color="auto"/>
        <w:right w:val="none" w:sz="0" w:space="0" w:color="auto"/>
      </w:divBdr>
      <w:divsChild>
        <w:div w:id="785395909">
          <w:marLeft w:val="0"/>
          <w:marRight w:val="0"/>
          <w:marTop w:val="0"/>
          <w:marBottom w:val="0"/>
          <w:divBdr>
            <w:top w:val="none" w:sz="0" w:space="0" w:color="auto"/>
            <w:left w:val="none" w:sz="0" w:space="0" w:color="auto"/>
            <w:bottom w:val="none" w:sz="0" w:space="0" w:color="auto"/>
            <w:right w:val="none" w:sz="0" w:space="0" w:color="auto"/>
          </w:divBdr>
        </w:div>
        <w:div w:id="502866054">
          <w:marLeft w:val="0"/>
          <w:marRight w:val="0"/>
          <w:marTop w:val="0"/>
          <w:marBottom w:val="0"/>
          <w:divBdr>
            <w:top w:val="none" w:sz="0" w:space="0" w:color="auto"/>
            <w:left w:val="none" w:sz="0" w:space="0" w:color="auto"/>
            <w:bottom w:val="none" w:sz="0" w:space="0" w:color="auto"/>
            <w:right w:val="none" w:sz="0" w:space="0" w:color="auto"/>
          </w:divBdr>
        </w:div>
        <w:div w:id="1469278311">
          <w:marLeft w:val="0"/>
          <w:marRight w:val="0"/>
          <w:marTop w:val="0"/>
          <w:marBottom w:val="0"/>
          <w:divBdr>
            <w:top w:val="none" w:sz="0" w:space="0" w:color="auto"/>
            <w:left w:val="none" w:sz="0" w:space="0" w:color="auto"/>
            <w:bottom w:val="none" w:sz="0" w:space="0" w:color="auto"/>
            <w:right w:val="none" w:sz="0" w:space="0" w:color="auto"/>
          </w:divBdr>
        </w:div>
        <w:div w:id="1629385757">
          <w:marLeft w:val="0"/>
          <w:marRight w:val="0"/>
          <w:marTop w:val="0"/>
          <w:marBottom w:val="0"/>
          <w:divBdr>
            <w:top w:val="none" w:sz="0" w:space="0" w:color="auto"/>
            <w:left w:val="none" w:sz="0" w:space="0" w:color="auto"/>
            <w:bottom w:val="none" w:sz="0" w:space="0" w:color="auto"/>
            <w:right w:val="none" w:sz="0" w:space="0" w:color="auto"/>
          </w:divBdr>
        </w:div>
        <w:div w:id="439615928">
          <w:marLeft w:val="0"/>
          <w:marRight w:val="0"/>
          <w:marTop w:val="0"/>
          <w:marBottom w:val="0"/>
          <w:divBdr>
            <w:top w:val="none" w:sz="0" w:space="0" w:color="auto"/>
            <w:left w:val="none" w:sz="0" w:space="0" w:color="auto"/>
            <w:bottom w:val="none" w:sz="0" w:space="0" w:color="auto"/>
            <w:right w:val="none" w:sz="0" w:space="0" w:color="auto"/>
          </w:divBdr>
        </w:div>
        <w:div w:id="1890460223">
          <w:marLeft w:val="0"/>
          <w:marRight w:val="0"/>
          <w:marTop w:val="0"/>
          <w:marBottom w:val="0"/>
          <w:divBdr>
            <w:top w:val="none" w:sz="0" w:space="0" w:color="auto"/>
            <w:left w:val="none" w:sz="0" w:space="0" w:color="auto"/>
            <w:bottom w:val="none" w:sz="0" w:space="0" w:color="auto"/>
            <w:right w:val="none" w:sz="0" w:space="0" w:color="auto"/>
          </w:divBdr>
        </w:div>
        <w:div w:id="1603220229">
          <w:marLeft w:val="0"/>
          <w:marRight w:val="0"/>
          <w:marTop w:val="0"/>
          <w:marBottom w:val="0"/>
          <w:divBdr>
            <w:top w:val="none" w:sz="0" w:space="0" w:color="auto"/>
            <w:left w:val="none" w:sz="0" w:space="0" w:color="auto"/>
            <w:bottom w:val="none" w:sz="0" w:space="0" w:color="auto"/>
            <w:right w:val="none" w:sz="0" w:space="0" w:color="auto"/>
          </w:divBdr>
        </w:div>
        <w:div w:id="1582519521">
          <w:marLeft w:val="0"/>
          <w:marRight w:val="0"/>
          <w:marTop w:val="0"/>
          <w:marBottom w:val="0"/>
          <w:divBdr>
            <w:top w:val="none" w:sz="0" w:space="0" w:color="auto"/>
            <w:left w:val="none" w:sz="0" w:space="0" w:color="auto"/>
            <w:bottom w:val="none" w:sz="0" w:space="0" w:color="auto"/>
            <w:right w:val="none" w:sz="0" w:space="0" w:color="auto"/>
          </w:divBdr>
        </w:div>
        <w:div w:id="1285816692">
          <w:marLeft w:val="0"/>
          <w:marRight w:val="0"/>
          <w:marTop w:val="0"/>
          <w:marBottom w:val="0"/>
          <w:divBdr>
            <w:top w:val="none" w:sz="0" w:space="0" w:color="auto"/>
            <w:left w:val="none" w:sz="0" w:space="0" w:color="auto"/>
            <w:bottom w:val="none" w:sz="0" w:space="0" w:color="auto"/>
            <w:right w:val="none" w:sz="0" w:space="0" w:color="auto"/>
          </w:divBdr>
        </w:div>
        <w:div w:id="1051153194">
          <w:marLeft w:val="0"/>
          <w:marRight w:val="0"/>
          <w:marTop w:val="0"/>
          <w:marBottom w:val="0"/>
          <w:divBdr>
            <w:top w:val="none" w:sz="0" w:space="0" w:color="auto"/>
            <w:left w:val="none" w:sz="0" w:space="0" w:color="auto"/>
            <w:bottom w:val="none" w:sz="0" w:space="0" w:color="auto"/>
            <w:right w:val="none" w:sz="0" w:space="0" w:color="auto"/>
          </w:divBdr>
        </w:div>
        <w:div w:id="14305550">
          <w:marLeft w:val="0"/>
          <w:marRight w:val="0"/>
          <w:marTop w:val="0"/>
          <w:marBottom w:val="0"/>
          <w:divBdr>
            <w:top w:val="none" w:sz="0" w:space="0" w:color="auto"/>
            <w:left w:val="none" w:sz="0" w:space="0" w:color="auto"/>
            <w:bottom w:val="none" w:sz="0" w:space="0" w:color="auto"/>
            <w:right w:val="none" w:sz="0" w:space="0" w:color="auto"/>
          </w:divBdr>
        </w:div>
        <w:div w:id="997538201">
          <w:marLeft w:val="0"/>
          <w:marRight w:val="0"/>
          <w:marTop w:val="0"/>
          <w:marBottom w:val="0"/>
          <w:divBdr>
            <w:top w:val="none" w:sz="0" w:space="0" w:color="auto"/>
            <w:left w:val="none" w:sz="0" w:space="0" w:color="auto"/>
            <w:bottom w:val="none" w:sz="0" w:space="0" w:color="auto"/>
            <w:right w:val="none" w:sz="0" w:space="0" w:color="auto"/>
          </w:divBdr>
        </w:div>
        <w:div w:id="895550321">
          <w:marLeft w:val="0"/>
          <w:marRight w:val="0"/>
          <w:marTop w:val="0"/>
          <w:marBottom w:val="0"/>
          <w:divBdr>
            <w:top w:val="none" w:sz="0" w:space="0" w:color="auto"/>
            <w:left w:val="none" w:sz="0" w:space="0" w:color="auto"/>
            <w:bottom w:val="none" w:sz="0" w:space="0" w:color="auto"/>
            <w:right w:val="none" w:sz="0" w:space="0" w:color="auto"/>
          </w:divBdr>
        </w:div>
        <w:div w:id="255747422">
          <w:marLeft w:val="0"/>
          <w:marRight w:val="0"/>
          <w:marTop w:val="0"/>
          <w:marBottom w:val="0"/>
          <w:divBdr>
            <w:top w:val="none" w:sz="0" w:space="0" w:color="auto"/>
            <w:left w:val="none" w:sz="0" w:space="0" w:color="auto"/>
            <w:bottom w:val="none" w:sz="0" w:space="0" w:color="auto"/>
            <w:right w:val="none" w:sz="0" w:space="0" w:color="auto"/>
          </w:divBdr>
        </w:div>
        <w:div w:id="1832714920">
          <w:marLeft w:val="0"/>
          <w:marRight w:val="0"/>
          <w:marTop w:val="0"/>
          <w:marBottom w:val="0"/>
          <w:divBdr>
            <w:top w:val="none" w:sz="0" w:space="0" w:color="auto"/>
            <w:left w:val="none" w:sz="0" w:space="0" w:color="auto"/>
            <w:bottom w:val="none" w:sz="0" w:space="0" w:color="auto"/>
            <w:right w:val="none" w:sz="0" w:space="0" w:color="auto"/>
          </w:divBdr>
        </w:div>
        <w:div w:id="2047487309">
          <w:marLeft w:val="0"/>
          <w:marRight w:val="0"/>
          <w:marTop w:val="0"/>
          <w:marBottom w:val="0"/>
          <w:divBdr>
            <w:top w:val="none" w:sz="0" w:space="0" w:color="auto"/>
            <w:left w:val="none" w:sz="0" w:space="0" w:color="auto"/>
            <w:bottom w:val="none" w:sz="0" w:space="0" w:color="auto"/>
            <w:right w:val="none" w:sz="0" w:space="0" w:color="auto"/>
          </w:divBdr>
        </w:div>
        <w:div w:id="2133592646">
          <w:marLeft w:val="0"/>
          <w:marRight w:val="0"/>
          <w:marTop w:val="0"/>
          <w:marBottom w:val="0"/>
          <w:divBdr>
            <w:top w:val="none" w:sz="0" w:space="0" w:color="auto"/>
            <w:left w:val="none" w:sz="0" w:space="0" w:color="auto"/>
            <w:bottom w:val="none" w:sz="0" w:space="0" w:color="auto"/>
            <w:right w:val="none" w:sz="0" w:space="0" w:color="auto"/>
          </w:divBdr>
        </w:div>
        <w:div w:id="704408000">
          <w:marLeft w:val="0"/>
          <w:marRight w:val="0"/>
          <w:marTop w:val="0"/>
          <w:marBottom w:val="0"/>
          <w:divBdr>
            <w:top w:val="none" w:sz="0" w:space="0" w:color="auto"/>
            <w:left w:val="none" w:sz="0" w:space="0" w:color="auto"/>
            <w:bottom w:val="none" w:sz="0" w:space="0" w:color="auto"/>
            <w:right w:val="none" w:sz="0" w:space="0" w:color="auto"/>
          </w:divBdr>
        </w:div>
        <w:div w:id="274020832">
          <w:marLeft w:val="0"/>
          <w:marRight w:val="0"/>
          <w:marTop w:val="0"/>
          <w:marBottom w:val="0"/>
          <w:divBdr>
            <w:top w:val="none" w:sz="0" w:space="0" w:color="auto"/>
            <w:left w:val="none" w:sz="0" w:space="0" w:color="auto"/>
            <w:bottom w:val="none" w:sz="0" w:space="0" w:color="auto"/>
            <w:right w:val="none" w:sz="0" w:space="0" w:color="auto"/>
          </w:divBdr>
        </w:div>
        <w:div w:id="1487824356">
          <w:marLeft w:val="0"/>
          <w:marRight w:val="0"/>
          <w:marTop w:val="0"/>
          <w:marBottom w:val="0"/>
          <w:divBdr>
            <w:top w:val="none" w:sz="0" w:space="0" w:color="auto"/>
            <w:left w:val="none" w:sz="0" w:space="0" w:color="auto"/>
            <w:bottom w:val="none" w:sz="0" w:space="0" w:color="auto"/>
            <w:right w:val="none" w:sz="0" w:space="0" w:color="auto"/>
          </w:divBdr>
        </w:div>
        <w:div w:id="10255901">
          <w:marLeft w:val="0"/>
          <w:marRight w:val="0"/>
          <w:marTop w:val="0"/>
          <w:marBottom w:val="0"/>
          <w:divBdr>
            <w:top w:val="none" w:sz="0" w:space="0" w:color="auto"/>
            <w:left w:val="none" w:sz="0" w:space="0" w:color="auto"/>
            <w:bottom w:val="none" w:sz="0" w:space="0" w:color="auto"/>
            <w:right w:val="none" w:sz="0" w:space="0" w:color="auto"/>
          </w:divBdr>
        </w:div>
      </w:divsChild>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607083430">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20" Type="http://schemas.microsoft.com/office/2019/05/relationships/documenttasks" Target="documenttasks/documenttasks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04BCD899-13DC-4F6A-A915-E2DE99330BA8}">
    <t:Anchor>
      <t:Comment id="652644818"/>
    </t:Anchor>
    <t:History>
      <t:Event id="{1C47EE75-ACB3-4803-9DC8-F6BBB0E804ED}" time="2022-10-05T13:23:42.385Z">
        <t:Attribution userId="S::d.kersiene@inovacijuagentura.lt::75e1688f-35e6-4c48-a06e-d4e266847678" userProvider="AD" userName="Daiva Keršienė"/>
        <t:Anchor>
          <t:Comment id="424067905"/>
        </t:Anchor>
        <t:Create/>
      </t:Event>
      <t:Event id="{9D33399A-E71F-44C1-ABDB-C3FC2869576A}" time="2022-10-05T13:23:42.385Z">
        <t:Attribution userId="S::d.kersiene@inovacijuagentura.lt::75e1688f-35e6-4c48-a06e-d4e266847678" userProvider="AD" userName="Daiva Keršienė"/>
        <t:Anchor>
          <t:Comment id="424067905"/>
        </t:Anchor>
        <t:Assign userId="S::p.kamaitis@inovacijuagentura.lt::636c0486-56f6-473d-bbde-2cf47996f715" userProvider="AD" userName="Paulius Kamaitis"/>
      </t:Event>
      <t:Event id="{2F8422CF-6337-4E20-A049-A0902F6BD59E}" time="2022-10-05T13:23:42.385Z">
        <t:Attribution userId="S::d.kersiene@inovacijuagentura.lt::75e1688f-35e6-4c48-a06e-d4e266847678" userProvider="AD" userName="Daiva Keršienė"/>
        <t:Anchor>
          <t:Comment id="424067905"/>
        </t:Anchor>
        <t:SetTitle title="@rasa.kulvietienė, @Paulius Kamaitis čia būtinai turi būti ir MTEPI, nes finansuojama veikla bus investicijos į kompetencijos centra, kurios poveiklė inovacijų paramos paslaugos, jei bus tik MTEP infrastruktūra, tai reiškiasi parkai negalės teikti …"/>
      </t:Event>
    </t:History>
  </t:Task>
  <t:Task id="{7C5B1882-E115-49B3-93A1-9360633E84A4}">
    <t:Anchor>
      <t:Comment id="1158906579"/>
    </t:Anchor>
    <t:History>
      <t:Event id="{475F5A8D-E48E-4D72-878E-15C31FFCB103}" time="2022-10-05T13:26:32.057Z">
        <t:Attribution userId="S::d.kersiene@inovacijuagentura.lt::75e1688f-35e6-4c48-a06e-d4e266847678" userProvider="AD" userName="Daiva Keršienė"/>
        <t:Anchor>
          <t:Comment id="1158906579"/>
        </t:Anchor>
        <t:Create/>
      </t:Event>
      <t:Event id="{87C0E252-2186-4229-9F0D-C268A8E02EE7}" time="2022-10-05T13:26:32.057Z">
        <t:Attribution userId="S::d.kersiene@inovacijuagentura.lt::75e1688f-35e6-4c48-a06e-d4e266847678" userProvider="AD" userName="Daiva Keršienė"/>
        <t:Anchor>
          <t:Comment id="1158906579"/>
        </t:Anchor>
        <t:Assign userId="S::p.kamaitis@inovacijuagentura.lt::636c0486-56f6-473d-bbde-2cf47996f715" userProvider="AD" userName="Paulius Kamaitis"/>
      </t:Event>
      <t:Event id="{12C73B24-4853-46FA-A05B-07D518D09F91}" time="2022-10-05T13:26:32.057Z">
        <t:Attribution userId="S::d.kersiene@inovacijuagentura.lt::75e1688f-35e6-4c48-a06e-d4e266847678" userProvider="AD" userName="Daiva Keršienė"/>
        <t:Anchor>
          <t:Comment id="1158906579"/>
        </t:Anchor>
        <t:SetTitle title="@Paulius Kamaitis negerai su sąvokomis, nes Projekto partneris, konsorciumo narys kuris vykdo MTEP veiklas konsorciumo sutartyje. Parkai nevykdys MTEP veiklų jie vykdys inovacines veiklas, tai reikia tikslinti į MTEPI"/>
      </t:Event>
    </t:History>
  </t:Task>
  <t:Task id="{9D1C02A5-84C9-4908-A07A-68B8ACE4BA21}">
    <t:Anchor>
      <t:Comment id="996845391"/>
    </t:Anchor>
    <t:History>
      <t:Event id="{DC850844-7E30-4DC6-9231-315B8AA3748F}" time="2022-10-05T13:45:28.63Z">
        <t:Attribution userId="S::d.kersiene@inovacijuagentura.lt::75e1688f-35e6-4c48-a06e-d4e266847678" userProvider="AD" userName="Daiva Keršienė"/>
        <t:Anchor>
          <t:Comment id="996845391"/>
        </t:Anchor>
        <t:Create/>
      </t:Event>
      <t:Event id="{21E96A1B-10A2-4643-88C3-E1340F104FD2}" time="2022-10-05T13:45:28.63Z">
        <t:Attribution userId="S::d.kersiene@inovacijuagentura.lt::75e1688f-35e6-4c48-a06e-d4e266847678" userProvider="AD" userName="Daiva Keršienė"/>
        <t:Anchor>
          <t:Comment id="996845391"/>
        </t:Anchor>
        <t:Assign userId="S::m.bieksa@inovacijuagentura.lt::2425c2fa-01eb-4a2c-ab98-ee68c6c6dbbb" userProvider="AD" userName="Mantas Biekša"/>
      </t:Event>
      <t:Event id="{6861DCB1-E50C-4C62-88E7-19AAEE9F9917}" time="2022-10-05T13:45:28.63Z">
        <t:Attribution userId="S::d.kersiene@inovacijuagentura.lt::75e1688f-35e6-4c48-a06e-d4e266847678" userProvider="AD" userName="Daiva Keršienė"/>
        <t:Anchor>
          <t:Comment id="996845391"/>
        </t:Anchor>
        <t:SetTitle title="@Mantas Biekša gal galėtum įdėti tikslią taisyklių nuorodą, su datomis"/>
      </t:Event>
    </t:History>
  </t:Task>
  <t:Task id="{5ED00B24-9983-4CC4-B3B7-09494E2E43C2}">
    <t:Anchor>
      <t:Comment id="50649606"/>
    </t:Anchor>
    <t:History>
      <t:Event id="{938BFA7B-1E5F-4DA7-8CBB-B1D3BE864C26}" time="2022-10-05T14:10:08.652Z">
        <t:Attribution userId="S::d.kersiene@inovacijuagentura.lt::75e1688f-35e6-4c48-a06e-d4e266847678" userProvider="AD" userName="Daiva Keršienė"/>
        <t:Anchor>
          <t:Comment id="50649606"/>
        </t:Anchor>
        <t:Create/>
      </t:Event>
      <t:Event id="{C5AD743F-378B-473D-A344-33BD6B67A1C7}" time="2022-10-05T14:10:08.652Z">
        <t:Attribution userId="S::d.kersiene@inovacijuagentura.lt::75e1688f-35e6-4c48-a06e-d4e266847678" userProvider="AD" userName="Daiva Keršienė"/>
        <t:Anchor>
          <t:Comment id="50649606"/>
        </t:Anchor>
        <t:Assign userId="S::p.kamaitis@inovacijuagentura.lt::636c0486-56f6-473d-bbde-2cf47996f715" userProvider="AD" userName="Paulius Kamaitis"/>
      </t:Event>
      <t:Event id="{5B1767D2-1CA6-407A-AC83-115C7F78F1B1}" time="2022-10-05T14:10:08.652Z">
        <t:Attribution userId="S::d.kersiene@inovacijuagentura.lt::75e1688f-35e6-4c48-a06e-d4e266847678" userProvider="AD" userName="Daiva Keršienė"/>
        <t:Anchor>
          <t:Comment id="50649606"/>
        </t:Anchor>
        <t:SetTitle title="@Paulius Kamaitis gal čia tikslinti ne pagalba konsultavimui o kai teikiama valstybės pagalba inovacijų paslaugoms. Nes sutarėm kad konsultavimo nėr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1" Abbr="11 pr." Title="2022–2030 M. PLĖTROS PROGRAMOS VALDYTOJOS LIETUVOS RESPUBLIKOS ŠVIETIMO, MOKSLO IR SPORTO MINISTERIJOS MOKSLO PLĖTROS PROGRAMOS PAŽANGOS PRIEMONĖS NR. 12-001-01-02-01 „STIPRINTI INOVACIJŲ EKOSISTEMAS MOKSLO CENTRUOSE“ PROJEKTŲ FINANSAVIMO SĄLYGŲ APRAŠAS NR. 11" DocPartId="2e40b99c68ec4dd5bcc865124b91c008" PartId="9ca73d9b4af04190a8b5e652d1f20f22">
    <Part Type="pabaiga" DocPartId="6c6feca663434bc2b3d89e98b8995dc9" PartId="6481810f99d74d57a30ac0431eb55a18"/>
  </Part>
  <Part Type="priedas" Nr="1" Abbr="1 pr." Title="PROJEKTO (ĮSKAITANT JUNGTINĮ PROJEKTĄ) ATITIKTIES REIKŠMINGOS ŽALOS NEDARYMO HORIZONTALIAJAM PRINCIPUI VERTINIMO REIKALAVIMŲ APRAŠAS" DocPartId="b5f0004bd7a5458f97be8427b017bb2c" PartId="d84e63c914824dff8a656b65ece28adc"/>
  <Part Type="priedas" Nr="2" Abbr="2 pr." Title="INFORMACIJOS, REIKALINGOS PROJEKTO ATITIKČIAI SUMANIOSIOS SPECIALIZACIJOS KONCEPCIJAI ĮVERTINTI, FORMA" DocPartId="f9a3ae64e0ab42bdb218547b20d4eddf" PartId="1eaa3770f7c54aeeab82aa45de6545f0">
    <Part Type="punktas" Nr="1" Abbr="2 pr. 1 p." DocPartId="4f79b3e8d0e74ac398ede1af2877eda9" PartId="beb4fa9f4b2841a9ba08b630a9dd2954"/>
  </Part>
  <Part Type="priedas" Nr="3" Abbr="3 pr." Title="ATITIKTIES VALSTYBĖS PAGALBOS TAISYKLĖMS PATIKROS LAPAS" DocPartId="f6ad339c2c004267a509c4b7e068181b" PartId="9843370fcd3640628f264175cbe3b041"/>
</Parts>
</file>

<file path=customXml/itemProps1.xml><?xml version="1.0" encoding="utf-8"?>
<ds:datastoreItem xmlns:ds="http://schemas.openxmlformats.org/officeDocument/2006/customXml" ds:itemID="{274EBCD8-23D5-454E-846D-0FD49E1A8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B62911-1CA9-4E00-A4E2-4CB98BF0FDE4}">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4.xml><?xml version="1.0" encoding="utf-8"?>
<ds:datastoreItem xmlns:ds="http://schemas.openxmlformats.org/officeDocument/2006/customXml" ds:itemID="{61CD05FE-144E-4AB7-9F6C-1419DE53FD72}">
  <ds:schemaRefs>
    <ds:schemaRef ds:uri="http://schemas.openxmlformats.org/officeDocument/2006/bibliography"/>
  </ds:schemaRefs>
</ds:datastoreItem>
</file>

<file path=customXml/itemProps5.xml><?xml version="1.0" encoding="utf-8"?>
<ds:datastoreItem xmlns:ds="http://schemas.openxmlformats.org/officeDocument/2006/customXml" ds:itemID="{581AD9D1-DD07-46DC-A9F3-818AD6DB30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6834</Words>
  <Characters>46543</Characters>
  <Application>Microsoft Office Word</Application>
  <DocSecurity>4</DocSecurity>
  <Lines>1861</Lines>
  <Paragraphs>762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ba9e28eb-85c0-4a48-9266-0caf6812e428</vt:lpstr>
      <vt:lpstr>ba9e28eb-85c0-4a48-9266-0caf6812e428</vt:lpstr>
    </vt:vector>
  </TitlesOfParts>
  <Company/>
  <LinksUpToDate>false</LinksUpToDate>
  <CharactersWithSpaces>52615</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2023-08-31T10:53:00Z</dcterms:created>
  <dc:creator>Gitana Cieminienė</dc:creator>
  <lastModifiedBy>adlibuser</lastModifiedBy>
  <lastPrinted>2023-08-17T11:08:00Z</lastPrinted>
  <dcterms:modified xsi:type="dcterms:W3CDTF">2023-08-31T10:53:00Z</dcterms:modified>
  <revision>2</revision>
  <dc:title>ba9e28eb-85c0-4a48-9266-0caf6812e428</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Komentarai">
    <vt:lpwstr>Pridėta vizavimo metu</vt:lpwstr>
  </property>
  <property fmtid="{D5CDD505-2E9C-101B-9397-08002B2CF9AE}" pid="6" name="DmsPermissionsFlags">
    <vt:lpwstr>,SECTRUE,</vt:lpwstr>
  </property>
  <property fmtid="{D5CDD505-2E9C-101B-9397-08002B2CF9AE}" pid="7" name="DmsPermissionsDivisions">
    <vt:lpwstr/>
  </property>
  <property fmtid="{D5CDD505-2E9C-101B-9397-08002B2CF9AE}" pid="8" name="DmsPermissionsUsers">
    <vt:lpwstr>827;#Marija Samavičiūtė;#1119;#Mantas Bernotas;#166;#Margarita Kairienė;#1096;#Gytis Petrukaitis;#63;#Eglė Vizbarė</vt:lpwstr>
  </property>
  <property fmtid="{D5CDD505-2E9C-101B-9397-08002B2CF9AE}" pid="9" name="TaxCatchAll">
    <vt:lpwstr/>
  </property>
</Properties>
</file>