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3b947cc197ee4235af466a01e539bb95"/>
        <w:lock w:val="sdtLocked"/>
        <w:richText/>
      </w:sdtPr>
      <w:sdtContent>
        <w:p>
          <w:pPr>
            <w:tabs>
              <w:tab w:val="center" w:pos="4986"/>
              <w:tab w:val="right" w:pos="9972"/>
            </w:tabs>
          </w:pPr>
        </w:p>
        <w:p>
          <w:pPr>
            <w:tabs>
              <w:tab w:val="center" w:pos="4819"/>
              <w:tab w:val="right" w:pos="9638"/>
            </w:tabs>
            <w:rPr>
              <w:sz w:val="22"/>
              <w:szCs w:val="22"/>
            </w:rPr>
          </w:pPr>
        </w:p>
        <w:p>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pPr>
            <w:ind w:left="9639"/>
            <w:jc w:val="both"/>
            <w:rPr>
              <w:szCs w:val="24"/>
            </w:rPr>
          </w:pPr>
          <w:sdt>
            <w:sdtPr>
              <w:alias w:val="Numeris"/>
              <w:tag w:val="nr_3b947cc197ee4235af466a01e539bb95"/>
              <w:lock w:val="sdtLocked"/>
              <w:richText/>
            </w:sdtPr>
            <w:sdtContent>
              <w:r>
                <w:rPr>
                  <w:szCs w:val="24"/>
                </w:rPr>
                <w:t>10</w:t>
              </w:r>
            </w:sdtContent>
          </w:sdt>
          <w:r>
            <w:rPr>
              <w:szCs w:val="24"/>
            </w:rPr>
            <w:t xml:space="preserve"> priedas</w:t>
          </w:r>
        </w:p>
        <w:p>
          <w:pPr>
            <w:rPr>
              <w:i/>
              <w:szCs w:val="24"/>
            </w:rPr>
          </w:pPr>
        </w:p>
        <w:p>
          <w:pPr>
            <w:rPr>
              <w:i/>
              <w:szCs w:val="24"/>
            </w:rPr>
          </w:pPr>
        </w:p>
        <w:p>
          <w:pPr>
            <w:jc w:val="center"/>
            <w:rPr>
              <w:szCs w:val="24"/>
            </w:rPr>
          </w:pPr>
          <w:sdt>
            <w:sdtPr>
              <w:alias w:val="Pavadinimas"/>
              <w:tag w:val="title_3b947cc197ee4235af466a01e539bb95"/>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10</w:t>
              </w:r>
            </w:sdtContent>
          </w:sdt>
        </w:p>
        <w:p>
          <w:pPr>
            <w:rPr>
              <w:szCs w:val="24"/>
            </w:rPr>
          </w:pPr>
        </w:p>
        <w:p>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134"/>
            <w:gridCol w:w="1134"/>
            <w:gridCol w:w="1134"/>
            <w:gridCol w:w="1418"/>
            <w:gridCol w:w="1276"/>
            <w:gridCol w:w="992"/>
            <w:gridCol w:w="1276"/>
            <w:gridCol w:w="850"/>
            <w:gridCol w:w="1134"/>
            <w:gridCol w:w="992"/>
            <w:gridCol w:w="1276"/>
          </w:tblGrid>
          <w:tr>
            <w:tc>
              <w:tcPr>
                <w:tcW w:w="14879" w:type="dxa"/>
                <w:gridSpan w:val="13"/>
                <w:vAlign w:val="center"/>
              </w:tcPr>
              <w:p>
                <w:pPr>
                  <w:jc w:val="center"/>
                  <w:rPr>
                    <w:b/>
                    <w:sz w:val="22"/>
                    <w:szCs w:val="22"/>
                  </w:rPr>
                </w:pPr>
                <w:r>
                  <w:rPr>
                    <w:b/>
                    <w:sz w:val="22"/>
                    <w:szCs w:val="22"/>
                  </w:rPr>
                  <w:t>VEIKLOS AR POVEIKLĖS, KURIOMS NUSTATOMOS PROJEKTŲ FINANSAVIMO SĄLYGOS</w:t>
                </w:r>
              </w:p>
            </w:tc>
          </w:tr>
          <w:tr>
            <w:tc>
              <w:tcPr>
                <w:tcW w:w="1129"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134"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paprie-monė</w:t>
                </w:r>
              </w:p>
            </w:tc>
            <w:tc>
              <w:tcPr>
                <w:tcW w:w="1418"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850"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276"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29" w:type="dxa"/>
                <w:tcMar>
                  <w:left w:w="28" w:type="dxa"/>
                  <w:right w:w="28" w:type="dxa"/>
                </w:tcMar>
              </w:tcPr>
              <w:p>
                <w:pPr>
                  <w:jc w:val="center"/>
                  <w:rPr>
                    <w:sz w:val="22"/>
                    <w:szCs w:val="22"/>
                  </w:rPr>
                </w:pPr>
                <w:r>
                  <w:rPr>
                    <w:color w:val="000000"/>
                    <w:sz w:val="22"/>
                    <w:szCs w:val="22"/>
                  </w:rPr>
                  <w:t xml:space="preserve">2.2.1. </w:t>
                </w:r>
                <w:r>
                  <w:rPr>
                    <w:sz w:val="22"/>
                    <w:szCs w:val="22"/>
                  </w:rPr>
                  <w:t xml:space="preserve">Didinti mokslo tarptautiš-kumo lygį (Sostinė) </w:t>
                </w:r>
              </w:p>
            </w:tc>
            <w:tc>
              <w:tcPr>
                <w:tcW w:w="1134" w:type="dxa"/>
                <w:tcMar>
                  <w:left w:w="28" w:type="dxa"/>
                  <w:right w:w="28" w:type="dxa"/>
                </w:tcMar>
              </w:tcPr>
              <w:p>
                <w:pPr>
                  <w:jc w:val="center"/>
                  <w:rPr>
                    <w:iCs/>
                    <w:sz w:val="22"/>
                    <w:szCs w:val="22"/>
                  </w:rPr>
                </w:pPr>
                <w:r>
                  <w:rPr>
                    <w:iCs/>
                    <w:sz w:val="22"/>
                    <w:szCs w:val="22"/>
                  </w:rPr>
                  <w:t>Europos Sąjungos fondų ir bendrojo finansa-vimo lėšos;</w:t>
                </w:r>
              </w:p>
              <w:p>
                <w:pPr>
                  <w:jc w:val="center"/>
                  <w:rPr>
                    <w:sz w:val="22"/>
                    <w:szCs w:val="22"/>
                  </w:rPr>
                </w:pPr>
                <w:r>
                  <w:rPr>
                    <w:sz w:val="22"/>
                    <w:szCs w:val="22"/>
                  </w:rPr>
                  <w:t>valstybės biudžeto lėšos, skirtos Europos Sąjungos fondų lėšomis netinka-mam finansuoti pridėtinės vertės mokesčiui apmokėti</w:t>
                </w:r>
              </w:p>
            </w:tc>
            <w:tc>
              <w:tcPr>
                <w:tcW w:w="1134" w:type="dxa"/>
                <w:tcMar>
                  <w:left w:w="28" w:type="dxa"/>
                  <w:right w:w="28" w:type="dxa"/>
                </w:tcMar>
              </w:tcPr>
              <w:p>
                <w:pPr>
                  <w:jc w:val="center"/>
                  <w:rPr>
                    <w:iCs/>
                    <w:sz w:val="22"/>
                    <w:szCs w:val="22"/>
                  </w:rPr>
                </w:pPr>
                <w:r>
                  <w:rPr>
                    <w:iCs/>
                    <w:sz w:val="22"/>
                    <w:szCs w:val="22"/>
                  </w:rPr>
                  <w:t>1</w:t>
                </w:r>
              </w:p>
            </w:tc>
            <w:tc>
              <w:tcPr>
                <w:tcW w:w="1134" w:type="dxa"/>
                <w:tcMar>
                  <w:left w:w="28" w:type="dxa"/>
                  <w:right w:w="28" w:type="dxa"/>
                </w:tcMar>
              </w:tcPr>
              <w:p>
                <w:pPr>
                  <w:jc w:val="center"/>
                  <w:rPr>
                    <w:sz w:val="22"/>
                    <w:szCs w:val="22"/>
                  </w:rPr>
                </w:pPr>
                <w:r>
                  <w:rPr>
                    <w:sz w:val="22"/>
                    <w:szCs w:val="22"/>
                  </w:rPr>
                  <w:t>1.1</w:t>
                </w:r>
              </w:p>
            </w:tc>
            <w:tc>
              <w:tcPr>
                <w:tcW w:w="1134" w:type="dxa"/>
                <w:tcMar>
                  <w:left w:w="28" w:type="dxa"/>
                  <w:right w:w="28" w:type="dxa"/>
                </w:tcMar>
              </w:tcPr>
              <w:p>
                <w:pPr>
                  <w:jc w:val="center"/>
                  <w:rPr>
                    <w:iCs/>
                    <w:sz w:val="22"/>
                    <w:szCs w:val="22"/>
                  </w:rPr>
                </w:pPr>
                <w:r>
                  <w:rPr>
                    <w:sz w:val="22"/>
                    <w:szCs w:val="22"/>
                  </w:rPr>
                  <w:t xml:space="preserve">Lietuvos mokslo ir inovacijų ryšių ir kompeten-cijos biuro Briuselyje (toliau – LINO) veiklos stiprinimas </w:t>
                </w:r>
              </w:p>
            </w:tc>
            <w:tc>
              <w:tcPr>
                <w:tcW w:w="1418" w:type="dxa"/>
                <w:tcMar>
                  <w:left w:w="28" w:type="dxa"/>
                  <w:right w:w="28" w:type="dxa"/>
                </w:tcMar>
              </w:tcPr>
              <w:p>
                <w:pPr>
                  <w:jc w:val="center"/>
                  <w:rPr>
                    <w:iCs/>
                    <w:sz w:val="22"/>
                    <w:szCs w:val="22"/>
                  </w:rPr>
                </w:pPr>
                <w:r>
                  <w:rPr>
                    <w:iCs/>
                    <w:sz w:val="22"/>
                    <w:szCs w:val="22"/>
                  </w:rPr>
                  <w:t>012</w:t>
                </w:r>
              </w:p>
              <w:p>
                <w:pPr>
                  <w:jc w:val="center"/>
                  <w:rPr>
                    <w:iCs/>
                    <w:sz w:val="22"/>
                    <w:szCs w:val="22"/>
                  </w:rPr>
                </w:pPr>
              </w:p>
              <w:p>
                <w:pPr>
                  <w:jc w:val="center"/>
                  <w:rPr>
                    <w:iCs/>
                    <w:sz w:val="22"/>
                    <w:szCs w:val="22"/>
                  </w:rPr>
                </w:pPr>
              </w:p>
            </w:tc>
            <w:tc>
              <w:tcPr>
                <w:tcW w:w="1276" w:type="dxa"/>
                <w:tcMar>
                  <w:left w:w="28" w:type="dxa"/>
                  <w:right w:w="28" w:type="dxa"/>
                </w:tcMar>
              </w:tcPr>
              <w:p>
                <w:pPr>
                  <w:jc w:val="center"/>
                  <w:rPr>
                    <w:sz w:val="22"/>
                    <w:szCs w:val="22"/>
                  </w:rPr>
                </w:pPr>
                <w:r>
                  <w:rPr>
                    <w:sz w:val="22"/>
                    <w:szCs w:val="22"/>
                  </w:rPr>
                  <w:t>Sostinės regionas</w:t>
                </w:r>
              </w:p>
            </w:tc>
            <w:tc>
              <w:tcPr>
                <w:tcW w:w="992" w:type="dxa"/>
                <w:tcMar>
                  <w:left w:w="28" w:type="dxa"/>
                  <w:right w:w="28" w:type="dxa"/>
                </w:tcMar>
              </w:tcPr>
              <w:p>
                <w:pPr>
                  <w:jc w:val="center"/>
                  <w:rPr>
                    <w:sz w:val="22"/>
                    <w:szCs w:val="22"/>
                  </w:rPr>
                </w:pPr>
                <w:r>
                  <w:rPr>
                    <w:sz w:val="22"/>
                    <w:szCs w:val="22"/>
                  </w:rPr>
                  <w:t>01 – Dotacija</w:t>
                </w:r>
              </w:p>
            </w:tc>
            <w:tc>
              <w:tcPr>
                <w:tcW w:w="1276" w:type="dxa"/>
                <w:tcMar>
                  <w:left w:w="28" w:type="dxa"/>
                  <w:right w:w="28" w:type="dxa"/>
                </w:tcMar>
              </w:tcPr>
              <w:p>
                <w:pPr>
                  <w:jc w:val="center"/>
                  <w:rPr>
                    <w:iCs/>
                    <w:sz w:val="22"/>
                    <w:szCs w:val="22"/>
                  </w:rPr>
                </w:pPr>
                <w:r>
                  <w:rPr>
                    <w:iCs/>
                    <w:sz w:val="22"/>
                    <w:szCs w:val="22"/>
                  </w:rPr>
                  <w:t>33 – nesiorient-uojant į teritorinį principą</w:t>
                </w:r>
              </w:p>
            </w:tc>
            <w:tc>
              <w:tcPr>
                <w:tcW w:w="850" w:type="dxa"/>
                <w:tcMar>
                  <w:left w:w="28" w:type="dxa"/>
                  <w:right w:w="28" w:type="dxa"/>
                </w:tcMar>
              </w:tcPr>
              <w:p>
                <w:pPr>
                  <w:jc w:val="center"/>
                  <w:rPr>
                    <w:iCs/>
                    <w:sz w:val="22"/>
                    <w:szCs w:val="22"/>
                  </w:rPr>
                </w:pPr>
                <w:r>
                  <w:rPr>
                    <w:iCs/>
                    <w:sz w:val="22"/>
                    <w:szCs w:val="22"/>
                  </w:rPr>
                  <w:t>26 – kitos nenuro-dytos paslau-gos</w:t>
                </w:r>
              </w:p>
            </w:tc>
            <w:tc>
              <w:tcPr>
                <w:tcW w:w="1134" w:type="dxa"/>
                <w:tcMar>
                  <w:left w:w="28" w:type="dxa"/>
                  <w:right w:w="28" w:type="dxa"/>
                </w:tcMar>
              </w:tcPr>
              <w:p>
                <w:pPr>
                  <w:jc w:val="center"/>
                  <w:rPr>
                    <w:sz w:val="22"/>
                    <w:szCs w:val="22"/>
                  </w:rPr>
                </w:pPr>
                <w:r>
                  <w:rPr>
                    <w:sz w:val="22"/>
                    <w:szCs w:val="22"/>
                  </w:rPr>
                  <w:t>09</w:t>
                </w:r>
              </w:p>
            </w:tc>
            <w:tc>
              <w:tcPr>
                <w:tcW w:w="992" w:type="dxa"/>
                <w:tcMar>
                  <w:left w:w="28" w:type="dxa"/>
                  <w:right w:w="28" w:type="dxa"/>
                </w:tcMar>
              </w:tcPr>
              <w:p>
                <w:pPr>
                  <w:jc w:val="center"/>
                  <w:rPr>
                    <w:iCs/>
                    <w:sz w:val="22"/>
                    <w:szCs w:val="22"/>
                  </w:rPr>
                </w:pPr>
                <w:r>
                  <w:rPr>
                    <w:iCs/>
                    <w:sz w:val="22"/>
                    <w:szCs w:val="22"/>
                  </w:rPr>
                  <w:t>03 – neutralu-mas lyties požiūriu</w:t>
                </w:r>
              </w:p>
            </w:tc>
            <w:tc>
              <w:tcPr>
                <w:tcW w:w="1276" w:type="dxa"/>
              </w:tcPr>
              <w:p>
                <w:pPr>
                  <w:jc w:val="center"/>
                  <w:rPr>
                    <w:iCs/>
                    <w:sz w:val="22"/>
                    <w:szCs w:val="22"/>
                  </w:rPr>
                </w:pPr>
                <w:r>
                  <w:rPr>
                    <w:iCs/>
                    <w:sz w:val="22"/>
                    <w:szCs w:val="22"/>
                  </w:rPr>
                  <w:t>Ne</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 ir pasiekimo data</w:t>
                </w:r>
              </w:p>
            </w:tc>
          </w:tr>
          <w:tr>
            <w:trPr>
              <w:trHeight w:val="725"/>
            </w:trPr>
            <w:tc>
              <w:tcPr>
                <w:tcW w:w="3688" w:type="dxa"/>
                <w:vAlign w:val="center"/>
              </w:tcPr>
              <w:p>
                <w:pPr>
                  <w:ind w:left="-60" w:right="-60"/>
                  <w:textAlignment w:val="baseline"/>
                  <w:rPr>
                    <w:color w:val="000000"/>
                    <w:szCs w:val="24"/>
                    <w:shd w:val="clear" w:color="auto" w:fill="FFFFFF"/>
                    <w:lang w:eastAsia="lt-LT"/>
                  </w:rPr>
                </w:pPr>
                <w:r>
                  <w:rPr>
                    <w:szCs w:val="24"/>
                  </w:rPr>
                  <w:t xml:space="preserve">LINO renginiai / susitikimai apie ES tarptautines programas, iniciatyvas bei galimybes, aktualias Lietuvos mokslo ir inovacijų ekosistemai </w:t>
                </w:r>
              </w:p>
            </w:tc>
            <w:tc>
              <w:tcPr>
                <w:tcW w:w="3688" w:type="dxa"/>
                <w:vAlign w:val="center"/>
              </w:tcPr>
              <w:p>
                <w:pPr>
                  <w:jc w:val="center"/>
                  <w:rPr>
                    <w:szCs w:val="24"/>
                  </w:rPr>
                </w:pPr>
                <w:r>
                  <w:rPr>
                    <w:szCs w:val="24"/>
                  </w:rPr>
                  <w:t>P-12-001-01-02-01-23</w:t>
                </w:r>
              </w:p>
              <w:p>
                <w:pPr>
                  <w:jc w:val="center"/>
                  <w:rPr>
                    <w:sz w:val="22"/>
                    <w:szCs w:val="22"/>
                  </w:rPr>
                </w:pPr>
                <w:r>
                  <w:rPr>
                    <w:szCs w:val="24"/>
                  </w:rPr>
                  <w:t>P.N.2.4567</w:t>
                </w:r>
                <w:r>
                  <w:t xml:space="preserve"> </w:t>
                </w:r>
              </w:p>
            </w:tc>
            <w:tc>
              <w:tcPr>
                <w:tcW w:w="3688" w:type="dxa"/>
                <w:vAlign w:val="center"/>
              </w:tcPr>
              <w:p>
                <w:pPr>
                  <w:jc w:val="center"/>
                  <w:rPr>
                    <w:sz w:val="22"/>
                    <w:szCs w:val="22"/>
                  </w:rPr>
                </w:pPr>
                <w:r>
                  <w:rPr>
                    <w:szCs w:val="24"/>
                  </w:rPr>
                  <w:t xml:space="preserve">Skaičius </w:t>
                </w:r>
              </w:p>
            </w:tc>
            <w:tc>
              <w:tcPr>
                <w:tcW w:w="3688" w:type="dxa"/>
                <w:vAlign w:val="center"/>
              </w:tcPr>
              <w:p>
                <w:pPr>
                  <w:jc w:val="center"/>
                  <w:rPr>
                    <w:iCs/>
                    <w:sz w:val="22"/>
                    <w:szCs w:val="22"/>
                  </w:rPr>
                </w:pPr>
                <w:r>
                  <w:rPr>
                    <w:szCs w:val="24"/>
                  </w:rPr>
                  <w:t>60 (2029)</w:t>
                </w:r>
              </w:p>
            </w:tc>
          </w:tr>
        </w:tbl>
        <w:p>
          <w:pPr>
            <w:rPr>
              <w:szCs w:val="24"/>
            </w:rPr>
          </w:pPr>
        </w:p>
        <w:p>
          <w:pPr>
            <w:ind w:firstLine="567"/>
            <w:jc w:val="both"/>
            <w:rPr>
              <w:i/>
              <w:iCs/>
              <w:szCs w:val="24"/>
            </w:rPr>
          </w:pPr>
        </w:p>
        <w:p>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trPr>
              <w:trHeight w:val="298"/>
            </w:trPr>
            <w:tc>
              <w:tcPr>
                <w:tcW w:w="14737" w:type="dxa"/>
              </w:tcPr>
              <w:p>
                <w:pPr>
                  <w:jc w:val="both"/>
                  <w:rPr>
                    <w:szCs w:val="24"/>
                  </w:rPr>
                </w:pPr>
                <w:r>
                  <w:rPr>
                    <w:szCs w:val="24"/>
                  </w:rPr>
                  <w:t>Ministerijos stebėsenos rodiklių aprašymo kortelės</w:t>
                </w:r>
              </w:p>
            </w:tc>
          </w:tr>
          <w:tr>
            <w:trPr>
              <w:trHeight w:val="315"/>
            </w:trPr>
            <w:tc>
              <w:tcPr>
                <w:tcW w:w="14737" w:type="dxa"/>
              </w:tcPr>
              <w:p>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w:t>
                </w:r>
                <w:r>
                  <w:rPr>
                    <w:color w:val="0563C1"/>
                    <w:szCs w:val="24"/>
                    <w:u w:val="single"/>
                  </w:rPr>
                  <w:t>https://smsm.lrv.lt/MPP_Priemones?lang=lt</w:t>
                </w:r>
                <w:r>
                  <w:rPr>
                    <w:szCs w:val="24"/>
                    <w:u w:val="single"/>
                  </w:rPr>
                  <w:t>.</w:t>
                </w:r>
              </w:p>
            </w:tc>
          </w:tr>
        </w:tbl>
        <w:p>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Teisės aktai, kuriais vadovaujamasi rengiant, teikiant ir vertinant projekto įgyvendinimo planą, priimant sprendimą dėl projekto finansavimo, sudarant projekto sutartį ir įgyvendinant projektą, finansuojamą pagal 2022–2030 metų plėtros programos valdytojos Lietuvos Respublikos švietimo, mokslo ir sporto ministerijos mokslo plėtros programos pažangos priemonės Nr. 12-001-01-02-01 „Stiprinti inovacijų ekosistemas mokslo centruose“ projektų finansavimo sąlygų aprašą Nr. 10 (toliau – Aprašas):</w:t>
                </w:r>
              </w:p>
              <w:p>
                <w:pPr>
                  <w:jc w:val="both"/>
                  <w:rPr>
                    <w:iCs/>
                    <w:szCs w:val="24"/>
                  </w:rPr>
                </w:pPr>
                <w:r>
                  <w:rPr>
                    <w:iCs/>
                    <w:szCs w:val="24"/>
                  </w:rPr>
                  <w:t>Bendrieji teisės aktai:</w:t>
                </w:r>
              </w:p>
              <w:p>
                <w:pPr>
                  <w:jc w:val="both"/>
                  <w:rPr>
                    <w:iCs/>
                    <w:szCs w:val="24"/>
                  </w:rPr>
                </w:pPr>
                <w:r>
                  <w:rPr>
                    <w:iCs/>
                    <w:szCs w:val="24"/>
                  </w:rPr>
                  <w:t>1.1. Aštuonioliktosios Lietuvos Respublikos Vyriausybės programa, kuriai pritarta Lietuvos Respublikos Seimo 2020 m. gruodžio 11 d. nutarimu Nr. XIV-72 „Dėl Aštuonioliktosios Lietuvos Respublikos Vyriausybės programos“;</w:t>
                </w:r>
              </w:p>
              <w:p>
                <w:pPr>
                  <w:jc w:val="both"/>
                  <w:rPr>
                    <w:iCs/>
                    <w:szCs w:val="24"/>
                  </w:rPr>
                </w:pPr>
                <w:r>
                  <w:rPr>
                    <w:iCs/>
                    <w:szCs w:val="24"/>
                  </w:rPr>
                  <w:t xml:space="preserve">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pPr>
                  <w:jc w:val="both"/>
                  <w:rPr>
                    <w:iCs/>
                    <w:szCs w:val="24"/>
                  </w:rPr>
                </w:pPr>
                <w:r>
                  <w:rPr>
                    <w:iCs/>
                    <w:szCs w:val="24"/>
                  </w:rPr>
                  <w:t>1.3. 2022–2030 m. plėtros programos valdytojos Lietuvos Respublikos švietimo, mokslo ir sporto ministerijos mokslo plėtros programos pažangos priemonės Nr. 12-001-01-02-01 „Stiprinti inovacijų ekosistemas mokslo centruose“ aprašas, patvirtintas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aprašo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jc w:val="both"/>
                  <w:rPr>
                    <w:iCs/>
                    <w:szCs w:val="24"/>
                  </w:rPr>
                </w:pPr>
                <w:r>
                  <w:rPr>
                    <w:iCs/>
                    <w:szCs w:val="24"/>
                  </w:rPr>
                  <w:t>1.6.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jc w:val="both"/>
                  <w:rPr>
                    <w:iCs/>
                    <w:szCs w:val="24"/>
                  </w:rPr>
                </w:pPr>
              </w:p>
              <w:p>
                <w:pPr>
                  <w:jc w:val="both"/>
                  <w:rPr>
                    <w:iCs/>
                    <w:szCs w:val="24"/>
                  </w:rPr>
                </w:pPr>
                <w:r>
                  <w:rPr>
                    <w:iCs/>
                    <w:szCs w:val="24"/>
                  </w:rPr>
                  <w:t>Specialieji teisės aktai:</w:t>
                </w:r>
              </w:p>
              <w:p>
                <w:pPr>
                  <w:jc w:val="both"/>
                  <w:rPr>
                    <w:iCs/>
                    <w:szCs w:val="24"/>
                  </w:rPr>
                </w:pPr>
                <w:r>
                  <w:rPr>
                    <w:iCs/>
                    <w:szCs w:val="24"/>
                  </w:rPr>
                  <w:t>1.7. Lietuvos Respublikos mokslo ir studijų įstatymas;</w:t>
                </w:r>
              </w:p>
              <w:p>
                <w:pPr>
                  <w:jc w:val="both"/>
                  <w:rPr>
                    <w:iCs/>
                    <w:szCs w:val="24"/>
                  </w:rPr>
                </w:pPr>
                <w:r>
                  <w:rPr>
                    <w:iCs/>
                    <w:szCs w:val="24"/>
                  </w:rPr>
                  <w:t>1.8. Lietuvos mokslo tarybos nuostatai, patvirtinti Lietuvos Respublikos Vyriausybės 2022 m. balandžio 20 d. nutarimu Nr. 375 „Dėl Lietuvos mokslo tarybos nuostatų patvirtinimo“.</w:t>
                </w:r>
              </w:p>
              <w:p>
                <w:pPr>
                  <w:jc w:val="both"/>
                  <w:rPr>
                    <w:iCs/>
                    <w:szCs w:val="24"/>
                  </w:rPr>
                </w:pPr>
              </w:p>
              <w:p>
                <w:pPr>
                  <w:jc w:val="both"/>
                  <w:rPr>
                    <w:iCs/>
                    <w:szCs w:val="24"/>
                  </w:rPr>
                </w:pPr>
                <w:r>
                  <w:rPr>
                    <w:iCs/>
                    <w:szCs w:val="24"/>
                  </w:rPr>
                  <w:t>Apraše vartojamos sąvokos suprantamos taip, kaip jos apibrėžtos PAFT, Lietuvos Respublikos mokslo ir studijų įstatyme ir anksčiau paminėtuose teisės aktuose.</w:t>
                </w:r>
              </w:p>
              <w:p>
                <w:pPr>
                  <w:jc w:val="both"/>
                  <w:rPr>
                    <w:iCs/>
                    <w:szCs w:val="24"/>
                  </w:rPr>
                </w:pPr>
              </w:p>
              <w:p>
                <w:pPr>
                  <w:jc w:val="both"/>
                  <w:rPr>
                    <w:i/>
                    <w:iCs/>
                    <w:szCs w:val="24"/>
                  </w:rPr>
                </w:pPr>
              </w:p>
            </w:tc>
          </w:tr>
          <w:tr>
            <w:tc>
              <w:tcPr>
                <w:tcW w:w="14709" w:type="dxa"/>
              </w:tcPr>
              <w:p>
                <w:pPr>
                  <w:rPr>
                    <w:b/>
                    <w:szCs w:val="24"/>
                  </w:rPr>
                </w:pPr>
                <w:r>
                  <w:rPr>
                    <w:b/>
                    <w:szCs w:val="24"/>
                  </w:rPr>
                  <w:t>2. Reikalavimai projektams, pareiškėjams ir partneriams</w:t>
                </w:r>
              </w:p>
            </w:tc>
          </w:tr>
          <w:tr>
            <w:tc>
              <w:tcPr>
                <w:tcW w:w="14709" w:type="dxa"/>
              </w:tcPr>
              <w:p>
                <w:pPr>
                  <w:jc w:val="both"/>
                  <w:rPr>
                    <w:szCs w:val="24"/>
                  </w:rPr>
                </w:pPr>
                <w:r>
                  <w:rPr>
                    <w:szCs w:val="24"/>
                  </w:rPr>
                  <w:t>2.1. Projektų atrankos būdas – planavimo.</w:t>
                </w:r>
              </w:p>
              <w:p>
                <w:pPr>
                  <w:jc w:val="both"/>
                  <w:rPr>
                    <w:szCs w:val="24"/>
                  </w:rPr>
                </w:pPr>
                <w:r>
                  <w:rPr>
                    <w:szCs w:val="24"/>
                  </w:rPr>
                  <w:t>2.2. Galimas pareiškėjas – Lietuvos mokslo taryba (toliau – Pareiškėjas, projekto vykdytojas).</w:t>
                </w:r>
              </w:p>
              <w:p>
                <w:pPr>
                  <w:jc w:val="both"/>
                  <w:rPr>
                    <w:szCs w:val="24"/>
                  </w:rPr>
                </w:pPr>
                <w:r>
                  <w:rPr>
                    <w:szCs w:val="24"/>
                  </w:rPr>
                  <w:t>2.3. Galimybė Pareiškėjui teikti paraišką su partneriu nenumatoma.</w:t>
                </w:r>
              </w:p>
              <w:p>
                <w:pPr>
                  <w:jc w:val="both"/>
                  <w:rPr>
                    <w:szCs w:val="24"/>
                  </w:rPr>
                </w:pPr>
                <w:r>
                  <w:rPr>
                    <w:szCs w:val="24"/>
                  </w:rPr>
                  <w:t>2.4. Pagal Aprašą remiama veikla –LINO veiklos stiprinimas: Lietuvos mokslo ir inovacijų potencialo bei interesų pristatymas Briuselyje (susitikimai / renginiai); tinklaveika (dalyvavimas Europos Sąjungos mokslo, technologijų ir inovacijų tinklų veikloje (IGLO tinklas) ir pan.); Europos Sąjungos mokslo, technologijų ir inovacijų politikos aktualijų sklaida (komunikacija, viešinimas ir kt.); konsultavimas Europos Sąjungos mokslo, technologijų ir inovacijų politikos, Lietuvos potencialo pristatymo ir tinklaveikos klausimais.</w:t>
                </w:r>
              </w:p>
              <w:p>
                <w:pPr>
                  <w:jc w:val="both"/>
                  <w:rPr>
                    <w:szCs w:val="24"/>
                  </w:rPr>
                </w:pPr>
                <w:r>
                  <w:rPr>
                    <w:szCs w:val="24"/>
                  </w:rPr>
                  <w:t>2.5. Pagal Aprašą projektui įgyvendinti skiriama iki 4 200 000 Eur (keturių milijonų dviejų šimtų tūkstančių), iš kurių iki 2 100 000 Eur (dviejų milijonų šimto tūkstančių eurų) Europos Sąjungos fondų lėšų ir iki 2 100 000 Eur (dviejų milijonų šimto tūkstančių eurų) Europos Sąjungos fondų bendrojo finansavimo lėšų.</w:t>
                </w:r>
              </w:p>
              <w:p>
                <w:pPr>
                  <w:jc w:val="both"/>
                  <w:rPr>
                    <w:szCs w:val="24"/>
                  </w:rPr>
                </w:pPr>
                <w:r>
                  <w:rPr>
                    <w:szCs w:val="24"/>
                  </w:rPr>
                  <w:t xml:space="preserve">2.6. Projektas turi atitikti projekto bendruosius atrankos kriterijus, nustatytus PAFT 2 priede. </w:t>
                </w:r>
              </w:p>
              <w:p>
                <w:pPr>
                  <w:jc w:val="both"/>
                  <w:rPr>
                    <w:szCs w:val="24"/>
                  </w:rPr>
                </w:pPr>
                <w:r>
                  <w:rPr>
                    <w:szCs w:val="24"/>
                  </w:rPr>
                  <w:t>2.7. Projekto veiklos turi būti įgyvendintos per 60 mėnesių nuo projekto sutarties įsigaliojimo. Prireikus veiklos gali būti pratęstos pagrįstam laikotarpiui, bet ne vėliau kaip iki 2029 m. rugpjūčio 31 d.</w:t>
                </w:r>
              </w:p>
              <w:p>
                <w:pPr>
                  <w:jc w:val="both"/>
                  <w:rPr>
                    <w:szCs w:val="24"/>
                  </w:rPr>
                </w:pPr>
                <w:r>
                  <w:rPr>
                    <w:szCs w:val="24"/>
                  </w:rPr>
                  <w:t xml:space="preserve">2.8. Projektas gali būti įgyvendinamas Sostinės regione. Projekto veiklos gali būti įgyvendinamos Lietuvos Respublikoje ir Europos Sąjungos, Europos ekonominės erdvės šalių ir Jungtinės Didžiosios Britanijos ir Šiaurės Airijos karalystės teritorijoje. </w:t>
                </w:r>
              </w:p>
              <w:p>
                <w:pPr>
                  <w:jc w:val="both"/>
                  <w:rPr>
                    <w:iCs/>
                    <w:szCs w:val="24"/>
                  </w:rPr>
                </w:pPr>
                <w:r>
                  <w:rPr>
                    <w:iCs/>
                    <w:szCs w:val="24"/>
                  </w:rPr>
                  <w:t>2.9. Projekte suplanuotos veiklos turi atitikti Sumaniosios specializacijos koncepcijos nuostatas. Siekiant įvertinti atitiktį Sumaniosios specializacijos koncepcijai, Pareiškėjas turi užpildyti Informacijos, reikalingos projekto atitikčiai sumaniosios specializacijos koncepcijai įvertinti, formą (Aprašo 2 priedas).</w:t>
                </w:r>
              </w:p>
              <w:p>
                <w:pPr>
                  <w:jc w:val="both"/>
                  <w:rPr>
                    <w:szCs w:val="24"/>
                  </w:rPr>
                </w:pPr>
                <w:r>
                  <w:rPr>
                    <w:szCs w:val="24"/>
                  </w:rPr>
                  <w:t xml:space="preserve">2.10. Pareiškėjas, prieš teikdamas projekto įgyvendinimo planą (toliau – PĮP) Administruojančiajai institucijai, turi jį suderinti su Ministerija. </w:t>
                </w:r>
              </w:p>
              <w:p>
                <w:pPr>
                  <w:jc w:val="both"/>
                  <w:rPr>
                    <w:szCs w:val="24"/>
                  </w:rPr>
                </w:pPr>
                <w:r>
                  <w:rPr>
                    <w:szCs w:val="24"/>
                  </w:rPr>
                  <w:t>2.11. Projekto vykdytojas privalo įgyvendinti privalomas matomumo ir informavimo apie projektą veiksmų priemones, nustatytas PAFT.</w:t>
                </w:r>
              </w:p>
              <w:p>
                <w:pPr>
                  <w:jc w:val="both"/>
                  <w:rPr>
                    <w:szCs w:val="24"/>
                  </w:rPr>
                </w:pPr>
                <w:r>
                  <w:rPr>
                    <w:szCs w:val="24"/>
                  </w:rPr>
                  <w:t xml:space="preserve">2.12. Kartu su PĮP turi būti pateikta: </w:t>
                </w:r>
              </w:p>
              <w:p>
                <w:pPr>
                  <w:jc w:val="both"/>
                  <w:rPr>
                    <w:szCs w:val="24"/>
                  </w:rPr>
                </w:pPr>
                <w:r>
                  <w:rPr>
                    <w:szCs w:val="24"/>
                  </w:rPr>
                  <w:t>2.12.1. Projekto atitiktį bendriesiems projektų atrankos kriterijams, nurodytiems PAFT 2 priede, patvirtinantys dokumentai.</w:t>
                </w:r>
              </w:p>
              <w:p>
                <w:pPr>
                  <w:jc w:val="both"/>
                  <w:rPr>
                    <w:szCs w:val="24"/>
                  </w:rPr>
                </w:pPr>
                <w:r>
                  <w:rPr>
                    <w:szCs w:val="24"/>
                  </w:rPr>
                  <w:t>2.12.2. Išlaidas pagrindžiantys dokumentai.</w:t>
                </w:r>
              </w:p>
              <w:p>
                <w:pPr>
                  <w:jc w:val="both"/>
                  <w:rPr>
                    <w:szCs w:val="24"/>
                  </w:rPr>
                </w:pPr>
              </w:p>
            </w:tc>
          </w:tr>
          <w:tr>
            <w:tc>
              <w:tcPr>
                <w:tcW w:w="14709" w:type="dxa"/>
              </w:tcPr>
              <w:p>
                <w:pPr>
                  <w:jc w:val="both"/>
                  <w:rPr>
                    <w:iCs/>
                    <w:szCs w:val="24"/>
                  </w:rPr>
                </w:pPr>
                <w:r>
                  <w:rPr>
                    <w:b/>
                    <w:szCs w:val="24"/>
                  </w:rPr>
                  <w:t>3. Reikalavimai jungtinio projekto projektams</w:t>
                </w:r>
              </w:p>
            </w:tc>
          </w:tr>
          <w:tr>
            <w:trPr>
              <w:trHeight w:val="276"/>
            </w:trPr>
            <w:tc>
              <w:tcPr>
                <w:tcW w:w="14709" w:type="dxa"/>
              </w:tcPr>
              <w:p>
                <w:pPr>
                  <w:jc w:val="both"/>
                  <w:rPr>
                    <w:i/>
                    <w:iCs/>
                    <w:szCs w:val="24"/>
                  </w:rPr>
                </w:pPr>
                <w:r>
                  <w:rPr>
                    <w:szCs w:val="24"/>
                  </w:rPr>
                  <w:t>Netaikoma.</w:t>
                </w:r>
              </w:p>
            </w:tc>
          </w:tr>
          <w:tr>
            <w:trPr>
              <w:trHeight w:val="276"/>
            </w:trPr>
            <w:tc>
              <w:tcPr>
                <w:tcW w:w="14709" w:type="dxa"/>
              </w:tcPr>
              <w:p>
                <w:pPr>
                  <w:jc w:val="both"/>
                  <w:rPr>
                    <w:b/>
                    <w:szCs w:val="24"/>
                  </w:rPr>
                </w:pPr>
                <w:r>
                  <w:rPr>
                    <w:b/>
                    <w:szCs w:val="24"/>
                  </w:rPr>
                  <w:t>4. Projekto tikslinės grupės</w:t>
                </w:r>
              </w:p>
            </w:tc>
          </w:tr>
          <w:tr>
            <w:trPr>
              <w:trHeight w:val="276"/>
            </w:trPr>
            <w:tc>
              <w:tcPr>
                <w:tcW w:w="14709" w:type="dxa"/>
              </w:tcPr>
              <w:p>
                <w:pPr>
                  <w:jc w:val="both"/>
                  <w:rPr>
                    <w:szCs w:val="24"/>
                  </w:rPr>
                </w:pPr>
                <w:r>
                  <w:rPr>
                    <w:szCs w:val="24"/>
                  </w:rPr>
                  <w:t>Projekto tikslinė grupė – Lietuvos mokslo tarybos personalas, mokslo ir studijų institucijos (toliau – MSI), mokslininkai ir kiti tyrėjai, viešieji ir privatūs juridiniai asmenys, kiti mokslo, technologijų ir inovacijų srities dalyviai.</w:t>
                </w:r>
              </w:p>
              <w:p>
                <w:pPr>
                  <w:jc w:val="both"/>
                  <w:rPr>
                    <w:i/>
                    <w:szCs w:val="24"/>
                    <w:highlight w:val="yellow"/>
                  </w:rPr>
                </w:pPr>
              </w:p>
            </w:tc>
          </w:tr>
          <w:tr>
            <w:trPr>
              <w:trHeight w:val="285"/>
            </w:trPr>
            <w:tc>
              <w:tcPr>
                <w:tcW w:w="14709" w:type="dxa"/>
              </w:tcPr>
              <w:p>
                <w:pPr>
                  <w:rPr>
                    <w:sz w:val="22"/>
                    <w:szCs w:val="22"/>
                  </w:rPr>
                </w:pPr>
                <w:r>
                  <w:rPr>
                    <w:b/>
                    <w:szCs w:val="24"/>
                  </w:rPr>
                  <w:t>5. Horizontaliųjų principų reikalavimai</w:t>
                </w:r>
              </w:p>
            </w:tc>
          </w:tr>
          <w:tr>
            <w:tc>
              <w:tcPr>
                <w:tcW w:w="14709" w:type="dxa"/>
              </w:tcPr>
              <w:p>
                <w:pPr>
                  <w:jc w:val="both"/>
                  <w:rPr>
                    <w:iCs/>
                    <w:szCs w:val="24"/>
                  </w:rPr>
                </w:pPr>
                <w:r>
                  <w:rPr>
                    <w:iCs/>
                    <w:szCs w:val="24"/>
                  </w:rPr>
                  <w:t>Projektas turi atitikti 3 (tris) horizontaliuosius principus: </w:t>
                </w:r>
              </w:p>
              <w:p>
                <w:pPr>
                  <w:jc w:val="both"/>
                  <w:rPr>
                    <w:iCs/>
                    <w:szCs w:val="24"/>
                  </w:rPr>
                </w:pPr>
                <w:r>
                  <w:rPr>
                    <w:b/>
                    <w:bCs/>
                    <w:iCs/>
                    <w:szCs w:val="24"/>
                  </w:rPr>
                  <w:t>Darnaus vystymosi</w:t>
                </w:r>
                <w:r>
                  <w:rPr>
                    <w:iCs/>
                    <w:szCs w:val="24"/>
                  </w:rPr>
                  <w:t xml:space="preserve"> horizontalusis principas suprantamas kaip ekonominio, socialinio ir aplinkos sričių vystymosi balansas. Projektas turi prisidėti prie darnaus vystymosi tikslų – nelygybės mažinimo, klimato kaitos švelninimo, partnerystės stiprinimo. Siekiant didinti viešojo sektoriaus indėlį skatinant darnų vystymąsi, įgyvendinant projektines veiklas bus siekiama, kad dalis pirkimų būtų atliekami kaip žalieji viešieji pirkimai. </w:t>
                </w:r>
              </w:p>
              <w:p>
                <w:pPr>
                  <w:jc w:val="both"/>
                  <w:rPr>
                    <w:iCs/>
                    <w:szCs w:val="24"/>
                  </w:rPr>
                </w:pPr>
                <w:r>
                  <w:rPr>
                    <w:b/>
                    <w:bCs/>
                    <w:iCs/>
                    <w:szCs w:val="24"/>
                  </w:rPr>
                  <w:t>Inovatyvumo</w:t>
                </w:r>
                <w:r>
                  <w:rPr>
                    <w:iCs/>
                    <w:szCs w:val="24"/>
                  </w:rPr>
                  <w:t xml:space="preserve"> horizontalusis principas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mokslinių tyrimų ir eksperimentinės plėtros (toliau – MTEP) ir inovacijų veikloms vykdyti skiriamų viešojo sektoriaus investicijų dalies nuoseklaus didėjimo. </w:t>
                </w:r>
              </w:p>
              <w:p>
                <w:pPr>
                  <w:jc w:val="both"/>
                  <w:rPr>
                    <w:iCs/>
                    <w:szCs w:val="24"/>
                  </w:rPr>
                </w:pPr>
                <w:r>
                  <w:rPr>
                    <w:b/>
                    <w:bCs/>
                    <w:iCs/>
                    <w:szCs w:val="24"/>
                  </w:rPr>
                  <w:t>Lygių galimybių</w:t>
                </w:r>
                <w:r>
                  <w:rPr>
                    <w:iCs/>
                    <w:szCs w:val="24"/>
                  </w:rPr>
                  <w:t xml:space="preserve">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pPr>
                  <w:jc w:val="both"/>
                  <w:rPr>
                    <w:iCs/>
                    <w:szCs w:val="24"/>
                  </w:rPr>
                </w:pPr>
              </w:p>
            </w:tc>
          </w:tr>
          <w:tr>
            <w:tc>
              <w:tcPr>
                <w:tcW w:w="14709" w:type="dxa"/>
              </w:tcPr>
              <w:p>
                <w:pPr>
                  <w:spacing w:line="259" w:lineRule="auto"/>
                  <w:jc w:val="both"/>
                  <w:rPr>
                    <w:b/>
                    <w:iCs/>
                    <w:szCs w:val="24"/>
                  </w:rPr>
                </w:pPr>
                <w:r>
                  <w:rPr>
                    <w:b/>
                    <w:iCs/>
                    <w:szCs w:val="24"/>
                  </w:rPr>
                  <w:t>6. Europos Sąjungos pagrindinių teisių chartijos reikalavimai</w:t>
                </w:r>
              </w:p>
            </w:tc>
          </w:tr>
          <w:tr>
            <w:tc>
              <w:tcPr>
                <w:tcW w:w="14709" w:type="dxa"/>
              </w:tcPr>
              <w:p>
                <w:pPr>
                  <w:jc w:val="both"/>
                  <w:rPr>
                    <w:szCs w:val="24"/>
                  </w:rPr>
                </w:pPr>
                <w:r>
                  <w:rPr>
                    <w:szCs w:val="24"/>
                  </w:rPr>
                  <w:t>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pPr>
                  <w:jc w:val="both"/>
                  <w:rPr>
                    <w:i/>
                    <w:iCs/>
                    <w:szCs w:val="24"/>
                  </w:rPr>
                </w:pPr>
              </w:p>
            </w:tc>
          </w:tr>
          <w:tr>
            <w:tc>
              <w:tcPr>
                <w:tcW w:w="14709" w:type="dxa"/>
              </w:tcPr>
              <w:p>
                <w:pPr>
                  <w:rPr>
                    <w:b/>
                    <w:szCs w:val="24"/>
                  </w:rPr>
                </w:pPr>
                <w:r>
                  <w:rPr>
                    <w:b/>
                    <w:szCs w:val="24"/>
                  </w:rPr>
                  <w:t>7. Apskritis, kurioje gali būti įgyvendinami projektai</w:t>
                </w:r>
              </w:p>
            </w:tc>
          </w:tr>
          <w:tr>
            <w:tc>
              <w:tcPr>
                <w:tcW w:w="14709" w:type="dxa"/>
              </w:tcPr>
              <w:p>
                <w:pPr>
                  <w:jc w:val="both"/>
                  <w:rPr>
                    <w:i/>
                    <w:szCs w:val="24"/>
                  </w:rPr>
                </w:pPr>
                <w:r>
                  <w:rPr>
                    <w:szCs w:val="24"/>
                  </w:rPr>
                  <w:t>Netaikoma.</w:t>
                </w:r>
              </w:p>
            </w:tc>
          </w:tr>
          <w:tr>
            <w:tc>
              <w:tcPr>
                <w:tcW w:w="14709" w:type="dxa"/>
              </w:tcPr>
              <w:p>
                <w:pPr>
                  <w:jc w:val="both"/>
                  <w:rPr>
                    <w:b/>
                    <w:szCs w:val="24"/>
                  </w:rPr>
                </w:pPr>
                <w:r>
                  <w:rPr>
                    <w:b/>
                    <w:szCs w:val="24"/>
                  </w:rPr>
                  <w:t>8. Reikalavimai valstybės pagalbai (kurie nėra nurodyti kituose Aprašo punktuose)</w:t>
                </w:r>
              </w:p>
            </w:tc>
          </w:tr>
          <w:tr>
            <w:tc>
              <w:tcPr>
                <w:tcW w:w="14709" w:type="dxa"/>
              </w:tcPr>
              <w:p>
                <w:pPr>
                  <w:jc w:val="both"/>
                  <w:rPr>
                    <w:iCs/>
                    <w:szCs w:val="24"/>
                  </w:rPr>
                </w:pPr>
                <w:r>
                  <w:rPr>
                    <w:iCs/>
                    <w:szCs w:val="24"/>
                  </w:rPr>
                  <w:t>8.1.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szCs w:val="24"/>
                  </w:rPr>
                </w:pPr>
                <w:r>
                  <w:rPr>
                    <w:iCs/>
                    <w:szCs w:val="24"/>
                  </w:rPr>
                  <w:t>8.2. Pagal Aprašą valstybės pagalba, kuri atitinka 2014 m. birželio 17 d. Komisijos reglamento (ES) Nr. 651/2014, kuriuo tam tikrų kategorijų pagalba skelbiama suderinama su vidaus rinka taikant Sutarties 107 ir 108 straipsnius, neteikiama.</w:t>
                </w:r>
              </w:p>
              <w:p>
                <w:pPr>
                  <w:jc w:val="both"/>
                  <w:rPr>
                    <w:iCs/>
                    <w:szCs w:val="24"/>
                  </w:rPr>
                </w:pPr>
              </w:p>
            </w:tc>
          </w:tr>
          <w:tr>
            <w:tc>
              <w:tcPr>
                <w:tcW w:w="14709" w:type="dxa"/>
              </w:tcPr>
              <w:p>
                <w:pPr>
                  <w:ind w:left="426" w:hanging="426"/>
                  <w:jc w:val="both"/>
                  <w:rPr>
                    <w:i/>
                    <w:szCs w:val="24"/>
                  </w:rPr>
                </w:pPr>
                <w:r>
                  <w:rPr>
                    <w:b/>
                    <w:szCs w:val="24"/>
                  </w:rPr>
                  <w:t>9. Projektų atrankos kriterijai</w:t>
                </w:r>
              </w:p>
            </w:tc>
          </w:tr>
          <w:tr>
            <w:trPr>
              <w:trHeight w:val="271"/>
            </w:trPr>
            <w:tc>
              <w:tcPr>
                <w:tcW w:w="14709" w:type="dxa"/>
              </w:tcPr>
              <w:p>
                <w:pPr>
                  <w:jc w:val="both"/>
                  <w:textAlignment w:val="baseline"/>
                  <w:rPr>
                    <w:rFonts w:ascii="Segoe UI" w:hAnsi="Segoe UI" w:cs="Segoe UI"/>
                    <w:sz w:val="18"/>
                    <w:szCs w:val="18"/>
                    <w:lang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trPr>
              <w:trHeight w:val="309"/>
            </w:trPr>
            <w:tc>
              <w:tcPr>
                <w:tcW w:w="14709" w:type="dxa"/>
              </w:tcPr>
              <w:p>
                <w:pPr>
                  <w:jc w:val="both"/>
                  <w:rPr>
                    <w:i/>
                    <w:sz w:val="22"/>
                    <w:szCs w:val="22"/>
                  </w:rPr>
                </w:pPr>
                <w:r>
                  <w:rPr>
                    <w:b/>
                    <w:szCs w:val="22"/>
                  </w:rPr>
                  <w:t>10. Jungtinio projekto projektų atrankos kriterijai (</w:t>
                </w:r>
                <w:r>
                  <w:rPr>
                    <w:b/>
                    <w:i/>
                    <w:szCs w:val="22"/>
                  </w:rPr>
                  <w:t>pildoma tik jungtiniam projektui)</w:t>
                </w:r>
              </w:p>
            </w:tc>
          </w:tr>
          <w:tr>
            <w:trPr>
              <w:trHeight w:val="223"/>
            </w:trPr>
            <w:tc>
              <w:tcPr>
                <w:tcW w:w="14709" w:type="dxa"/>
              </w:tcPr>
              <w:p>
                <w:pPr>
                  <w:jc w:val="both"/>
                  <w:rPr>
                    <w:szCs w:val="24"/>
                  </w:rPr>
                </w:pPr>
                <w:r>
                  <w:rPr>
                    <w:szCs w:val="24"/>
                  </w:rPr>
                  <w:t>Netaikoma.</w:t>
                </w:r>
              </w:p>
            </w:tc>
          </w:tr>
          <w:tr>
            <w:tc>
              <w:tcPr>
                <w:tcW w:w="14709" w:type="dxa"/>
              </w:tcPr>
              <w:p>
                <w:pPr>
                  <w:rPr>
                    <w:b/>
                    <w:szCs w:val="24"/>
                  </w:rPr>
                </w:pPr>
                <w:r>
                  <w:rPr>
                    <w:b/>
                    <w:szCs w:val="24"/>
                  </w:rPr>
                  <w:t xml:space="preserve">11. Reikalavimai įgyvendinus projektų veiklas </w:t>
                </w:r>
              </w:p>
            </w:tc>
          </w:tr>
          <w:tr>
            <w:tc>
              <w:tcPr>
                <w:tcW w:w="14709" w:type="dxa"/>
              </w:tcPr>
              <w:p>
                <w:pPr>
                  <w:rPr>
                    <w:color w:val="FF0000"/>
                    <w:szCs w:val="24"/>
                  </w:rPr>
                </w:pPr>
                <w:r>
                  <w:rPr>
                    <w:szCs w:val="24"/>
                  </w:rPr>
                  <w:t>Papildomi reikalavimai įgyvendinus projekto veiklas, kurie nenumatyti PAFT, nėra taikomi.</w:t>
                </w:r>
              </w:p>
            </w:tc>
          </w:tr>
          <w:tr>
            <w:tc>
              <w:tcPr>
                <w:tcW w:w="14709" w:type="dxa"/>
              </w:tcPr>
              <w:p>
                <w:pPr>
                  <w:rPr>
                    <w:szCs w:val="24"/>
                  </w:rPr>
                </w:pPr>
                <w:r>
                  <w:rPr>
                    <w:b/>
                    <w:szCs w:val="24"/>
                  </w:rPr>
                  <w:t>12. Kiti reikalavimai</w:t>
                </w:r>
              </w:p>
            </w:tc>
          </w:tr>
          <w:tr>
            <w:tc>
              <w:tcPr>
                <w:tcW w:w="14709" w:type="dxa"/>
              </w:tcPr>
              <w:p>
                <w:pPr>
                  <w:tabs>
                    <w:tab w:val="left" w:pos="1134"/>
                  </w:tabs>
                  <w:jc w:val="both"/>
                  <w:rPr>
                    <w:i/>
                    <w:szCs w:val="24"/>
                  </w:rPr>
                </w:pPr>
                <w:r>
                  <w:rPr>
                    <w:szCs w:val="24"/>
                  </w:rPr>
                  <w:t>Netaikoma.</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13. Išlaidų tinkamumo finansuoti reikalavimai</w:t>
                </w:r>
              </w:p>
            </w:tc>
          </w:tr>
          <w:tr>
            <w:tc>
              <w:tcPr>
                <w:tcW w:w="14709" w:type="dxa"/>
              </w:tcPr>
              <w:p>
                <w:pPr>
                  <w:tabs>
                    <w:tab w:val="left" w:pos="459"/>
                  </w:tabs>
                  <w:jc w:val="both"/>
                  <w:rPr>
                    <w:color w:val="000000"/>
                    <w:szCs w:val="24"/>
                  </w:rPr>
                </w:pPr>
                <w:r>
                  <w:rPr>
                    <w:color w:val="000000"/>
                    <w:szCs w:val="24"/>
                  </w:rPr>
                  <w:t>9.1. Tinkamos finansuoti išlaidos, būtinos projekto veikloms įgyvendinti. Išlaidos turi atitikti PAFT VII skyriuje išdėstytus projektų išlaidoms taikomus reikalavimus.</w:t>
                </w:r>
              </w:p>
              <w:p>
                <w:pPr>
                  <w:tabs>
                    <w:tab w:val="left" w:pos="459"/>
                  </w:tabs>
                  <w:jc w:val="both"/>
                  <w:rPr>
                    <w:color w:val="000000"/>
                    <w:szCs w:val="24"/>
                  </w:rPr>
                </w:pPr>
                <w:r>
                  <w:rPr>
                    <w:color w:val="000000"/>
                    <w:szCs w:val="24"/>
                  </w:rPr>
                  <w:t>9.2. PĮP parengimo išlaidos nėra finansuojamos.</w:t>
                </w:r>
              </w:p>
              <w:p>
                <w:pPr>
                  <w:tabs>
                    <w:tab w:val="left" w:pos="459"/>
                  </w:tabs>
                  <w:jc w:val="both"/>
                  <w:rPr>
                    <w:color w:val="000000"/>
                    <w:szCs w:val="24"/>
                  </w:rPr>
                </w:pPr>
                <w:r>
                  <w:rPr>
                    <w:color w:val="000000"/>
                    <w:szCs w:val="24"/>
                  </w:rPr>
                  <w:t>9.3. Europos Sąjungos fondų lėšomis netinkamas finansuoti PVM gali būti apmokėtas valstybės biudžeto lėšomis.</w:t>
                </w:r>
              </w:p>
              <w:p>
                <w:pPr>
                  <w:tabs>
                    <w:tab w:val="left" w:pos="459"/>
                  </w:tabs>
                  <w:jc w:val="both"/>
                  <w:rPr>
                    <w:color w:val="000000"/>
                    <w:szCs w:val="24"/>
                  </w:rPr>
                </w:pPr>
                <w:r>
                  <w:rPr>
                    <w:color w:val="000000"/>
                    <w:szCs w:val="24"/>
                  </w:rPr>
                  <w:t xml:space="preserve">9.4. Finansavimo intensyvumas gali sudaryti iki 100 proc. tinkamų finansuoti išlaidų. </w:t>
                </w:r>
              </w:p>
              <w:p>
                <w:pPr>
                  <w:tabs>
                    <w:tab w:val="left" w:pos="459"/>
                  </w:tabs>
                  <w:jc w:val="both"/>
                  <w:rPr>
                    <w:color w:val="000000"/>
                    <w:szCs w:val="24"/>
                  </w:rPr>
                </w:pPr>
                <w:r>
                  <w:rPr>
                    <w:color w:val="000000"/>
                    <w:szCs w:val="24"/>
                  </w:rPr>
                  <w:t>9.5. Projekto vykdytojas savo iniciatyva ir savo ir (arba) kitų šaltinių lėšomis gali prisidėti prie projekto įgyvendinimo.</w:t>
                </w:r>
              </w:p>
              <w:p>
                <w:pPr>
                  <w:tabs>
                    <w:tab w:val="left" w:pos="459"/>
                  </w:tabs>
                  <w:jc w:val="both"/>
                  <w:rPr>
                    <w:color w:val="000000"/>
                    <w:szCs w:val="24"/>
                  </w:rPr>
                </w:pPr>
                <w:r>
                  <w:rPr>
                    <w:color w:val="000000"/>
                    <w:szCs w:val="24"/>
                  </w:rPr>
                  <w:t xml:space="preserve">9.6. Projekto tinkamų finansuoti išlaidų dalis, kurios nepadengia projektui skiriamo finansavimo lėšos, turi būti finansuojama iš projekto vykdytojo lėšų. </w:t>
                </w:r>
              </w:p>
              <w:p>
                <w:pPr>
                  <w:tabs>
                    <w:tab w:val="left" w:pos="459"/>
                  </w:tabs>
                  <w:jc w:val="both"/>
                  <w:rPr>
                    <w:color w:val="000000"/>
                    <w:szCs w:val="24"/>
                  </w:rPr>
                </w:pPr>
                <w:r>
                  <w:rPr>
                    <w:color w:val="000000"/>
                    <w:szCs w:val="24"/>
                  </w:rPr>
                  <w:t>9.7. Projekto vykdytojui gali būti mokamas avansas, vadovaujantis PAFT numatytomis avanso mokėjimo sąlygomis.</w:t>
                </w:r>
              </w:p>
              <w:p>
                <w:pPr>
                  <w:tabs>
                    <w:tab w:val="left" w:pos="459"/>
                  </w:tabs>
                  <w:jc w:val="both"/>
                  <w:rPr>
                    <w:color w:val="000000"/>
                    <w:szCs w:val="24"/>
                  </w:rPr>
                </w:pPr>
                <w:r>
                  <w:rPr>
                    <w:color w:val="000000"/>
                    <w:szCs w:val="24"/>
                  </w:rPr>
                  <w:t>9.8. Kryžminis finansavimas netaikomas.</w:t>
                </w:r>
              </w:p>
              <w:p>
                <w:pPr>
                  <w:tabs>
                    <w:tab w:val="left" w:pos="459"/>
                  </w:tabs>
                  <w:jc w:val="both"/>
                  <w:rPr>
                    <w:color w:val="000000"/>
                    <w:szCs w:val="24"/>
                  </w:rPr>
                </w:pPr>
                <w:r>
                  <w:rPr>
                    <w:color w:val="000000"/>
                    <w:szCs w:val="24"/>
                  </w:rPr>
                  <w:t>9.9. Pagal Aprašą tinkamos finansuoti išlaidos yra privalomos projekto matomumo ir informavimo apie projektą priemonės, netiesioginės projekto išlaidos apmokamos taikant fiksuotąją normą (7 proc. nuo tinkamų finansuoti projekto tiesioginių išlaidų).</w:t>
                </w:r>
              </w:p>
              <w:p>
                <w:pPr>
                  <w:tabs>
                    <w:tab w:val="left" w:pos="459"/>
                  </w:tabs>
                  <w:jc w:val="both"/>
                  <w:rPr>
                    <w:color w:val="000000"/>
                    <w:szCs w:val="24"/>
                  </w:rPr>
                </w:pPr>
                <w:r>
                  <w:rPr>
                    <w:color w:val="000000"/>
                    <w:szCs w:val="24"/>
                  </w:rPr>
                  <w:t xml:space="preserve">9.10.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jos būtų pripažintos tinkamomis finansuoti ir (arba) apmokėtos daugiau nei vieną kartą. </w:t>
                </w:r>
              </w:p>
              <w:p>
                <w:pPr>
                  <w:tabs>
                    <w:tab w:val="left" w:pos="459"/>
                  </w:tabs>
                  <w:jc w:val="both"/>
                  <w:rPr>
                    <w:color w:val="000000"/>
                    <w:szCs w:val="24"/>
                  </w:rPr>
                </w:pPr>
              </w:p>
              <w:p>
                <w:pPr>
                  <w:tabs>
                    <w:tab w:val="left" w:pos="459"/>
                  </w:tabs>
                  <w:jc w:val="both"/>
                  <w:rPr>
                    <w:color w:val="000000"/>
                    <w:szCs w:val="24"/>
                  </w:rPr>
                </w:pPr>
              </w:p>
              <w:p>
                <w:pPr>
                  <w:jc w:val="both"/>
                  <w:rPr>
                    <w:b/>
                    <w:sz w:val="22"/>
                    <w:szCs w:val="22"/>
                  </w:rPr>
                </w:pPr>
              </w:p>
            </w:tc>
          </w:tr>
          <w:tr>
            <w:trPr>
              <w:trHeight w:val="349"/>
            </w:trPr>
            <w:tc>
              <w:tcPr>
                <w:tcW w:w="14709" w:type="dxa"/>
              </w:tcPr>
              <w:p>
                <w:pPr>
                  <w:jc w:val="both"/>
                  <w:rPr>
                    <w:szCs w:val="24"/>
                  </w:rPr>
                </w:pPr>
                <w:r>
                  <w:rPr>
                    <w:b/>
                    <w:szCs w:val="24"/>
                  </w:rPr>
                  <w:t>14.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szCs w:val="24"/>
                        </w:rPr>
                        <w:t>Netiesioginės išlaidos sudaro iki 7 proc. tinkamų finansuoti tiesioginių projekto išlaidų.</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100 km iki 499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500 km iki 1 999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2 000 km iki 2 999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FĮ-32-05</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3 000 km iki 3 999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FĮ-32-06</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4 000 km iki 7 999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FĮ-32-07</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8 000 km ir daugiau</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1-oje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2-oje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3-oje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4-oje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FĮ-34-05</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5-oje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FĮ-34-06</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6-oje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FĮ-34-07</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7-oje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FĮ-34-08</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8-oje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FĮ-34-09</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9-oje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Darbuotojo komandiruotė į užsienio valstybę (-es)</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FĮ-34-10</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10-oje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FĮ-22-01</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FĮ-22-02</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jc w:val="both"/>
                        <w:rPr>
                          <w:szCs w:val="24"/>
                        </w:rPr>
                      </w:pPr>
                      <w:r>
                        <w:rPr>
                          <w:szCs w:val="24"/>
                        </w:rPr>
                        <w:t>Privalomos projektų matomumo ir informavimo apie projektus priemonės</w:t>
                      </w:r>
                    </w:p>
                    <w:p>
                      <w:pPr>
                        <w:rPr>
                          <w:sz w:val="8"/>
                          <w:szCs w:val="8"/>
                        </w:rPr>
                      </w:pP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jc w:val="both"/>
                        <w:rPr>
                          <w:szCs w:val="24"/>
                        </w:rPr>
                      </w:pPr>
                      <w:r>
                        <w:rPr>
                          <w:szCs w:val="24"/>
                        </w:rPr>
                        <w:t>Privalomos projektų matomumo ir informavimo apie projektus priemonės</w:t>
                      </w:r>
                    </w:p>
                    <w:p>
                      <w:pPr>
                        <w:rPr>
                          <w:sz w:val="8"/>
                          <w:szCs w:val="8"/>
                        </w:rPr>
                      </w:pP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darbo dienų (toliau – d. d.) (jeigu dirbama 5 d. d. per savaitę) arba 24 d. d. (jeigu dirbama 6 d. d. per savaitę) kasmetinės atostogos</w:t>
                      </w: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bl>
              <w:p>
                <w:pPr>
                  <w:jc w:val="both"/>
                  <w:rPr>
                    <w:szCs w:val="24"/>
                  </w:rPr>
                </w:pPr>
              </w:p>
              <w:p>
                <w:pPr>
                  <w:jc w:val="both"/>
                  <w:rPr>
                    <w:i/>
                    <w:iCs/>
                    <w:szCs w:val="24"/>
                  </w:rPr>
                </w:pPr>
              </w:p>
              <w:p>
                <w:pPr>
                  <w:jc w:val="both"/>
                  <w:rPr>
                    <w:i/>
                    <w:iCs/>
                    <w:sz w:val="22"/>
                    <w:szCs w:val="22"/>
                  </w:rPr>
                </w:pPr>
              </w:p>
            </w:tc>
          </w:tr>
        </w:tbl>
        <w:p>
          <w:pPr>
            <w:spacing w:line="276" w:lineRule="auto"/>
            <w:jc w:val="center"/>
            <w:rPr>
              <w:rFonts w:eastAsia="Calibri"/>
              <w:sz w:val="22"/>
              <w:szCs w:val="22"/>
            </w:rPr>
          </w:pPr>
        </w:p>
        <w:p>
          <w:pPr>
            <w:rPr>
              <w:sz w:val="18"/>
              <w:szCs w:val="18"/>
            </w:rPr>
          </w:pPr>
        </w:p>
        <w:sdt>
          <w:sdtPr>
            <w:alias w:val="pabaiga"/>
            <w:tag w:val="part_231b5ea1907042d492fb14a641346d6a"/>
            <w:lock w:val="sdtLocked"/>
            <w:richText/>
          </w:sdtPr>
          <w:sdtContent>
            <w:p>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cols w:space="1296"/>
                  <w:titlePg/>
                  <w:docGrid w:linePitch="360"/>
                </w:sectPr>
              </w:pPr>
              <w:r>
                <w:rPr>
                  <w:rFonts w:eastAsia="Calibri"/>
                  <w:szCs w:val="24"/>
                </w:rPr>
                <w:t>________________</w:t>
              </w:r>
            </w:p>
            <w:p>
              <w:pPr>
                <w:tabs>
                  <w:tab w:val="center" w:pos="4986"/>
                  <w:tab w:val="right" w:pos="9972"/>
                </w:tabs>
              </w:pPr>
            </w:p>
            <w:p>
              <w:pPr>
                <w:tabs>
                  <w:tab w:val="center" w:pos="4986"/>
                  <w:tab w:val="right" w:pos="9972"/>
                </w:tabs>
              </w:pPr>
            </w:p>
          </w:sdtContent>
        </w:sdt>
      </w:sdtContent>
    </w:sdt>
    <w:sdt>
      <w:sdtPr>
        <w:alias w:val="1 pr."/>
        <w:tag w:val="part_ff29a1025bff40e89818b2b8ea0c5ce4"/>
        <w:lock w:val="sdtLocked"/>
        <w:richText/>
      </w:sdtPr>
      <w:sdtContent>
        <w:p>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10206"/>
            <w:jc w:val="both"/>
            <w:rPr>
              <w:szCs w:val="24"/>
            </w:rPr>
          </w:pPr>
          <w:sdt>
            <w:sdtPr>
              <w:alias w:val="Numeris"/>
              <w:tag w:val="nr_ff29a1025bff40e89818b2b8ea0c5ce4"/>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rPr>
          </w:pPr>
          <w:sdt>
            <w:sdtPr>
              <w:alias w:val="Pavadinimas"/>
              <w:tag w:val="title_ff29a1025bff40e89818b2b8ea0c5ce4"/>
              <w:lock w:val="sdtLocked"/>
              <w:richText/>
            </w:sdtPr>
            <w:sdtContent>
              <w:r>
                <w:rPr>
                  <w:rFonts w:eastAsia="Calibri"/>
                  <w:b/>
                  <w:bCs/>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spacing w:line="259" w:lineRule="auto"/>
                  <w:jc w:val="both"/>
                  <w:rPr>
                    <w:rFonts w:eastAsia="Calibri"/>
                    <w:bCs/>
                    <w:i/>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ji atitinka klimato kaitos švelninimo tikslą. </w:t>
                </w:r>
              </w:p>
              <w:p>
                <w:pPr>
                  <w:jc w:val="both"/>
                  <w:rPr>
                    <w:sz w:val="14"/>
                    <w:szCs w:val="14"/>
                  </w:rPr>
                </w:pPr>
              </w:p>
              <w:p>
                <w:pPr>
                  <w:jc w:val="both"/>
                  <w:rPr>
                    <w:rFonts w:eastAsia="Calibri"/>
                    <w:bCs/>
                    <w:i/>
                    <w:sz w:val="20"/>
                  </w:rPr>
                </w:pPr>
              </w:p>
            </w:tc>
            <w:tc>
              <w:tcPr>
                <w:tcW w:w="5331" w:type="dxa"/>
              </w:tcPr>
              <w:p>
                <w:pPr>
                  <w:tabs>
                    <w:tab w:val="left" w:pos="589"/>
                  </w:tabs>
                  <w:jc w:val="both"/>
                  <w:rPr>
                    <w:rFonts w:eastAsia="Calibri"/>
                    <w:szCs w:val="22"/>
                  </w:rPr>
                </w:pPr>
                <w:r>
                  <w:rPr>
                    <w:rFonts w:eastAsia="Calibri"/>
                    <w:sz w:val="22"/>
                    <w:szCs w:val="22"/>
                  </w:rPr>
                  <w:t>Projekto vykdytojo deklaracija.</w:t>
                </w:r>
              </w:p>
              <w:p>
                <w:pPr>
                  <w:tabs>
                    <w:tab w:val="left" w:pos="589"/>
                  </w:tabs>
                  <w:jc w:val="both"/>
                  <w:rPr>
                    <w:rFonts w:eastAsia="Calibri"/>
                    <w:i/>
                    <w:sz w:val="20"/>
                  </w:rPr>
                </w:pP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į infrastruktūros atnaujinimą. </w:t>
                </w:r>
              </w:p>
            </w:tc>
            <w:tc>
              <w:tcPr>
                <w:tcW w:w="5331" w:type="dxa"/>
              </w:tcPr>
              <w:p>
                <w:pPr>
                  <w:jc w:val="both"/>
                  <w:rPr>
                    <w:rFonts w:eastAsia="Calibri"/>
                    <w:b/>
                    <w:szCs w:val="24"/>
                  </w:rPr>
                </w:pPr>
                <w:r>
                  <w:rPr>
                    <w:rFonts w:eastAsia="Calibri"/>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pPr>
                  <w:jc w:val="both"/>
                  <w:rPr>
                    <w:rFonts w:eastAsia="Calibri"/>
                    <w:bCs/>
                    <w:szCs w:val="24"/>
                  </w:rPr>
                </w:pPr>
                <w:r>
                  <w:rPr>
                    <w:rFonts w:eastAsia="Calibri"/>
                    <w:bCs/>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spacing w:line="259" w:lineRule="auto"/>
                  <w:jc w:val="both"/>
                  <w:rPr>
                    <w:rFonts w:eastAsia="Calibri"/>
                    <w:bCs/>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p>
                <w:pPr>
                  <w:jc w:val="both"/>
                  <w:rPr>
                    <w:sz w:val="14"/>
                    <w:szCs w:val="14"/>
                  </w:rPr>
                </w:pPr>
              </w:p>
              <w:p>
                <w:pPr>
                  <w:jc w:val="both"/>
                  <w:rPr>
                    <w:rFonts w:eastAsia="Calibri"/>
                    <w:bCs/>
                    <w:szCs w:val="24"/>
                  </w:rPr>
                </w:pPr>
              </w:p>
            </w:tc>
            <w:tc>
              <w:tcPr>
                <w:tcW w:w="5331" w:type="dxa"/>
              </w:tcPr>
              <w:p>
                <w:pPr>
                  <w:jc w:val="both"/>
                  <w:rPr>
                    <w:rFonts w:eastAsia="Calibri"/>
                    <w:szCs w:val="24"/>
                  </w:rPr>
                </w:pPr>
                <w:r>
                  <w:rPr>
                    <w:rFonts w:eastAsia="Calibri"/>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pPr>
                  <w:jc w:val="both"/>
                  <w:rPr>
                    <w:sz w:val="14"/>
                    <w:szCs w:val="14"/>
                  </w:rPr>
                </w:pPr>
              </w:p>
              <w:p>
                <w:pPr>
                  <w:jc w:val="both"/>
                  <w:rPr>
                    <w:sz w:val="14"/>
                    <w:szCs w:val="14"/>
                  </w:rPr>
                </w:pPr>
              </w:p>
              <w:p>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pPr>
                  <w:jc w:val="both"/>
                  <w:rPr>
                    <w:sz w:val="14"/>
                    <w:szCs w:val="14"/>
                  </w:rPr>
                </w:pPr>
              </w:p>
              <w:p>
                <w:pPr>
                  <w:jc w:val="both"/>
                  <w:rPr>
                    <w:rFonts w:eastAsia="Calibri"/>
                    <w:b/>
                    <w:szCs w:val="24"/>
                  </w:rPr>
                </w:pPr>
              </w:p>
            </w:tc>
            <w:tc>
              <w:tcPr>
                <w:tcW w:w="5331" w:type="dxa"/>
              </w:tcPr>
              <w:p>
                <w:pPr>
                  <w:jc w:val="both"/>
                  <w:rPr>
                    <w:rFonts w:eastAsia="Calibri"/>
                    <w:szCs w:val="24"/>
                  </w:rPr>
                </w:pPr>
                <w:r>
                  <w:rPr>
                    <w:rFonts w:eastAsia="Calibri"/>
                    <w:sz w:val="22"/>
                    <w:szCs w:val="22"/>
                  </w:rPr>
                  <w:t>Projekto vykdytojo deklaracija.</w:t>
                </w: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pPr>
                  <w:jc w:val="both"/>
                  <w:rPr>
                    <w:sz w:val="14"/>
                    <w:szCs w:val="14"/>
                  </w:rPr>
                </w:pPr>
              </w:p>
              <w:p>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pPr>
                  <w:jc w:val="both"/>
                  <w:rPr>
                    <w:rFonts w:eastAsia="Calibri"/>
                    <w:szCs w:val="24"/>
                  </w:rPr>
                </w:pPr>
                <w:r>
                  <w:rPr>
                    <w:rFonts w:eastAsia="Calibri"/>
                    <w:sz w:val="22"/>
                    <w:szCs w:val="22"/>
                  </w:rPr>
                  <w:t>Projekto vykdytojo deklaracija.</w:t>
                </w:r>
              </w:p>
            </w:tc>
          </w:tr>
        </w:tbl>
        <w:p>
          <w:pPr>
            <w:spacing w:line="276" w:lineRule="auto"/>
            <w:jc w:val="both"/>
            <w:rPr>
              <w:rFonts w:eastAsia="Calibri"/>
              <w:bCs/>
              <w:szCs w:val="24"/>
            </w:rPr>
          </w:pPr>
        </w:p>
        <w:p>
          <w:pPr>
            <w:spacing w:line="276" w:lineRule="auto"/>
            <w:jc w:val="center"/>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p>
          <w:pPr>
            <w:tabs>
              <w:tab w:val="center" w:pos="4986"/>
              <w:tab w:val="right" w:pos="9972"/>
            </w:tabs>
          </w:pPr>
        </w:p>
        <w:p>
          <w:pPr>
            <w:tabs>
              <w:tab w:val="center" w:pos="4986"/>
              <w:tab w:val="right" w:pos="9972"/>
            </w:tabs>
          </w:pPr>
        </w:p>
      </w:sdtContent>
    </w:sdt>
    <w:sdt>
      <w:sdtPr>
        <w:alias w:val="2 pr."/>
        <w:tag w:val="part_5bdc242d1c984b1daa838992e9c62470"/>
        <w:lock w:val="sdtLocked"/>
        <w:richText/>
      </w:sdtPr>
      <w:sdtContent>
        <w:p>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10206"/>
            <w:jc w:val="both"/>
            <w:rPr>
              <w:szCs w:val="24"/>
            </w:rPr>
          </w:pPr>
          <w:sdt>
            <w:sdtPr>
              <w:alias w:val="Numeris"/>
              <w:tag w:val="nr_5bdc242d1c984b1daa838992e9c62470"/>
              <w:lock w:val="sdtLocked"/>
              <w:richText/>
            </w:sdtPr>
            <w:sdtContent>
              <w:r>
                <w:rPr>
                  <w:szCs w:val="24"/>
                </w:rPr>
                <w:t>2</w:t>
              </w:r>
            </w:sdtContent>
          </w:sdt>
          <w:r>
            <w:rPr>
              <w:szCs w:val="24"/>
            </w:rPr>
            <w:t xml:space="preserve"> priedas</w:t>
          </w:r>
        </w:p>
        <w:p>
          <w:pPr>
            <w:ind w:right="567"/>
            <w:jc w:val="both"/>
            <w:rPr>
              <w:b/>
              <w:szCs w:val="24"/>
              <w:lang w:eastAsia="lt-LT"/>
            </w:rPr>
          </w:pPr>
        </w:p>
        <w:p>
          <w:pPr>
            <w:ind w:right="567"/>
            <w:jc w:val="both"/>
            <w:rPr>
              <w:b/>
              <w:szCs w:val="24"/>
              <w:lang w:eastAsia="lt-LT"/>
            </w:rPr>
          </w:pPr>
          <w:sdt>
            <w:sdtPr>
              <w:alias w:val="Pavadinimas"/>
              <w:tag w:val="title_5bdc242d1c984b1daa838992e9c62470"/>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sdt>
          <w:sdtPr>
            <w:alias w:val="2 pr. 1 p."/>
            <w:tag w:val="part_5dba85abf57349a6a15dbe5448209a42"/>
            <w:lock w:val="sdtLocked"/>
            <w:richText/>
          </w:sdtPr>
          <w:sdtContent>
            <w:p>
              <w:pPr>
                <w:ind w:right="567"/>
                <w:jc w:val="both"/>
                <w:rPr>
                  <w:b/>
                  <w:szCs w:val="24"/>
                  <w:lang w:eastAsia="lt-LT"/>
                </w:rPr>
              </w:pPr>
              <w:sdt>
                <w:sdtPr>
                  <w:alias w:val="Numeris"/>
                  <w:tag w:val="nr_5dba85abf57349a6a15dbe5448209a42"/>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1.1.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2.1.1.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2.1.4.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2.2.1.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2.2.2.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2.3.1.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2.3.4.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2.3.6. Išmaniosios transporto sistemos</w:t>
                    </w:r>
                  </w:p>
                </w:tc>
                <w:tc>
                  <w:tcPr>
                    <w:tcW w:w="4961" w:type="dxa"/>
                  </w:tcPr>
                  <w:p>
                    <w:pPr>
                      <w:jc w:val="both"/>
                      <w:rPr>
                        <w:sz w:val="36"/>
                        <w:szCs w:val="36"/>
                      </w:rPr>
                    </w:pPr>
                    <w:r>
                      <w:rPr>
                        <w:sz w:val="36"/>
                        <w:szCs w:val="36"/>
                      </w:rPr>
                      <w:t>□</w:t>
                    </w:r>
                  </w:p>
                </w:tc>
              </w:tr>
            </w:tbl>
            <w:p>
              <w:pPr>
                <w:spacing w:line="276" w:lineRule="auto"/>
                <w:rPr>
                  <w:szCs w:val="24"/>
                </w:rPr>
              </w:pPr>
            </w:p>
          </w:sdtContent>
        </w:sdt>
        <w:sdt>
          <w:sdtPr>
            <w:alias w:val="2 pr. 2 p."/>
            <w:tag w:val="part_ffdfc7b6766d445b8673fd3df24273b5"/>
            <w:lock w:val="sdtLocked"/>
            <w:richText/>
          </w:sdtPr>
          <w:sdtContent>
            <w:p>
              <w:pPr>
                <w:spacing w:line="276" w:lineRule="auto"/>
                <w:rPr>
                  <w:b/>
                  <w:szCs w:val="24"/>
                </w:rPr>
              </w:pPr>
              <w:sdt>
                <w:sdtPr>
                  <w:alias w:val="Numeris"/>
                  <w:tag w:val="nr_ffdfc7b6766d445b8673fd3df24273b5"/>
                  <w:lock w:val="sdtLocked"/>
                  <w:richText/>
                </w:sdt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c>
                  <w:tcPr>
                    <w:tcW w:w="15127" w:type="dxa"/>
                  </w:tcPr>
                  <w:p>
                    <w:pPr>
                      <w:spacing w:line="276" w:lineRule="auto"/>
                      <w:rPr>
                        <w:szCs w:val="24"/>
                      </w:rPr>
                    </w:pPr>
                  </w:p>
                </w:tc>
              </w:tr>
            </w:tbl>
            <w:p>
              <w:pPr>
                <w:spacing w:line="276" w:lineRule="auto"/>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___________________________________</w:t>
              </w:r>
            </w:p>
            <w:p>
              <w:pPr>
                <w:tabs>
                  <w:tab w:val="center" w:pos="4986"/>
                  <w:tab w:val="right" w:pos="9972"/>
                </w:tabs>
              </w:pPr>
            </w:p>
            <w:p>
              <w:pPr>
                <w:tabs>
                  <w:tab w:val="center" w:pos="4986"/>
                  <w:tab w:val="right" w:pos="9972"/>
                </w:tabs>
              </w:pPr>
            </w:p>
          </w:sdtContent>
        </w:sdt>
      </w:sdtContent>
    </w:sdt>
    <w:sdt>
      <w:sdtPr>
        <w:alias w:val="3 pr."/>
        <w:tag w:val="part_efa26574a54d4019a46e88e52881c728"/>
        <w:lock w:val="sdtLocked"/>
        <w:richText/>
      </w:sdtPr>
      <w:sdtContent>
        <w:p>
          <w:pPr>
            <w:ind w:left="8789"/>
            <w:jc w:val="both"/>
            <w:rPr>
              <w:rFonts w:eastAsia="Calibri"/>
              <w:szCs w:val="24"/>
            </w:rPr>
          </w:pPr>
          <w:r>
            <w:rPr>
              <w:rFonts w:eastAsia="Calibri"/>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8080" w:firstLine="709"/>
            <w:jc w:val="both"/>
            <w:rPr>
              <w:rFonts w:eastAsia="Calibri"/>
              <w:szCs w:val="24"/>
            </w:rPr>
          </w:pPr>
          <w:sdt>
            <w:sdtPr>
              <w:alias w:val="Numeris"/>
              <w:tag w:val="nr_efa26574a54d4019a46e88e52881c728"/>
              <w:lock w:val="sdtLocked"/>
              <w:richText/>
            </w:sdtPr>
            <w:sdtContent>
              <w:r>
                <w:rPr>
                  <w:rFonts w:eastAsia="Calibri"/>
                  <w:szCs w:val="24"/>
                </w:rPr>
                <w:t>3</w:t>
              </w:r>
            </w:sdtContent>
          </w:sdt>
          <w:r>
            <w:rPr>
              <w:rFonts w:eastAsia="Calibri"/>
              <w:szCs w:val="24"/>
            </w:rPr>
            <w:t xml:space="preserve"> priedas</w:t>
          </w:r>
        </w:p>
        <w:p>
          <w:pPr>
            <w:spacing w:line="276" w:lineRule="auto"/>
            <w:jc w:val="center"/>
            <w:rPr>
              <w:rFonts w:eastAsia="Calibri"/>
              <w:b/>
              <w:szCs w:val="24"/>
            </w:rPr>
          </w:pPr>
        </w:p>
        <w:p>
          <w:pPr>
            <w:spacing w:line="276" w:lineRule="auto"/>
            <w:jc w:val="center"/>
            <w:rPr>
              <w:rFonts w:eastAsia="Calibri"/>
              <w:b/>
              <w:szCs w:val="24"/>
            </w:rPr>
          </w:pPr>
          <w:sdt>
            <w:sdtPr>
              <w:alias w:val="Pavadinimas"/>
              <w:tag w:val="title_efa26574a54d4019a46e88e52881c728"/>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424"/>
            <w:gridCol w:w="1763"/>
            <w:gridCol w:w="1746"/>
            <w:gridCol w:w="3124"/>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szCs w:val="24"/>
            </w:rPr>
          </w:pPr>
          <w:r>
            <w:rPr>
              <w:rFonts w:eastAsia="Calibri"/>
              <w:szCs w:val="24"/>
            </w:rPr>
            <w:t xml:space="preserve">(vertintojo pareigos, vardas, pavardė) </w:t>
            <w:tab/>
            <w:t>(parašas)</w:t>
          </w:r>
        </w:p>
      </w:sdtContent>
    </w:sdt>
    <w:sectPr>
      <w:headerReference w:type="default" r:id="rId19"/>
      <w:footerReference w:type="default" r:id="rId20"/>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464353454">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9" Type="http://schemas.openxmlformats.org/officeDocument/2006/relationships/header" Target="header4.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0" Abbr="10 pr." Title="2022–2030 M. PLĖTROS PROGRAMOS VALDYTOJOS LIETUVOS RESPUBLIKOS ŠVIETIMO, MOKSLO IR SPORTO MINISTERIJOS MOKSLO PLĖTROS PROGRAMOS PAŽANGOS PRIEMONĖS NR. 12-001-01-02-01 „STIPRINTI INOVACIJŲ EKOSISTEMAS MOKSLO CENTRUOSE“ PROJEKTŲ FINANSAVIMO SĄLYGŲ APRAŠAS NR. 10" DocPartId="dc1bbd2b212d475286a7b56a3abba20a" PartId="3b947cc197ee4235af466a01e539bb95">
    <Part Type="pabaiga" DocPartId="ba1664b78e29485f980d610fd33d88a5" PartId="231b5ea1907042d492fb14a641346d6a"/>
  </Part>
  <Part Type="priedas" Nr="1" Abbr="1 pr." Title="PROJEKTO (ĮSKAITANT JUNGTINĮ PROJEKTĄ) ATITIKTIES REIKŠMINGOS ŽALOS NEDARYMO HORIZONTALIAJAM PRINCIPUI VERTINIMO REIKALAVIMŲ APRAŠAS" DocPartId="e668985cdc14458b89d99859870076e8" PartId="ff29a1025bff40e89818b2b8ea0c5ce4"/>
  <Part Type="priedas" Nr="2" Abbr="2 pr." Title="INFORMACIJOS, REIKALINGOS PROJEKTO ATITIKČIAI SUMANIOSIOS SPECIALIZACIJOS KONCEPCIJAI ĮVERTINTI, FORMA" DocPartId="8d94b62dcdff4b58bf3ac2bcf626b34a" PartId="5bdc242d1c984b1daa838992e9c62470">
    <Part Type="punktas" Nr="1" Abbr="2 pr. 1 p." DocPartId="0361654c82ea4cacbab866caafd7e42b" PartId="5dba85abf57349a6a15dbe5448209a42"/>
    <Part Type="punktas" Nr="2" Abbr="2 pr. 2 p." DocPartId="fd38a85e566d4fecbf28e9fb8a6112a9" PartId="ffdfc7b6766d445b8673fd3df24273b5"/>
  </Part>
  <Part Type="priedas" Nr="3" Abbr="3 pr." Title="PATIKROS LAPAS DĖL VALSTYBĖS PAGALBOS IR DE MINIMIS PAGALBOS BUVIMO AR NEBUVIMO" DocPartId="2b9e50e645ea4af4b387ece916064295" PartId="efa26574a54d4019a46e88e52881c728"/>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5B89FCED-501F-4BB3-9788-61BF5C5590C5}">
  <ds:schemaRefs>
    <ds:schemaRef ds:uri="http://schemas.openxmlformats.org/officeDocument/2006/bibliography"/>
  </ds:schemaRefs>
</ds:datastoreItem>
</file>

<file path=customXml/itemProps5.xml><?xml version="1.0" encoding="utf-8"?>
<ds:datastoreItem xmlns:ds="http://schemas.openxmlformats.org/officeDocument/2006/customXml" ds:itemID="{334FFAB6-3424-4A0F-B340-F49C50AFCE6C}">
  <ds:schemaRefs>
    <ds:schemaRef ds:uri="http://schemas.openxmlformats.org/officeDocument/2006/bibliography"/>
  </ds:schemaRefs>
</ds:datastoreItem>
</file>

<file path=customXml/itemProps6.xml><?xml version="1.0" encoding="utf-8"?>
<ds:datastoreItem xmlns:ds="http://schemas.openxmlformats.org/officeDocument/2006/customXml" ds:itemID="{7ABCBBA9-40E8-45CC-B0E8-FCE8C64552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4984</Words>
  <Characters>34345</Characters>
  <Application>Microsoft Office Word</Application>
  <DocSecurity>4</DocSecurity>
  <Lines>1272</Lines>
  <Paragraphs>491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38838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2023-08-31T10:53:00Z</dcterms:created>
  <dc:creator>Virginija Levinskienė</dc:creator>
  <lastModifiedBy>adlibuser</lastModifiedBy>
  <lastPrinted>2023-06-20T10:45:00Z</lastPrinted>
  <dcterms:modified xsi:type="dcterms:W3CDTF">2023-08-31T10:53:00Z</dcterms:modified>
  <revision>2</revision>
  <dc:title>PFSA_projektas_spin-off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