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1 pr."/>
        <w:tag w:val="part_cea3810b419f4ddebfd82c881765569c"/>
        <w:lock w:val="sdtLocked"/>
        <w:richText/>
      </w:sdtPr>
      <w:sdtContent>
        <w:p>
          <w:pPr>
            <w:tabs>
              <w:tab w:val="center" w:pos="4986"/>
              <w:tab w:val="right" w:pos="9972"/>
            </w:tabs>
          </w:pPr>
        </w:p>
        <w:p>
          <w:pPr>
            <w:tabs>
              <w:tab w:val="center" w:pos="4986"/>
              <w:tab w:val="right" w:pos="9972"/>
            </w:tabs>
            <w:rPr>
              <w:sz w:val="22"/>
              <w:szCs w:val="22"/>
            </w:rPr>
          </w:pPr>
        </w:p>
        <w:p>
          <w:pPr>
            <w:ind w:left="10206"/>
            <w:jc w:val="both"/>
            <w:rPr>
              <w:szCs w:val="24"/>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2  </w:t>
          </w:r>
        </w:p>
        <w:p>
          <w:pPr>
            <w:ind w:left="10206"/>
            <w:rPr>
              <w:szCs w:val="24"/>
            </w:rPr>
          </w:pPr>
          <w:sdt>
            <w:sdtPr>
              <w:alias w:val="Numeris"/>
              <w:tag w:val="nr_cea3810b419f4ddebfd82c881765569c"/>
              <w:lock w:val="sdtLocked"/>
              <w:richText/>
            </w:sdtPr>
            <w:sdtContent>
              <w:r>
                <w:rPr>
                  <w:szCs w:val="24"/>
                </w:rPr>
                <w:t>2.1</w:t>
              </w:r>
            </w:sdtContent>
          </w:sdt>
          <w:r>
            <w:rPr>
              <w:szCs w:val="24"/>
            </w:rPr>
            <w:t xml:space="preserve"> priedas</w:t>
          </w:r>
        </w:p>
        <w:p>
          <w:pPr>
            <w:jc w:val="center"/>
            <w:rPr>
              <w:szCs w:val="24"/>
            </w:rPr>
          </w:pPr>
        </w:p>
        <w:p>
          <w:pPr>
            <w:jc w:val="center"/>
            <w:rPr>
              <w:rFonts w:eastAsia="Calibri"/>
              <w:b/>
              <w:bCs/>
              <w:szCs w:val="24"/>
            </w:rPr>
          </w:pPr>
        </w:p>
        <w:p>
          <w:pPr>
            <w:jc w:val="center"/>
            <w:rPr>
              <w:rFonts w:eastAsia="Calibri"/>
              <w:b/>
              <w:bCs/>
              <w:szCs w:val="24"/>
            </w:rPr>
          </w:pPr>
          <w:sdt>
            <w:sdtPr>
              <w:alias w:val="Pavadinimas"/>
              <w:tag w:val="title_cea3810b419f4ddebfd82c881765569c"/>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pPr>
            <w:spacing w:line="276" w:lineRule="auto"/>
            <w:jc w:val="both"/>
            <w:rPr>
              <w:rFonts w:eastAsia="Calibri"/>
              <w:bCs/>
              <w:szCs w:val="24"/>
            </w:rPr>
          </w:pPr>
          <w:r>
            <w:t xml:space="preserve">X </w:t>
          </w:r>
          <w:r>
            <w:rPr>
              <w:rFonts w:eastAsia="Calibri"/>
              <w:bCs/>
              <w:szCs w:val="24"/>
            </w:rPr>
            <w:t>Ekonomikos gaivinimo ir atsparumo didinimo priemonė (toliau – EGADP)</w:t>
          </w:r>
        </w:p>
        <w:p>
          <w:pPr>
            <w:spacing w:line="276" w:lineRule="auto"/>
            <w:jc w:val="both"/>
            <w:rPr>
              <w:rFonts w:eastAsia="Calibri"/>
              <w:bCs/>
              <w:szCs w:val="24"/>
            </w:rPr>
          </w:pPr>
          <w:r>
            <w:sym w:font="Wingdings 2" w:char="00A3"/>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tc>
              <w:tcPr>
                <w:tcW w:w="4885"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color w:val="0563C1"/>
                    <w:szCs w:val="24"/>
                    <w:u w:val="single"/>
                  </w:rPr>
                  <w:t>(ES) Nr. 2020/852</w:t>
                </w:r>
                <w:r>
                  <w:rPr>
                    <w:rFonts w:eastAsia="Calibri"/>
                    <w:i/>
                    <w:szCs w:val="24"/>
                  </w:rPr>
                  <w:t xml:space="preserve"> dėl sistemos tvariam investavimui palengvinti sukūrimo, kuriuo iš dalies keičiamas Reglamentas </w:t>
                </w:r>
                <w:r>
                  <w:rPr>
                    <w:rFonts w:eastAsia="Calibri"/>
                    <w:i/>
                    <w:color w:val="0563C1"/>
                    <w:szCs w:val="24"/>
                    <w:u w:val="single"/>
                  </w:rPr>
                  <w:t>(ES) Nr. 2019/2088</w:t>
                </w:r>
                <w:r>
                  <w:rPr>
                    <w:rFonts w:eastAsia="Calibri"/>
                    <w:i/>
                    <w:szCs w:val="24"/>
                  </w:rPr>
                  <w:t>)</w:t>
                </w:r>
              </w:p>
            </w:tc>
            <w:tc>
              <w:tcPr>
                <w:tcW w:w="4633" w:type="dxa"/>
              </w:tcPr>
              <w:p>
                <w:pPr>
                  <w:jc w:val="center"/>
                  <w:rPr>
                    <w:rFonts w:eastAsia="Calibri"/>
                    <w:b/>
                    <w:szCs w:val="24"/>
                  </w:rPr>
                </w:pPr>
                <w:r>
                  <w:rPr>
                    <w:rFonts w:eastAsia="Calibri"/>
                    <w:b/>
                    <w:szCs w:val="24"/>
                  </w:rPr>
                  <w:t>Pagrindimas</w:t>
                </w:r>
              </w:p>
              <w:p>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31" w:type="dxa"/>
              </w:tcPr>
              <w:p>
                <w:pPr>
                  <w:jc w:val="center"/>
                  <w:rPr>
                    <w:rFonts w:eastAsia="Calibri"/>
                    <w:i/>
                    <w:sz w:val="20"/>
                  </w:rPr>
                </w:pPr>
                <w:r>
                  <w:rPr>
                    <w:rFonts w:eastAsia="Calibri"/>
                    <w:b/>
                    <w:szCs w:val="24"/>
                  </w:rPr>
                  <w:t>Pagrindimo dokumentai</w:t>
                </w:r>
              </w:p>
              <w:p>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tc>
              <w:tcPr>
                <w:tcW w:w="4885" w:type="dxa"/>
              </w:tcPr>
              <w:p>
                <w:pPr>
                  <w:tabs>
                    <w:tab w:val="left" w:pos="289"/>
                  </w:tabs>
                  <w:ind w:firstLine="5"/>
                  <w:jc w:val="both"/>
                  <w:rPr>
                    <w:rFonts w:eastAsia="Calibri"/>
                    <w:szCs w:val="24"/>
                  </w:rPr>
                </w:pPr>
                <w:r>
                  <w:rPr>
                    <w:rFonts w:eastAsia="Calibri"/>
                    <w:szCs w:val="24"/>
                  </w:rPr>
                  <w:t>1.</w:t>
                  <w:tab/>
                  <w:t>Klimato kaitos švelninimas</w:t>
                </w:r>
              </w:p>
            </w:tc>
            <w:tc>
              <w:tcPr>
                <w:tcW w:w="4633" w:type="dxa"/>
              </w:tcPr>
              <w:p>
                <w:pPr>
                  <w:jc w:val="both"/>
                  <w:rPr>
                    <w:rFonts w:eastAsia="Calibri"/>
                    <w:bCs/>
                    <w:iCs/>
                    <w:szCs w:val="24"/>
                  </w:rPr>
                </w:pPr>
                <w:r>
                  <w:rPr>
                    <w:rFonts w:eastAsia="Calibri"/>
                    <w:bCs/>
                    <w:iCs/>
                    <w:szCs w:val="24"/>
                  </w:rPr>
                  <w:t xml:space="preserve">Vertinama, kad planuojama įgyvendinti priemonė, susijusi su pastatų pritaikymu:  statybos / rekonstrukcijos / remonto darbai, 100 procentų prisideda prie klimato kaitos švelninimo tikslo: statybos / pastatų rekonstrukcijos / remonto metu bus padidintas pastatų energijos efektyvumas, užtikrintas AEI naudojimas elektrai ir (ar) šildymui, kiek tai bus finansiškai racionalu atsižvelgiant į CŠT sistemų pajėgumą ir prieinamumą. </w:t>
                </w:r>
              </w:p>
              <w:p>
                <w:pPr>
                  <w:jc w:val="both"/>
                  <w:rPr>
                    <w:rFonts w:eastAsia="Calibri"/>
                    <w:bCs/>
                    <w:iCs/>
                    <w:szCs w:val="24"/>
                  </w:rPr>
                </w:pPr>
                <w:r>
                  <w:rPr>
                    <w:rFonts w:eastAsia="Calibri"/>
                    <w:bCs/>
                    <w:iCs/>
                    <w:szCs w:val="24"/>
                  </w:rPr>
                  <w:t>Neplanuojama, kad priemonė gali turėti neigiamą poveikį klimato kaitos švelninimo tikslui, kadangi bus užtikrinta, kad kuriama infrastruktūra atitiktų Statybos techninio reglamento bei kitų teisės aktų reikalavimus, susijusius su ŠESD emisija.</w:t>
                </w:r>
              </w:p>
              <w:p>
                <w:pPr>
                  <w:jc w:val="both"/>
                  <w:rPr>
                    <w:rFonts w:eastAsia="Calibri"/>
                    <w:bCs/>
                    <w:iCs/>
                    <w:szCs w:val="24"/>
                  </w:rPr>
                </w:pPr>
                <w:r>
                  <w:rPr>
                    <w:rFonts w:eastAsia="Calibri"/>
                    <w:bCs/>
                    <w:iCs/>
                    <w:szCs w:val="24"/>
                  </w:rPr>
                  <w:t xml:space="preserve">Neplanuojama, kad priemonė gali turėti neigiamą poveikį klimato kaitos švelninimo tikslui, kadangi bus užtikrinta, kad kuriama infrastruktūra atitiks Statybos techninio reglamento bei kitų teisės aktų reikalavimus, susijusius su ŠESD emisija, ir atitiks beveik energijos nenaudojančių pastatų projektavimo, statybos ir eksploatacijos (angl. Nearly Zero Energy Building, NZEB) standartą naujai kuriamos infrastruktūros atveju arba  bus užtikrintas 2018 m. gegužės 30 d. Europos Parlamento ir Tarybos direktyvos (ES) 2018/844 reikalavimų, susijusių su energetiniu pastatų efektyvumu, laikymasis modernizuojamos infrastruktūros atveju.</w:t>
                </w:r>
              </w:p>
              <w:p>
                <w:pPr>
                  <w:jc w:val="both"/>
                  <w:rPr>
                    <w:rFonts w:eastAsia="Calibri"/>
                    <w:bCs/>
                    <w:iCs/>
                    <w:szCs w:val="24"/>
                  </w:rPr>
                </w:pPr>
                <w:r>
                  <w:rPr>
                    <w:rFonts w:eastAsia="Calibri"/>
                    <w:bCs/>
                    <w:iCs/>
                    <w:szCs w:val="24"/>
                  </w:rPr>
                  <w:t>Planuojama įsigyti įranga privalės atitikti (tai bus numatoma atitinkamuose įrangos įsigijimo dokumentuose) efektyvumo, tvarumo, ilgaamžiškumo reikalavimus pagal Direktyvą 2009/125/EC ir Direktyvą 2011/65/EU.</w:t>
                </w:r>
              </w:p>
            </w:tc>
            <w:tc>
              <w:tcPr>
                <w:tcW w:w="5331" w:type="dxa"/>
              </w:tcPr>
              <w:p>
                <w:pPr>
                  <w:tabs>
                    <w:tab w:val="left" w:pos="589"/>
                  </w:tabs>
                  <w:jc w:val="both"/>
                  <w:rPr>
                    <w:rFonts w:eastAsia="Calibri"/>
                    <w:bCs/>
                    <w:iCs/>
                    <w:szCs w:val="24"/>
                  </w:rPr>
                </w:pPr>
                <w:r>
                  <w:rPr>
                    <w:rFonts w:eastAsia="Calibri"/>
                    <w:bCs/>
                    <w:iCs/>
                    <w:szCs w:val="24"/>
                  </w:rPr>
                  <w:t>Įgyvendinant priemonę, bus numatytas projektų vykdytojų ir (ar) kitų dalyvių bei tarpininkų įsipareigojimas laikytis Pagrindime nurodytų teisės aktų reikalavimų.</w:t>
                </w:r>
              </w:p>
              <w:p>
                <w:pPr>
                  <w:tabs>
                    <w:tab w:val="left" w:pos="589"/>
                  </w:tabs>
                  <w:jc w:val="both"/>
                  <w:rPr>
                    <w:rFonts w:eastAsia="Calibri"/>
                    <w:iCs/>
                    <w:szCs w:val="24"/>
                  </w:rPr>
                </w:pPr>
                <w:r>
                  <w:rPr>
                    <w:rFonts w:eastAsia="Calibri"/>
                    <w:iCs/>
                    <w:szCs w:val="24"/>
                  </w:rPr>
                  <w:t>Bus vertinami pirkimo dokumentai, komerciniai pasiūlymai, sutartys su prekių tiekėjais ar paslaugų teikėjais, projektavimo dokumentai ir pan. Jei tokių dokumentų nėra, pareiškėjas pateikia įsipareigojimą pildydamas PĮP.</w:t>
                </w:r>
              </w:p>
              <w:p>
                <w:pPr>
                  <w:tabs>
                    <w:tab w:val="left" w:pos="589"/>
                  </w:tabs>
                  <w:jc w:val="both"/>
                  <w:rPr>
                    <w:rFonts w:eastAsia="Calibri"/>
                    <w:iCs/>
                    <w:szCs w:val="24"/>
                  </w:rPr>
                </w:pPr>
              </w:p>
              <w:p>
                <w:pPr>
                  <w:tabs>
                    <w:tab w:val="left" w:pos="589"/>
                  </w:tabs>
                  <w:jc w:val="both"/>
                  <w:rPr>
                    <w:rFonts w:eastAsia="Calibri"/>
                    <w:iCs/>
                    <w:szCs w:val="24"/>
                  </w:rPr>
                </w:pPr>
              </w:p>
            </w:tc>
          </w:tr>
          <w:tr>
            <w:tc>
              <w:tcPr>
                <w:tcW w:w="4885" w:type="dxa"/>
              </w:tcPr>
              <w:p>
                <w:pPr>
                  <w:tabs>
                    <w:tab w:val="left" w:pos="289"/>
                  </w:tabs>
                  <w:ind w:firstLine="5"/>
                  <w:jc w:val="both"/>
                  <w:rPr>
                    <w:rFonts w:eastAsia="Calibri"/>
                    <w:szCs w:val="24"/>
                  </w:rPr>
                </w:pPr>
                <w:r>
                  <w:rPr>
                    <w:rFonts w:eastAsia="Calibri"/>
                    <w:szCs w:val="24"/>
                  </w:rPr>
                  <w:t>2.</w:t>
                  <w:tab/>
                  <w:t>Prisitaikymas prie klimato kaitos</w:t>
                </w:r>
              </w:p>
            </w:tc>
            <w:tc>
              <w:tcPr>
                <w:tcW w:w="4633" w:type="dxa"/>
              </w:tcPr>
              <w:p>
                <w:pPr>
                  <w:jc w:val="both"/>
                  <w:rPr>
                    <w:bCs/>
                    <w:szCs w:val="24"/>
                  </w:rPr>
                </w:pPr>
                <w:r>
                  <w:rPr>
                    <w:bCs/>
                    <w:szCs w:val="24"/>
                  </w:rPr>
                  <w:t>Vertinama, kad planuojama įgyvendinti priemonė neturi jokio numatomo poveikio šiam aplinkos tikslui arba numatomas jos poveikis yra nereikšmingas, t. y. nedaro tiesioginio ir pirminio netiesioginio poveikio per visą gyvavimo ciklą, todėl laikoma, kad ši investicija atitinka prisitaikymo prie klimato kaitos tikslą, kadangi numatoma tik energetiškai efektyvios infrastruktūros kūrimas, tai neturės neigiamos įtakos prisitaikymo prie klimato kaitos tikslui, žmonėms, gamtai ar turtui. Kuriant ar modernizuojant infrastruktūrą, bus laikomasi aplinkos apsaugą ir statybas reglamentuojančių teisės aktų. Numatoma atlikti planuojamos ūkinės veiklos poveikio aplinkai vertinimą, kaip tai numatyta Lietuvos Respublikos planuojamos ūkinės veiklos vertinimo įstatyme. Vykdant veiklas bus vadovaujamasi Statybos techniniu reglamentu, kuriame įtvirtinti ir aplinkos apsaugos reikalavimai, atsakomybės ir kontrolė (pvz., Aplinkos apsaugos agentūra tikrina, ar statinio projektas atitinka atrankos informacijoje ar poveikio aplinkai vertinimo dokumentuose nurodytą veiklos apimtį, fizines ir technines charakteristikas, ar suprojektuotos visos reikšmingą neigiamą poveikį aplinkai švelninančios ir kompensuojančios priemonės, užtikrinančios projekto atitiktį aplinkos apsaugą reglamentuojančių teisės aktų reikalavimams, ar nepasibaigęs atrankos išvados arba sprendimo galiojimo terminas; ar statinio projektas atitinka aplinkos apsaugą reglamentuojančių teisės aktų reikalavimus ir kt.) nuostatas. Tai užtikrins rizikos dėl neigiamo poveikio klimatui, žmonėms, gamtai ar turtui eliminavimą.</w:t>
                </w:r>
              </w:p>
              <w:p>
                <w:pPr>
                  <w:jc w:val="both"/>
                  <w:rPr>
                    <w:bCs/>
                    <w:szCs w:val="24"/>
                  </w:rPr>
                </w:pPr>
                <w:r>
                  <w:rPr>
                    <w:bCs/>
                    <w:szCs w:val="24"/>
                  </w:rPr>
                  <w:t xml:space="preserve">Taip pat nauja statyba nebus atliekama potvynių zonose, bus skatinama naudoti žaliąją infrastruktūrą </w:t>
                </w:r>
                <w:r>
                  <w:rPr>
                    <w:szCs w:val="24"/>
                  </w:rPr>
                  <w:t xml:space="preserve">– </w:t>
                </w:r>
                <w:r>
                  <w:rPr>
                    <w:bCs/>
                    <w:szCs w:val="24"/>
                  </w:rPr>
                  <w:t>augmeniją ir kitus pastatų dizaino / apželdinimo sprendinius, kurie sumažintų energijos poreikius ir kt.</w:t>
                </w:r>
              </w:p>
            </w:tc>
            <w:tc>
              <w:tcPr>
                <w:tcW w:w="5331" w:type="dxa"/>
              </w:tcPr>
              <w:p>
                <w:pPr>
                  <w:jc w:val="both"/>
                  <w:rPr>
                    <w:rFonts w:eastAsia="Calibri"/>
                    <w:bCs/>
                    <w:iCs/>
                    <w:szCs w:val="24"/>
                  </w:rPr>
                </w:pPr>
                <w:r>
                  <w:rPr>
                    <w:bCs/>
                    <w:szCs w:val="24"/>
                  </w:rPr>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pPr>
                  <w:jc w:val="both"/>
                  <w:rPr>
                    <w:rFonts w:eastAsia="Calibri"/>
                    <w:bCs/>
                    <w:iCs/>
                    <w:szCs w:val="24"/>
                  </w:rPr>
                </w:pPr>
              </w:p>
              <w:p>
                <w:pPr>
                  <w:jc w:val="both"/>
                  <w:rPr>
                    <w:rFonts w:eastAsia="Calibri"/>
                    <w:bCs/>
                    <w:szCs w:val="24"/>
                  </w:rPr>
                </w:pPr>
              </w:p>
            </w:tc>
          </w:tr>
          <w:tr>
            <w:tc>
              <w:tcPr>
                <w:tcW w:w="4885"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633" w:type="dxa"/>
              </w:tcPr>
              <w:p>
                <w:pPr>
                  <w:jc w:val="both"/>
                  <w:rPr>
                    <w:rFonts w:eastAsia="Calibri"/>
                    <w:szCs w:val="24"/>
                  </w:rPr>
                </w:pPr>
                <w:r>
                  <w:rPr>
                    <w:rFonts w:eastAsia="Calibri"/>
                    <w:szCs w:val="24"/>
                  </w:rPr>
                  <w:t>Vertinama, kad planuojama įgyvendinti priemonė neturi jokio numatomo poveikio šiam aplinkos tikslui arba numatomas jos poveikis yra nereikšmingas, t. y. nedaro tiesioginio ir pirminio netiesioginio poveikio per visą gyvavimo ciklą, todėl laikoma, kad priemonė atitinka tausaus vandens ir jūrų išteklių naudojimo ir apsaugos tikslą„ kadangi įrengiant naują vandens infrastruktūrą bus naudojami efektyvesni vandens prietaisai, atitinkantys naujausius ES efektyvumo standartus.</w:t>
                </w:r>
              </w:p>
              <w:p>
                <w:pPr>
                  <w:jc w:val="both"/>
                  <w:rPr>
                    <w:rFonts w:eastAsia="Calibri"/>
                    <w:szCs w:val="24"/>
                  </w:rPr>
                </w:pPr>
                <w:r>
                  <w:rPr>
                    <w:rFonts w:eastAsia="Calibri"/>
                    <w:szCs w:val="24"/>
                  </w:rPr>
                  <w:t xml:space="preserve">Įgyvendinant priemonę, bus užtikrintas 2018 m. gegužės 30 d. Europos Parlamento ir Tarybos direktyvos (ES) 2018/844 reikalavimų, susijusių su energetiniu pastatų efektyvumu, laikymasis (tai bus numatoma paslaugų įsigijimo ir kt.  dokumentuose), taip pat atitiktis 2000 m. spalio 23 d. vandens politikos direktyvos </w:t>
                </w:r>
                <w:r>
                  <w:rPr>
                    <w:rFonts w:eastAsia="Calibri"/>
                    <w:color w:val="0563C1"/>
                    <w:szCs w:val="24"/>
                    <w:u w:val="single"/>
                  </w:rPr>
                  <w:t>2000/60/EB</w:t>
                </w:r>
                <w:r>
                  <w:rPr>
                    <w:rFonts w:eastAsia="Calibri"/>
                    <w:szCs w:val="24"/>
                  </w:rPr>
                  <w:t xml:space="preserve"> reikalavimams.</w:t>
                </w:r>
              </w:p>
              <w:p>
                <w:pPr>
                  <w:jc w:val="both"/>
                  <w:rPr>
                    <w:rFonts w:eastAsia="Calibri"/>
                    <w:szCs w:val="24"/>
                  </w:rPr>
                </w:pPr>
                <w:r>
                  <w:rPr>
                    <w:rFonts w:eastAsia="Calibri"/>
                    <w:szCs w:val="24"/>
                  </w:rPr>
                  <w:t>Taip pat, siekiant išvengti poveikio statybvietėje, nustatoma ir sprendžiama aplinkos degradacijos rizika, susijusi su vandens kokybės išsaugojimu ir vandens tausojimu.</w:t>
                </w:r>
              </w:p>
            </w:tc>
            <w:tc>
              <w:tcPr>
                <w:tcW w:w="5331" w:type="dxa"/>
              </w:tcPr>
              <w:p>
                <w:pPr>
                  <w:jc w:val="both"/>
                  <w:rPr>
                    <w:rFonts w:eastAsia="Calibri"/>
                    <w:bCs/>
                    <w:iCs/>
                  </w:rPr>
                </w:pPr>
                <w:r>
                  <w:rPr>
                    <w:rFonts w:eastAsia="Calibri"/>
                    <w:bCs/>
                    <w:iCs/>
                  </w:rPr>
                  <w:t>Įgyvendinant priemonę, bus numatytas projektų vykdytojų ir (ar) kitų dalyvių bei tarpininkų įsipareigojimas laikytis Pagrindime nurodytų teisės aktų reikalavimų.</w:t>
                </w:r>
              </w:p>
              <w:p>
                <w:pPr>
                  <w:jc w:val="both"/>
                  <w:rPr>
                    <w:rFonts w:eastAsia="Calibri"/>
                    <w:bCs/>
                    <w:szCs w:val="24"/>
                  </w:rPr>
                </w:pPr>
                <w:r>
                  <w:rPr>
                    <w:rFonts w:eastAsia="Calibri"/>
                    <w:bCs/>
                    <w:iCs/>
                  </w:rPr>
                  <w:t>Bus vertinami pirkimo dokumentai, komerciniai pasiūlymai, sutartys su prekių tiekėjais ar paslaugų teikėjais, projektavimo dokumentai ir pan. Jei tokių dokumentų nėra, pareiškėjas pateikia įsipareigojimą pildydamas PĮP.</w:t>
                </w:r>
              </w:p>
            </w:tc>
          </w:tr>
          <w:tr>
            <w:tc>
              <w:tcPr>
                <w:tcW w:w="4885"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33" w:type="dxa"/>
              </w:tcPr>
              <w:p>
                <w:pPr>
                  <w:jc w:val="both"/>
                  <w:rPr>
                    <w:rFonts w:eastAsia="Calibri"/>
                    <w:bCs/>
                    <w:szCs w:val="24"/>
                  </w:rPr>
                </w:pPr>
                <w:r>
                  <w:rPr>
                    <w:rFonts w:eastAsia="Calibri"/>
                    <w:bCs/>
                    <w:szCs w:val="24"/>
                  </w:rPr>
                  <w:t xml:space="preserve">Vertinama, kad planuojama įgyvendinti priemonė neturi jokio numatomo poveikio šiam aplinkos tikslui arba numatomas jos poveikis yra nereikšmingas, t. y. nedaro tiesioginio ir pirminio netiesioginio poveikio per visą gyvavimo ciklą, todėl laikoma, kad ši investicija atitinka žiedinės ekonomikos, įskaitant atliekų prevenciją ir perdirbimą, tikslą: bus užtikrinta, kad mažiausiai 70 % (pagal svorį) nepavojingų statybinių ir griovimo atliekų (išskyrus natūraliai atsirandančias medžiagas, nurodytas Europos sąrašo 17 05 04 kategorijoje) 2000/532 / EB), statybvietėje susidarančios atliekos turėtų būti parengtos pakartotiniam naudojimui, perdirbimui ir kitoms medžiagų panaudojimo galimybėms, įskaitant užpildymo operacijas, naudojant atliekas kitoms medžiagoms pakeisti, laikantis atliekų hierarchijos ir ES statybos ir griovimo atliekų tvarkymo protokolo. </w:t>
                </w:r>
              </w:p>
              <w:p>
                <w:pPr>
                  <w:jc w:val="both"/>
                  <w:rPr>
                    <w:rFonts w:eastAsia="Calibri"/>
                    <w:bCs/>
                    <w:szCs w:val="24"/>
                  </w:rPr>
                </w:pPr>
                <w:r>
                  <w:rPr>
                    <w:rFonts w:eastAsia="Calibri"/>
                    <w:bCs/>
                    <w:szCs w:val="24"/>
                  </w:rPr>
                  <w:t>Be to, operatoriai bus įpareigoti riboti atliekų susidarymą procesuose, susijusiuose su statyba ir griovimu, laikydamiesi ES Statybos ir griovimo atliekų tvarkymo protokolo ir atsižvelgdami į geriausius prieinamus metodus ir naudodami selektyvų griovimą, kad būtų galima pašalinti ir saugiai tvarkyti pavojingas medžiagas ir palengvinti pakartotinį perdirbimą. Statybinės atliekos Atliekų tvarkymo įstatymo ir kitų teisės aktų nustatyta tvarka bus perduodamos atliekų tvarkytojams, turintiems teisę tvarkyti tokias atliekas. Statybinių atliekų tvarkymo taisyklės nustato, kad statybvietėje turi būti išrūšiuotos ir atskirai laikinai laikomos susidarančios komunalinės atliekos, inertinės atliekos, perdirbti ir pakartotinai naudoti tinkamos atliekos, pavojingosios atliekos ir netinkamos perdirbti atliekos. Išrūšiuotos atliekos bus perduodamos įmonėms, turinčioms teisę tvarkyti tokias atliekas pagal sutartis dėl jų naudojimo ir šalinimo. Susidariusios asbesto turinčių gaminių atliekos bus šalinamos nustatyta tvarka atskiroje sekcijoje, įrengtoje prie bet kokios klasės sąvartyno pagal inertinių atliekų sąvartynų reikalavimus ir pažymėtoje įspėjamaisiais užrašais. Tvarkant atliekas bus vadovaujamasi Europos Sąjungoje geriausiais prieinamais gamybos būdais (GPGB) atliekoms apdoroti.</w:t>
                </w:r>
              </w:p>
              <w:p>
                <w:pPr>
                  <w:jc w:val="both"/>
                  <w:rPr>
                    <w:rFonts w:eastAsia="Calibri"/>
                    <w:bCs/>
                    <w:szCs w:val="24"/>
                  </w:rPr>
                </w:pPr>
                <w:r>
                  <w:rPr>
                    <w:rFonts w:eastAsia="Calibri"/>
                    <w:bCs/>
                    <w:szCs w:val="24"/>
                  </w:rPr>
                  <w:t xml:space="preserve">Taip pat numatoma naudoti ir kokybiškai perdirbti selektyviai pašalinant medžiagas, naudojant turimas statybinių ir griovimo atliekų rūšiavimo sistemas. </w:t>
                </w:r>
              </w:p>
              <w:p>
                <w:pPr>
                  <w:jc w:val="both"/>
                  <w:rPr>
                    <w:rFonts w:eastAsia="Calibri"/>
                    <w:bCs/>
                    <w:szCs w:val="24"/>
                  </w:rPr>
                </w:pPr>
                <w:r>
                  <w:rPr>
                    <w:rFonts w:eastAsia="Calibri"/>
                    <w:bCs/>
                    <w:szCs w:val="24"/>
                  </w:rPr>
                  <w:t xml:space="preserve">Pastatų projektai ir statybos metodai turės būti  paremti efektyvia analize atsižvelgiant į ISO 20887. Taip pat bus skatinama naudoti pakartotinai panaudojamas medžiagas.</w:t>
                </w:r>
              </w:p>
              <w:p>
                <w:pPr>
                  <w:jc w:val="both"/>
                  <w:rPr>
                    <w:rFonts w:eastAsia="Calibri"/>
                    <w:bCs/>
                    <w:szCs w:val="24"/>
                  </w:rPr>
                </w:pPr>
                <w:r>
                  <w:rPr>
                    <w:rFonts w:eastAsia="Calibri"/>
                    <w:bCs/>
                    <w:szCs w:val="24"/>
                  </w:rPr>
                  <w:t>Statybvietėje pildomas atliekų apskaitos žurnalas, vedama susidariusių ir perduotų tvarkyti statybinių atliekų apskaita, nurodomas jų kiekis, teikiamos atliekų apskaitos ataskaitos.</w:t>
                </w:r>
              </w:p>
              <w:p>
                <w:pPr>
                  <w:jc w:val="both"/>
                  <w:rPr>
                    <w:rFonts w:eastAsia="Calibri"/>
                    <w:bCs/>
                    <w:szCs w:val="24"/>
                  </w:rPr>
                </w:pPr>
                <w:r>
                  <w:rPr>
                    <w:rFonts w:eastAsia="Calibri"/>
                    <w:bCs/>
                    <w:szCs w:val="24"/>
                  </w:rPr>
                  <w:t xml:space="preserve">Planuojama įsigyti įranga  privalės atitikti (tai bus numatoma atitinkamuose įrangos įsigijimo dokumentuose) efektyvumo, tvarumo, ilgaamžiškumo reikalavimus pagal Direktyvą 2009/125/EC ir Direktyvą 2011/65/EU.</w:t>
                </w:r>
              </w:p>
              <w:p>
                <w:pPr>
                  <w:jc w:val="both"/>
                  <w:rPr>
                    <w:rFonts w:eastAsia="Calibri"/>
                    <w:bCs/>
                    <w:szCs w:val="24"/>
                  </w:rPr>
                </w:pPr>
                <w:r>
                  <w:rPr>
                    <w:rFonts w:eastAsia="Calibri"/>
                    <w:bCs/>
                    <w:szCs w:val="24"/>
                  </w:rPr>
                  <w:t>Pasibaigus įsigytos įrangos naudingo tarnavimo laikui, įrangos tiekėjai (pardavėjai) privalės (tai bus numatoma atitinkamuose įrangos įsigijimo dokumentuose) įrangos atliekas sutvarkyti vadovaudamiesi Direktyvos 2012/19/EU reikalavimais ir Lietuvos Respublikos teisės aktais, reglamentuojančiais atliekų tvarkymą, bei Valstybinio atliekų prevencijos ir tvarkymo plano nuostatomis.</w:t>
                </w:r>
              </w:p>
            </w:tc>
            <w:tc>
              <w:tcPr>
                <w:tcW w:w="5331" w:type="dxa"/>
              </w:tcPr>
              <w:p>
                <w:pPr>
                  <w:jc w:val="both"/>
                  <w:rPr>
                    <w:rFonts w:eastAsia="Calibri"/>
                    <w:bCs/>
                    <w:iCs/>
                    <w:szCs w:val="24"/>
                  </w:rPr>
                </w:pPr>
                <w:r>
                  <w:rPr>
                    <w:rFonts w:eastAsia="Calibri"/>
                    <w:bCs/>
                    <w:iCs/>
                    <w:szCs w:val="24"/>
                  </w:rPr>
                  <w:t>Įgyvendinant priemonę, bus numatytas projektų vykdytojų ir (ar) kitų dalyvių bei tarpininkų įsipareigojimas laikytis Pagrindime nurodytų teisės aktų reikalavimų.</w:t>
                </w:r>
              </w:p>
              <w:p>
                <w:pPr>
                  <w:jc w:val="both"/>
                  <w:rPr>
                    <w:rFonts w:eastAsia="Calibri"/>
                    <w:bCs/>
                    <w:szCs w:val="24"/>
                  </w:rPr>
                </w:pPr>
                <w:r>
                  <w:rPr>
                    <w:rFonts w:eastAsia="Calibri"/>
                    <w:bCs/>
                    <w:iCs/>
                    <w:szCs w:val="24"/>
                  </w:rPr>
                  <w:t>Bus vertinami pirkimo dokumentai, komerciniai pasiūlymai, sutartys su prekių tiekėjais ar paslaugų teikėjais, projektavimo dokumentai ir pan. Jei tokių dokumentų nėra, pareiškėjas pateikia įsipareigojimą pildydamas PĮP.</w:t>
                </w:r>
              </w:p>
              <w:p>
                <w:pPr>
                  <w:jc w:val="both"/>
                  <w:rPr>
                    <w:rFonts w:eastAsia="Calibri"/>
                    <w:bCs/>
                    <w:szCs w:val="24"/>
                  </w:rPr>
                </w:pPr>
                <w:r>
                  <w:rPr>
                    <w:rFonts w:eastAsia="Calibri"/>
                    <w:bCs/>
                    <w:szCs w:val="24"/>
                  </w:rPr>
                  <w:t xml:space="preserve">Pareiškėjas PĮP turės patvirtinti, kad bus reikalaujama iš rangovų laikytis reikalavimų dėl statybinių atliekų susidarymo ir tvarkymo, nustatytų Statybinių atliekų tvarkymo taisyklėse, patvirtintose Lietuvos Respublikos aplinkos ministro 2006 m. gruodžio 29 d. įsakymu Nr. D1-637 „Dėl Statybinių atliekų tvarkymo taisyklių patvirtinimo“. </w:t>
                </w:r>
              </w:p>
              <w:p>
                <w:pPr>
                  <w:jc w:val="both"/>
                  <w:rPr>
                    <w:rFonts w:eastAsia="Calibri"/>
                    <w:bCs/>
                    <w:szCs w:val="24"/>
                  </w:rPr>
                </w:pPr>
              </w:p>
            </w:tc>
          </w:tr>
          <w:tr>
            <w:tc>
              <w:tcPr>
                <w:tcW w:w="4885"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33" w:type="dxa"/>
              </w:tcPr>
              <w:p>
                <w:pPr>
                  <w:jc w:val="both"/>
                  <w:rPr>
                    <w:rFonts w:eastAsia="Calibri"/>
                    <w:szCs w:val="24"/>
                  </w:rPr>
                </w:pPr>
                <w:r>
                  <w:rPr>
                    <w:rFonts w:eastAsia="Calibri"/>
                    <w:szCs w:val="24"/>
                  </w:rPr>
                  <w:t>Vertinama, kad planuojama įgyvendinti priemonė neturi jokio numatomo poveikio šiam aplinkos tikslui arba numatomas jos poveikis yra nereikšmingas, t. y. nedaro tiesioginio ir pirminio netiesioginio poveikio per visą gyvavimo ciklą, todėl laikoma, kad ši reformos investicija atitinka oro, vandens ar žemės taršos prevencijos ir kontrolės tikslą. Nenumatoma, kad įgyvendinant reformą ar investiciją padidės teršalų išmetimas į orą, vandenį ar žemę, kadangi:</w:t>
                </w:r>
              </w:p>
              <w:p>
                <w:pPr>
                  <w:jc w:val="both"/>
                  <w:rPr>
                    <w:rFonts w:eastAsia="Calibri"/>
                    <w:szCs w:val="24"/>
                  </w:rPr>
                </w:pPr>
                <w:r>
                  <w:rPr>
                    <w:rFonts w:eastAsia="Calibri"/>
                    <w:szCs w:val="24"/>
                  </w:rPr>
                  <w:t xml:space="preserve">• statybose naudojamose statybinėse dalyse ir medžiagose nėra asbesto ir labai didelį susirūpinimą keliančių medžiagų, nustatytų remiantis medžiagų, kurioms reikalingas leidimas, sąrašu, nurodytu Europos Parlamento ir Tarybos reglamento </w:t>
                </w:r>
                <w:r>
                  <w:rPr>
                    <w:rFonts w:eastAsia="Calibri"/>
                    <w:color w:val="0563C1"/>
                    <w:szCs w:val="24"/>
                    <w:u w:val="single"/>
                  </w:rPr>
                  <w:t>(EB) Nr. 1907/2006</w:t>
                </w:r>
                <w:r>
                  <w:rPr>
                    <w:rFonts w:eastAsia="Calibri"/>
                    <w:szCs w:val="24"/>
                  </w:rPr>
                  <w:t xml:space="preserve"> XIV priede.;</w:t>
                </w:r>
              </w:p>
              <w:p>
                <w:pPr>
                  <w:jc w:val="both"/>
                  <w:rPr>
                    <w:rFonts w:eastAsia="Calibri"/>
                    <w:szCs w:val="24"/>
                  </w:rPr>
                </w:pPr>
                <w:r>
                  <w:rPr>
                    <w:rFonts w:eastAsia="Calibri"/>
                    <w:szCs w:val="24"/>
                  </w:rPr>
                  <w:t>• statyboje naudojami komponentai ir medžiagos, galinčios liestis su gyventojais, išskiria mažiau nei 0,06 mg formaldehido 1 m³ medžiagos ar komponento ir mažiau kaip 0,001 mg 1A ir 1B kategorijos kancerogeninių lakiųjų organinių junginių 1 m³ medžiagos arba komponento, atlikus bandymus pagal CEN / TS 16516 ir ISO 16000-3 arba kitas panašias standartizuotas bandymo sąlygas ir nustatymo metodus;</w:t>
                </w:r>
              </w:p>
              <w:p>
                <w:pPr>
                  <w:jc w:val="both"/>
                  <w:rPr>
                    <w:rFonts w:eastAsia="Calibri"/>
                    <w:szCs w:val="24"/>
                  </w:rPr>
                </w:pPr>
                <w:r>
                  <w:rPr>
                    <w:rFonts w:eastAsia="Calibri"/>
                    <w:szCs w:val="24"/>
                  </w:rPr>
                  <w:t xml:space="preserve">• imamasi priemonių sumažinti triukšmą, dulkes ir teršalus vykdant  statybos ar priežiūros darbus.</w:t>
                </w:r>
              </w:p>
              <w:p>
                <w:pPr>
                  <w:jc w:val="both"/>
                  <w:rPr>
                    <w:rFonts w:eastAsia="Calibri"/>
                    <w:szCs w:val="24"/>
                  </w:rPr>
                </w:pPr>
                <w:r>
                  <w:rPr>
                    <w:rFonts w:eastAsia="Calibri"/>
                    <w:szCs w:val="24"/>
                  </w:rPr>
                  <w:t xml:space="preserve">Vertinama, kad investicijos atitinka tausaus vandens ir jūrų išteklių naudojimo ir apsaugos tikslą, nes įgyvendinant priemonę nenumatoma, kad bus daroma žala vandens ir jūrų ištekliams: priemonė įgyvendinama vadovaujantis Europos Parlamento ir Tarybos 2018 m. gruodžio 11 d. Direktyva (ES) 2018/2001 dėl skatinimo naudoti atsinaujinančiųjų išteklių energiją, bendrosios išimties reglamento nuostatomis, taip pat  nacionaliniais teisės aktais, kuriuose nustatyti reikalavimai užtikrinti tausų išteklių naudojimą ir apsaugą.</w:t>
                </w:r>
              </w:p>
            </w:tc>
            <w:tc>
              <w:tcPr>
                <w:tcW w:w="5331" w:type="dxa"/>
              </w:tcPr>
              <w:p>
                <w:pPr>
                  <w:jc w:val="both"/>
                  <w:rPr>
                    <w:rFonts w:eastAsia="Calibri"/>
                    <w:bCs/>
                    <w:iCs/>
                    <w:szCs w:val="24"/>
                  </w:rPr>
                </w:pPr>
                <w:r>
                  <w:rPr>
                    <w:rFonts w:eastAsia="Calibri"/>
                    <w:bCs/>
                    <w:iCs/>
                    <w:szCs w:val="24"/>
                  </w:rPr>
                  <w:t>Įgyvendinant priemonę, bus numatytas projektų vykdytojų ir (ar) kitų dalyvių bei tarpininkų įsipareigojimas laikytis Pagrindime nurodytų teisės aktų reikalavimų.</w:t>
                </w:r>
              </w:p>
              <w:p>
                <w:pPr>
                  <w:jc w:val="both"/>
                  <w:rPr>
                    <w:rFonts w:eastAsia="Calibri"/>
                    <w:bCs/>
                    <w:iCs/>
                    <w:szCs w:val="24"/>
                  </w:rPr>
                </w:pPr>
                <w:r>
                  <w:rPr>
                    <w:rFonts w:eastAsia="Calibri"/>
                    <w:bCs/>
                    <w:iCs/>
                    <w:szCs w:val="24"/>
                  </w:rPr>
                  <w:t>Bus vertinami pirkimo dokumentai, komerciniai pasiūlymai, sutartys su prekių tiekėjais ar paslaugų teikėjais, projektavimo dokumentai ir pan. Jei tokių dokumentų nėra, pareiškėjas pateikia įsipareigojimą pildydamas PĮP.</w:t>
                </w:r>
              </w:p>
              <w:p>
                <w:pPr>
                  <w:jc w:val="both"/>
                  <w:rPr>
                    <w:rFonts w:eastAsia="Calibri"/>
                    <w:szCs w:val="24"/>
                  </w:rPr>
                </w:pPr>
              </w:p>
            </w:tc>
          </w:tr>
          <w:tr>
            <w:tc>
              <w:tcPr>
                <w:tcW w:w="4885"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33" w:type="dxa"/>
              </w:tcPr>
              <w:p>
                <w:pPr>
                  <w:jc w:val="both"/>
                  <w:rPr>
                    <w:rFonts w:eastAsia="Calibri"/>
                    <w:bCs/>
                    <w:szCs w:val="24"/>
                  </w:rPr>
                </w:pPr>
                <w:r>
                  <w:rPr>
                    <w:rFonts w:eastAsia="Calibri"/>
                    <w:bCs/>
                    <w:szCs w:val="24"/>
                  </w:rPr>
                  <w:t>Vertinama, kad planuojama įgyvendinti priemonė neturi jokio numatomo poveikio šiam aplinkos tikslui arba numatomas jos poveikis yra nereikšmingas, t. y. nedaro tiesioginio ir pirminio netiesioginio poveikio per visą gyvavimo ciklą, todėl laikoma, kad ši priemonės investicija atitinka biologinės įvairovės ir ekosistemų apsaugos ir atkūrimo tikslą: nenumatoma, kad priemonė turės neigiamą poveikį biologinei įvairovei ar ekosistemų apsaugai, nes nenumatoma kurti ar modernizuoti infrastruktūrą Natura 2000, UNESCO pasaulinio paveldo ar kitose saugomose teritorijose.</w:t>
                </w:r>
              </w:p>
            </w:tc>
            <w:tc>
              <w:tcPr>
                <w:tcW w:w="5331" w:type="dxa"/>
              </w:tcPr>
              <w:p>
                <w:pPr>
                  <w:jc w:val="both"/>
                  <w:rPr>
                    <w:rFonts w:eastAsia="Calibri"/>
                    <w:bCs/>
                    <w:iCs/>
                    <w:szCs w:val="24"/>
                  </w:rPr>
                </w:pPr>
                <w:r>
                  <w:rPr>
                    <w:rFonts w:eastAsia="Calibri"/>
                    <w:bCs/>
                    <w:iCs/>
                    <w:szCs w:val="24"/>
                  </w:rPr>
                  <w:t>Įgyvendinant priemonę, bus numatytas projektų vykdytojų ir (ar) kitų dalyvių bei tarpininkų įsipareigojimas laikytis Pagrindime nurodytų teisės aktų reikalavimų.</w:t>
                </w:r>
              </w:p>
              <w:p>
                <w:pPr>
                  <w:jc w:val="both"/>
                  <w:rPr>
                    <w:rFonts w:eastAsia="Calibri"/>
                    <w:szCs w:val="24"/>
                  </w:rPr>
                </w:pPr>
                <w:r>
                  <w:rPr>
                    <w:rFonts w:eastAsia="Calibri"/>
                    <w:szCs w:val="24"/>
                  </w:rPr>
                  <w:t>Vadovaujantis Planų ar programų ir planuojamos ūkinės veiklos įgyvendinimo poveikio įsteigtoms ar potencialioms „Natura 2000“ teritorijoms reikšmingumo nustatymo tvarkos aprašo, patvirtinto Lietuvos Respublikos aplinkos ministro 2006 m. gegužės 22 d. įsakymu Nr. D1-255 „Dėl Planų ar programų ir planuojamos ūkinės veiklos įgyvendinimo poveikio įsteigtoms ar potencialioms „Natura 2000“ teritorijoms reikšmingumo nustatymo tvarkos aprašo patvirtinimo“, nuostatomis atliktas „Natura 2000“ teritorijų reikšmingumo nustatymas (jeigu taikoma).</w:t>
                </w:r>
              </w:p>
              <w:p>
                <w:pPr>
                  <w:jc w:val="both"/>
                  <w:rPr>
                    <w:rFonts w:eastAsia="Calibri"/>
                    <w:szCs w:val="24"/>
                  </w:rPr>
                </w:pPr>
              </w:p>
            </w:tc>
          </w:tr>
        </w:tbl>
        <w:p>
          <w:pPr>
            <w:spacing w:line="276" w:lineRule="auto"/>
            <w:jc w:val="center"/>
            <w:rPr>
              <w:rFonts w:ascii="Calibri" w:eastAsia="Calibri" w:hAnsi="Calibri"/>
              <w:sz w:val="22"/>
              <w:szCs w:val="22"/>
            </w:rPr>
          </w:pPr>
        </w:p>
        <w:p>
          <w:pPr>
            <w:rPr>
              <w:sz w:val="18"/>
              <w:szCs w:val="18"/>
            </w:rPr>
          </w:pPr>
        </w:p>
        <w:sdt>
          <w:sdtPr>
            <w:alias w:val="pabaiga"/>
            <w:tag w:val="part_7b14efa5a3ca481d8cd9ff16a7b8d1e3"/>
            <w:lock w:val="sdtLocked"/>
            <w:richText/>
          </w:sdtPr>
          <w:sdtContent>
            <w:p>
              <w:pPr>
                <w:spacing w:line="276" w:lineRule="auto"/>
                <w:jc w:val="center"/>
                <w:rPr>
                  <w:sz w:val="22"/>
                  <w:szCs w:val="22"/>
                </w:rPr>
              </w:pPr>
              <w:r>
                <w:rPr>
                  <w:rFonts w:ascii="Calibri" w:eastAsia="Calibri" w:hAnsi="Calibri"/>
                  <w:sz w:val="22"/>
                  <w:szCs w:val="22"/>
                </w:rPr>
                <w:t>________________</w:t>
              </w:r>
            </w:p>
            <w:p/>
          </w:sdtContent>
        </w:sdt>
      </w:sdtContent>
    </w:sdt>
    <w:sectPr>
      <w:headerReference w:type="even" r:id="rId6"/>
      <w:headerReference w:type="default" r:id="rId7"/>
      <w:footerReference w:type="even" r:id="rId8"/>
      <w:footerReference w:type="default" r:id="rId9"/>
      <w:headerReference w:type="first" r:id="rId10"/>
      <w:footerReference w:type="first" r:id="rId11"/>
      <w:pgSz w:w="16838" w:h="11906" w:orient="landscape"/>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13</w:t>
    </w:r>
    <w:r>
      <w:rPr>
        <w:sz w:val="22"/>
        <w:szCs w:val="22"/>
      </w:rPr>
      <w:fldChar w:fldCharType="end"/>
    </w:r>
  </w:p>
  <w:p>
    <w:pPr>
      <w:tabs>
        <w:tab w:val="center" w:pos="4819"/>
        <w:tab w:val="right" w:pos="9638"/>
      </w:tabs>
      <w:spacing w:after="160" w:line="259" w:lineRule="auto"/>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41C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34C5901-9EC2-407E-8D21-BA48CE17FC2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2.1" Abbr="2.1 pr." Title="PROJEKTO (ĮSKAITANT JUNGTINĮ PROJEKTĄ) ATITIKTIES REIKŠMINGOS ŽALOS NEDARYMO HORIZONTALIAJAM PRINCIPUI VERTINIMO REIKALAVIMŲ APRAŠAS" DocPartId="46e539e6da254fc781d5cae11d599272" PartId="cea3810b419f4ddebfd82c881765569c">
    <Part Type="pabaiga" DocPartId="fa4a9326cfb947a9b7f2627b3c9e59a8" PartId="7b14efa5a3ca481d8cd9ff16a7b8d1e3"/>
  </Part>
</Parts>
</file>

<file path=customXml/itemProps1.xml><?xml version="1.0" encoding="utf-8"?>
<ds:datastoreItem xmlns:ds="http://schemas.openxmlformats.org/officeDocument/2006/customXml" ds:itemID="{6CF4ED20-60BE-49A5-828A-EDC9589EEC4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1711</Words>
  <Characters>12475</Characters>
  <Application>Microsoft Office Word</Application>
  <DocSecurity>4</DocSecurity>
  <Lines>366</Lines>
  <Paragraphs>60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14126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2022-08-12T12:28:00Z</dcterms:created>
  <dc:creator>Dalia Lasiauskienė</dc:creator>
  <lastModifiedBy>adlibuser</lastModifiedBy>
  <dcterms:modified xsi:type="dcterms:W3CDTF">2022-08-12T12:28:00Z</dcterms:modified>
  <revision>2</revision>
</coreProperties>
</file>