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31601445e3b34003a39ab99b4740d65d"/>
        <w:lock w:val="sdtLocked"/>
        <w:richText/>
      </w:sdtPr>
      <w:sdtContent>
        <w:p>
          <w:pPr>
            <w:tabs>
              <w:tab w:val="center" w:pos="4153"/>
              <w:tab w:val="right" w:pos="8306"/>
            </w:tabs>
            <w:jc w:val="both"/>
            <w:rPr>
              <w:lang w:val="en-GB"/>
            </w:rPr>
          </w:pPr>
        </w:p>
        <w:p>
          <w:pPr>
            <w:rPr>
              <w:sz w:val="20"/>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31601445e3b34003a39ab99b4740d65d"/>
              <w:lock w:val="sdtLocked"/>
              <w:richText/>
            </w:sdtPr>
            <w:sdtContent>
              <w:r>
                <w:rPr>
                  <w:szCs w:val="24"/>
                  <w:lang w:val="en-US" w:eastAsia="lt-LT"/>
                </w:rPr>
                <w:t>7</w:t>
              </w:r>
            </w:sdtContent>
          </w:sdt>
          <w:r>
            <w:rPr>
              <w:szCs w:val="24"/>
              <w:lang w:eastAsia="lt-LT"/>
            </w:rPr>
            <w:t xml:space="preserve"> priedas</w:t>
          </w:r>
        </w:p>
        <w:p>
          <w:pPr>
            <w:tabs>
              <w:tab w:val="center" w:pos="4153"/>
              <w:tab w:val="right" w:pos="8306"/>
            </w:tabs>
            <w:jc w:val="both"/>
            <w:rPr>
              <w:lang w:val="en-GB"/>
            </w:rPr>
          </w:pPr>
        </w:p>
        <w:p>
          <w:pPr>
            <w:rPr>
              <w:sz w:val="20"/>
            </w:rPr>
          </w:pPr>
        </w:p>
        <w:p>
          <w:pPr>
            <w:ind w:firstLine="48"/>
            <w:jc w:val="center"/>
            <w:rPr>
              <w:rFonts w:eastAsia="Calibri"/>
              <w:b/>
              <w:szCs w:val="24"/>
            </w:rPr>
          </w:pPr>
          <w:sdt>
            <w:sdtPr>
              <w:alias w:val="Pavadinimas"/>
              <w:tag w:val="title_31601445e3b34003a39ab99b4740d65d"/>
              <w:lock w:val="sdtLocked"/>
              <w:richText/>
            </w:sdtPr>
            <w:sdtContent>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finansuojamos P</w:t>
              </w:r>
              <w:r>
                <w:rPr>
                  <w:rFonts w:eastAsia="Calibri"/>
                  <w:b/>
                  <w:bCs/>
                  <w:szCs w:val="24"/>
                </w:rPr>
                <w:t>sichikos sveikatos puoselėjimo komunikacijos kampanijos</w:t>
              </w:r>
              <w:r>
                <w:rPr>
                  <w:rFonts w:eastAsia="Calibri"/>
                  <w:b/>
                  <w:szCs w:val="24"/>
                </w:rPr>
                <w:t xml:space="preserve"> paraiškos vertinimo klausimyno forma)</w:t>
              </w:r>
            </w:sdtContent>
          </w:sdt>
        </w:p>
        <w:p>
          <w:pPr>
            <w:shd w:val="clear" w:color="auto" w:fill="FFFFFF"/>
            <w:ind w:right="140"/>
            <w:rPr>
              <w:b/>
              <w:szCs w:val="24"/>
              <w:lang w:val="en-GB"/>
            </w:rPr>
          </w:pPr>
        </w:p>
        <w:p>
          <w:pPr>
            <w:pBdr>
              <w:bottom w:val="single" w:sz="4" w:space="1" w:color="auto"/>
            </w:pBdr>
            <w:shd w:val="clear" w:color="auto" w:fill="FFFFFF"/>
            <w:ind w:firstLine="9548"/>
            <w:jc w:val="both"/>
            <w:rPr>
              <w:color w:val="000000"/>
              <w:szCs w:val="24"/>
              <w:u w:val="single"/>
            </w:rPr>
          </w:pPr>
        </w:p>
        <w:p>
          <w:pPr>
            <w:shd w:val="clear" w:color="auto" w:fill="FFFFFF"/>
            <w:jc w:val="center"/>
            <w:rPr>
              <w:color w:val="000000"/>
              <w:szCs w:val="24"/>
            </w:rPr>
          </w:pPr>
          <w:r>
            <w:rPr>
              <w:color w:val="000000"/>
              <w:szCs w:val="24"/>
            </w:rPr>
            <w:t>(projekto registracijos numeris, organizacijos pavadinimas)</w:t>
          </w:r>
        </w:p>
        <w:p>
          <w:pPr>
            <w:shd w:val="clear" w:color="auto" w:fill="FFFFFF"/>
            <w:jc w:val="both"/>
            <w:rPr>
              <w:color w:val="000000"/>
              <w:szCs w:val="24"/>
            </w:rPr>
          </w:pPr>
        </w:p>
        <w:p>
          <w:pPr>
            <w:pBdr>
              <w:bottom w:val="single" w:sz="4" w:space="1" w:color="auto"/>
            </w:pBdr>
            <w:shd w:val="clear" w:color="auto" w:fill="FFFFFF"/>
            <w:ind w:firstLine="9548"/>
            <w:jc w:val="both"/>
            <w:rPr>
              <w:color w:val="000000"/>
              <w:szCs w:val="24"/>
            </w:rPr>
          </w:pPr>
        </w:p>
        <w:p>
          <w:pPr>
            <w:shd w:val="clear" w:color="auto" w:fill="FFFFFF"/>
            <w:jc w:val="center"/>
            <w:rPr>
              <w:color w:val="000000"/>
              <w:szCs w:val="24"/>
            </w:rPr>
          </w:pPr>
          <w:r>
            <w:rPr>
              <w:color w:val="000000"/>
              <w:szCs w:val="24"/>
            </w:rPr>
            <w:t>(projekto pavadinimas)</w:t>
          </w:r>
        </w:p>
        <w:p>
          <w:pPr>
            <w:shd w:val="clear" w:color="auto" w:fill="FFFFFF"/>
            <w:rPr>
              <w:szCs w:val="24"/>
            </w:rPr>
          </w:pPr>
        </w:p>
        <w:sdt>
          <w:sdtPr>
            <w:alias w:val="skirsnis"/>
            <w:tag w:val="part_29787ddc3d5a4842a1ef617953932d65"/>
            <w:lock w:val="sdtLocked"/>
            <w:richText/>
          </w:sdtPr>
          <w:sdtContent>
            <w:p>
              <w:pPr>
                <w:spacing w:line="240" w:lineRule="atLeast"/>
                <w:jc w:val="center"/>
                <w:rPr>
                  <w:rFonts w:eastAsia="Calibri"/>
                  <w:b/>
                  <w:szCs w:val="24"/>
                </w:rPr>
              </w:pPr>
              <w:sdt>
                <w:sdtPr>
                  <w:alias w:val="Pavadinimas"/>
                  <w:tag w:val="title_29787ddc3d5a4842a1ef617953932d65"/>
                  <w:lock w:val="sdtLocked"/>
                  <w:richText/>
                </w:sdtPr>
                <w:sdtContent>
                  <w:r>
                    <w:rPr>
                      <w:rFonts w:eastAsia="Calibri"/>
                      <w:b/>
                      <w:bCs/>
                      <w:szCs w:val="24"/>
                    </w:rPr>
                    <w:t>VALSTYBINIO VISUOMENĖS SVEIKATOS STIPRINIMO FONDO LĖŠOMIS</w:t>
                  </w:r>
                  <w:r>
                    <w:rPr>
                      <w:rFonts w:eastAsia="Calibri"/>
                      <w:b/>
                      <w:szCs w:val="24"/>
                    </w:rPr>
                    <w:t xml:space="preserve"> FINANSUOJAMOS </w:t>
                  </w:r>
                  <w:r>
                    <w:rPr>
                      <w:rFonts w:eastAsia="Calibri"/>
                      <w:b/>
                      <w:bCs/>
                      <w:szCs w:val="24"/>
                    </w:rPr>
                    <w:t>PSICHIKOS SVEIKATOS PUOSELĖJIMO KOMUNIKACIJOS KAMPANIJOS</w:t>
                  </w:r>
                  <w:r>
                    <w:rPr>
                      <w:rFonts w:eastAsia="Calibri"/>
                      <w:b/>
                      <w:szCs w:val="24"/>
                    </w:rPr>
                    <w:t xml:space="preserve"> PARAIŠKOS VERTINIMO KLAUSIMYNAS</w:t>
                  </w:r>
                </w:sdtContent>
              </w:sdt>
            </w:p>
            <w:p>
              <w:pPr>
                <w:rPr>
                  <w:sz w:val="10"/>
                  <w:szCs w:val="10"/>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spacing w:val="-2"/>
                  <w:szCs w:val="24"/>
                  <w:lang w:val="en-GB"/>
                </w:rPr>
              </w:pPr>
              <w:r>
                <w:rPr>
                  <w:spacing w:val="-2"/>
                  <w:szCs w:val="24"/>
                  <w:lang w:val="en-GB"/>
                </w:rPr>
                <w:t>______________________________....Nr. EVF-</w:t>
              </w:r>
            </w:p>
            <w:p>
              <w:pPr>
                <w:jc w:val="center"/>
                <w:rPr>
                  <w:szCs w:val="24"/>
                </w:rPr>
              </w:pPr>
              <w:r>
                <w:rPr>
                  <w:szCs w:val="24"/>
                </w:rPr>
                <w:t>(dokumento registravimo data ir numeris)</w:t>
              </w:r>
            </w:p>
            <w:p>
              <w:pPr>
                <w:jc w:val="both"/>
                <w:rPr>
                  <w:szCs w:val="24"/>
                </w:rPr>
              </w:pPr>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0"/>
                <w:gridCol w:w="1172"/>
                <w:gridCol w:w="1172"/>
              </w:tblGrid>
              <w:tr>
                <w:trPr>
                  <w:trHeight w:val="160"/>
                  <w:jc w:val="center"/>
                </w:trPr>
                <w:tc>
                  <w:tcPr>
                    <w:tcW w:w="7540"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trPr>
                  <w:trHeight w:val="614"/>
                  <w:jc w:val="center"/>
                </w:trPr>
                <w:tc>
                  <w:tcPr>
                    <w:tcW w:w="7540"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tarybos patvirtintą einamaisiais metais finansuojamų projektų prioritetą, veiklą ir priemonę?</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4058"/>
                <w:gridCol w:w="1628"/>
                <w:gridCol w:w="10"/>
                <w:gridCol w:w="1539"/>
                <w:gridCol w:w="10"/>
                <w:gridCol w:w="1696"/>
                <w:gridCol w:w="17"/>
              </w:tblGrid>
              <w:tr>
                <w:trPr>
                  <w:gridAfter w:val="1"/>
                  <w:wAfter w:w="17" w:type="dxa"/>
                  <w:trHeight w:val="699"/>
                  <w:jc w:val="center"/>
                </w:trPr>
                <w:tc>
                  <w:tcPr>
                    <w:tcW w:w="1012" w:type="dxa"/>
                    <w:shd w:val="clear" w:color="auto" w:fill="auto"/>
                    <w:noWrap/>
                    <w:vAlign w:val="center"/>
                    <w:hideMark/>
                  </w:tcPr>
                  <w:p>
                    <w:pPr>
                      <w:jc w:val="both"/>
                      <w:rPr>
                        <w:b/>
                        <w:bCs/>
                        <w:color w:val="000000"/>
                        <w:szCs w:val="24"/>
                        <w:lang w:eastAsia="lt-LT"/>
                      </w:rPr>
                    </w:pPr>
                    <w:r>
                      <w:rPr>
                        <w:b/>
                        <w:bCs/>
                        <w:color w:val="000000"/>
                        <w:szCs w:val="24"/>
                        <w:lang w:eastAsia="lt-LT"/>
                      </w:rPr>
                      <w:t>Eil. Nr.</w:t>
                    </w:r>
                  </w:p>
                </w:tc>
                <w:tc>
                  <w:tcPr>
                    <w:tcW w:w="4058" w:type="dxa"/>
                    <w:shd w:val="clear" w:color="auto" w:fill="auto"/>
                    <w:vAlign w:val="center"/>
                    <w:hideMark/>
                  </w:tcPr>
                  <w:p>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pPr>
                      <w:jc w:val="center"/>
                      <w:rPr>
                        <w:b/>
                        <w:bCs/>
                        <w:szCs w:val="24"/>
                        <w:lang w:eastAsia="lt-LT"/>
                      </w:rPr>
                    </w:pPr>
                    <w:r>
                      <w:rPr>
                        <w:b/>
                        <w:bCs/>
                        <w:szCs w:val="24"/>
                        <w:lang w:eastAsia="lt-LT"/>
                      </w:rPr>
                      <w:t>Galimi skirti balai</w:t>
                    </w:r>
                  </w:p>
                  <w:p>
                    <w:pPr>
                      <w:jc w:val="center"/>
                      <w:rPr>
                        <w:bCs/>
                        <w:i/>
                        <w:szCs w:val="24"/>
                        <w:lang w:eastAsia="lt-LT"/>
                      </w:rPr>
                    </w:pPr>
                    <w:r>
                      <w:rPr>
                        <w:bCs/>
                        <w:i/>
                        <w:szCs w:val="24"/>
                        <w:lang w:eastAsia="lt-LT"/>
                      </w:rPr>
                      <w:t>(imtinai)</w:t>
                    </w:r>
                  </w:p>
                </w:tc>
                <w:tc>
                  <w:tcPr>
                    <w:tcW w:w="1549" w:type="dxa"/>
                    <w:gridSpan w:val="2"/>
                    <w:shd w:val="clear" w:color="auto" w:fill="auto"/>
                    <w:vAlign w:val="center"/>
                    <w:hideMark/>
                  </w:tcPr>
                  <w:p>
                    <w:pPr>
                      <w:jc w:val="center"/>
                      <w:rPr>
                        <w:b/>
                        <w:bCs/>
                        <w:color w:val="000000"/>
                        <w:szCs w:val="24"/>
                        <w:lang w:eastAsia="lt-LT"/>
                      </w:rPr>
                    </w:pPr>
                    <w:r>
                      <w:rPr>
                        <w:b/>
                        <w:bCs/>
                        <w:color w:val="000000"/>
                        <w:szCs w:val="24"/>
                        <w:lang w:eastAsia="lt-LT"/>
                      </w:rPr>
                      <w:t>Vertintojo įvertinimas balais</w:t>
                    </w:r>
                  </w:p>
                </w:tc>
                <w:tc>
                  <w:tcPr>
                    <w:tcW w:w="1706" w:type="dxa"/>
                    <w:gridSpan w:val="2"/>
                  </w:tcPr>
                  <w:p>
                    <w:pPr>
                      <w:jc w:val="center"/>
                      <w:rPr>
                        <w:b/>
                        <w:bCs/>
                        <w:color w:val="000000"/>
                        <w:szCs w:val="24"/>
                        <w:lang w:eastAsia="lt-LT"/>
                      </w:rPr>
                    </w:pPr>
                    <w:r>
                      <w:rPr>
                        <w:b/>
                        <w:bCs/>
                        <w:color w:val="000000"/>
                        <w:szCs w:val="24"/>
                        <w:lang w:eastAsia="lt-LT"/>
                      </w:rPr>
                      <w:t>Skiriamų balų pagrindimas</w:t>
                    </w: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w:t>
                    </w:r>
                  </w:p>
                </w:tc>
                <w:tc>
                  <w:tcPr>
                    <w:tcW w:w="4058" w:type="dxa"/>
                    <w:shd w:val="clear" w:color="auto" w:fill="auto"/>
                    <w:vAlign w:val="center"/>
                  </w:tcPr>
                  <w:p>
                    <w:pPr>
                      <w:jc w:val="both"/>
                      <w:rPr>
                        <w:b/>
                        <w:color w:val="000000"/>
                        <w:szCs w:val="24"/>
                        <w:lang w:eastAsia="lt-LT"/>
                      </w:rPr>
                    </w:pPr>
                    <w:r>
                      <w:rPr>
                        <w:b/>
                        <w:color w:val="000000"/>
                        <w:szCs w:val="24"/>
                        <w:lang w:eastAsia="lt-LT"/>
                      </w:rPr>
                      <w:t>Auditorijos pasiekiamumas ir konsorciumo dydis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1.1.</w:t>
                    </w:r>
                  </w:p>
                </w:tc>
                <w:tc>
                  <w:tcPr>
                    <w:tcW w:w="4058" w:type="dxa"/>
                    <w:shd w:val="clear" w:color="auto" w:fill="auto"/>
                    <w:vAlign w:val="center"/>
                  </w:tcPr>
                  <w:p>
                    <w:pPr>
                      <w:jc w:val="both"/>
                      <w:rPr>
                        <w:b/>
                        <w:color w:val="000000"/>
                        <w:szCs w:val="24"/>
                        <w:lang w:eastAsia="lt-LT"/>
                      </w:rPr>
                    </w:pPr>
                    <w:r>
                      <w:rPr>
                        <w:b/>
                        <w:color w:val="000000"/>
                        <w:szCs w:val="24"/>
                        <w:lang w:eastAsia="lt-LT"/>
                      </w:rPr>
                      <w:t>Internetinės naujienų svetainės, kurių konsorciumą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1.1.1.</w:t>
                    </w:r>
                  </w:p>
                </w:tc>
                <w:tc>
                  <w:tcPr>
                    <w:tcW w:w="4058" w:type="dxa"/>
                    <w:shd w:val="clear" w:color="auto" w:fill="auto"/>
                    <w:vAlign w:val="center"/>
                  </w:tcPr>
                  <w:p>
                    <w:pPr>
                      <w:jc w:val="both"/>
                      <w:rPr>
                        <w:szCs w:val="24"/>
                        <w:lang w:eastAsia="lt-LT"/>
                      </w:rPr>
                    </w:pPr>
                    <w:r>
                      <w:rPr>
                        <w:szCs w:val="24"/>
                        <w:lang w:eastAsia="lt-LT"/>
                      </w:rPr>
                      <w:t xml:space="preserve">ne mažiau kaip 3 naujienų portalai, iš kurių bent vieno  vidutinis dienos realių vartotojų  (angl. </w:t>
                    </w:r>
                    <w:r>
                      <w:rPr>
                        <w:i/>
                        <w:iCs/>
                        <w:szCs w:val="24"/>
                        <w:lang w:eastAsia="lt-LT"/>
                      </w:rPr>
                      <w:t>average Daily Real Users</w:t>
                    </w:r>
                    <w:r>
                      <w:rPr>
                        <w:szCs w:val="24"/>
                        <w:lang w:eastAsia="lt-LT"/>
                      </w:rPr>
                      <w:t>) skaičius ne mažiau kaip 400 000. Šaltinis: www.gemius.lt 2022 m. sausio mėn.)</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1.1.2.</w:t>
                    </w:r>
                  </w:p>
                </w:tc>
                <w:tc>
                  <w:tcPr>
                    <w:tcW w:w="4058" w:type="dxa"/>
                    <w:shd w:val="clear" w:color="auto" w:fill="auto"/>
                    <w:vAlign w:val="center"/>
                  </w:tcPr>
                  <w:p>
                    <w:pPr>
                      <w:jc w:val="both"/>
                      <w:rPr>
                        <w:szCs w:val="24"/>
                        <w:lang w:eastAsia="lt-LT"/>
                      </w:rPr>
                    </w:pPr>
                    <w:r>
                      <w:rPr>
                        <w:rFonts w:eastAsia="Calibri"/>
                        <w:szCs w:val="24"/>
                      </w:rPr>
                      <w:t xml:space="preserve">ne mažiau kaip 2 naujienų portalai, kurių bent vieno vidutinis dienos  realių vartotojų  (angl. </w:t>
                    </w:r>
                    <w:r>
                      <w:rPr>
                        <w:rFonts w:eastAsia="Calibri"/>
                        <w:i/>
                        <w:iCs/>
                        <w:szCs w:val="24"/>
                      </w:rPr>
                      <w:t>average Daily Real Users</w:t>
                    </w:r>
                    <w:r>
                      <w:rPr>
                        <w:rFonts w:eastAsia="Calibri"/>
                        <w:szCs w:val="24"/>
                      </w:rPr>
                      <w:t>) skaičius ne mažiau kaip 200 000. </w:t>
                    </w:r>
                    <w:r>
                      <w:rPr>
                        <w:szCs w:val="24"/>
                        <w:lang w:eastAsia="lt-LT"/>
                      </w:rPr>
                      <w:t>Šaltinis: www.gemius.lt 2022 m. sausio mėn.)</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1.1.3.</w:t>
                    </w:r>
                  </w:p>
                </w:tc>
                <w:tc>
                  <w:tcPr>
                    <w:tcW w:w="4058" w:type="dxa"/>
                    <w:shd w:val="clear" w:color="auto" w:fill="auto"/>
                    <w:vAlign w:val="center"/>
                  </w:tcPr>
                  <w:p>
                    <w:pPr>
                      <w:jc w:val="both"/>
                      <w:rPr>
                        <w:szCs w:val="24"/>
                        <w:lang w:eastAsia="lt-LT"/>
                      </w:rPr>
                    </w:pPr>
                    <w:r>
                      <w:rPr>
                        <w:rFonts w:eastAsia="Calibri"/>
                        <w:szCs w:val="24"/>
                      </w:rPr>
                      <w:t>ne mažiau kaip 2 naujienų portalai,</w:t>
                    </w:r>
                    <w:r>
                      <w:rPr>
                        <w:rFonts w:ascii="Calibri" w:eastAsia="Calibri" w:hAnsi="Calibri"/>
                        <w:sz w:val="22"/>
                        <w:szCs w:val="22"/>
                      </w:rPr>
                      <w:t xml:space="preserve"> </w:t>
                    </w:r>
                    <w:r>
                      <w:rPr>
                        <w:rFonts w:eastAsia="Calibri"/>
                        <w:szCs w:val="24"/>
                      </w:rPr>
                      <w:t>iš kurių</w:t>
                    </w:r>
                    <w:r>
                      <w:rPr>
                        <w:rFonts w:ascii="Calibri" w:eastAsia="Calibri" w:hAnsi="Calibri"/>
                        <w:sz w:val="22"/>
                        <w:szCs w:val="22"/>
                      </w:rPr>
                      <w:t xml:space="preserve"> </w:t>
                    </w:r>
                    <w:r>
                      <w:rPr>
                        <w:rFonts w:eastAsia="Calibri"/>
                        <w:szCs w:val="24"/>
                      </w:rPr>
                      <w:t xml:space="preserve">bent vieno vidutinis dienos  realių vartotojų  (angl. </w:t>
                    </w:r>
                    <w:r>
                      <w:rPr>
                        <w:rFonts w:eastAsia="Calibri"/>
                        <w:i/>
                        <w:iCs/>
                        <w:szCs w:val="24"/>
                      </w:rPr>
                      <w:t>average Daily Real Users</w:t>
                    </w:r>
                    <w:r>
                      <w:rPr>
                        <w:rFonts w:eastAsia="Calibri"/>
                        <w:szCs w:val="24"/>
                      </w:rPr>
                      <w:t>) skaičius  ne mažiau kaip 150 000. </w:t>
                    </w:r>
                    <w:r>
                      <w:rPr>
                        <w:szCs w:val="24"/>
                        <w:lang w:eastAsia="lt-LT"/>
                      </w:rPr>
                      <w:t>Šaltinis: www.gemius.lt 2022 m. sausio mėn.)</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1.1.4.</w:t>
                    </w:r>
                  </w:p>
                </w:tc>
                <w:tc>
                  <w:tcPr>
                    <w:tcW w:w="4058" w:type="dxa"/>
                    <w:shd w:val="clear" w:color="auto" w:fill="auto"/>
                    <w:vAlign w:val="center"/>
                  </w:tcPr>
                  <w:p>
                    <w:pPr>
                      <w:jc w:val="both"/>
                      <w:rPr>
                        <w:rFonts w:eastAsia="Calibri"/>
                        <w:szCs w:val="24"/>
                      </w:rPr>
                    </w:pPr>
                    <w:r>
                      <w:rPr>
                        <w:rFonts w:eastAsia="Calibri"/>
                        <w:szCs w:val="24"/>
                      </w:rPr>
                      <w:t>mažiau kaip 2 naujienų portalai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1.2.</w:t>
                    </w:r>
                  </w:p>
                </w:tc>
                <w:tc>
                  <w:tcPr>
                    <w:tcW w:w="4058" w:type="dxa"/>
                    <w:shd w:val="clear" w:color="auto" w:fill="auto"/>
                    <w:vAlign w:val="center"/>
                  </w:tcPr>
                  <w:p>
                    <w:pPr>
                      <w:jc w:val="both"/>
                      <w:rPr>
                        <w:b/>
                        <w:szCs w:val="24"/>
                        <w:lang w:eastAsia="lt-LT"/>
                      </w:rPr>
                    </w:pPr>
                    <w:r>
                      <w:rPr>
                        <w:b/>
                        <w:szCs w:val="24"/>
                        <w:lang w:eastAsia="lt-LT"/>
                      </w:rPr>
                      <w:t>Nacionalinės televizijos programų konsorciumas, kurį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1.2.1</w:t>
                    </w:r>
                  </w:p>
                </w:tc>
                <w:tc>
                  <w:tcPr>
                    <w:tcW w:w="4058" w:type="dxa"/>
                    <w:shd w:val="clear" w:color="auto" w:fill="auto"/>
                    <w:vAlign w:val="center"/>
                  </w:tcPr>
                  <w:p>
                    <w:pPr>
                      <w:jc w:val="both"/>
                      <w:rPr>
                        <w:szCs w:val="24"/>
                        <w:lang w:eastAsia="lt-LT"/>
                      </w:rPr>
                    </w:pPr>
                    <w:r>
                      <w:rPr>
                        <w:szCs w:val="24"/>
                        <w:lang w:eastAsia="lt-LT"/>
                      </w:rPr>
                      <w:t xml:space="preserve">ne mažiau kaip 4 nacionalinės televizijos programos </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1.2.2.</w:t>
                    </w:r>
                  </w:p>
                </w:tc>
                <w:tc>
                  <w:tcPr>
                    <w:tcW w:w="4058" w:type="dxa"/>
                    <w:tcBorders>
                      <w:bottom w:val="single" w:sz="4" w:space="0" w:color="auto"/>
                    </w:tcBorders>
                    <w:shd w:val="clear" w:color="auto" w:fill="auto"/>
                    <w:vAlign w:val="center"/>
                  </w:tcPr>
                  <w:p>
                    <w:pPr>
                      <w:jc w:val="both"/>
                      <w:rPr>
                        <w:szCs w:val="24"/>
                        <w:lang w:eastAsia="lt-LT"/>
                      </w:rPr>
                    </w:pPr>
                    <w:r>
                      <w:rPr>
                        <w:szCs w:val="24"/>
                        <w:lang w:eastAsia="lt-LT"/>
                      </w:rPr>
                      <w:t>ne mažiau kaip 3 nacionalinės televizijos programos</w:t>
                    </w:r>
                  </w:p>
                </w:tc>
                <w:tc>
                  <w:tcPr>
                    <w:tcW w:w="1628" w:type="dxa"/>
                    <w:tcBorders>
                      <w:bottom w:val="single" w:sz="4" w:space="0" w:color="auto"/>
                    </w:tcBorders>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1.2.3.</w:t>
                    </w:r>
                  </w:p>
                </w:tc>
                <w:tc>
                  <w:tcPr>
                    <w:tcW w:w="4058" w:type="dxa"/>
                    <w:shd w:val="clear" w:color="auto" w:fill="auto"/>
                    <w:vAlign w:val="center"/>
                  </w:tcPr>
                  <w:p>
                    <w:pPr>
                      <w:jc w:val="both"/>
                      <w:rPr>
                        <w:szCs w:val="24"/>
                        <w:lang w:eastAsia="lt-LT"/>
                      </w:rPr>
                    </w:pPr>
                    <w:r>
                      <w:rPr>
                        <w:szCs w:val="24"/>
                        <w:lang w:eastAsia="lt-LT"/>
                      </w:rPr>
                      <w:t>ne mažiau kaip 2 nacionalinės televizijos programos</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1.2.4.</w:t>
                    </w:r>
                  </w:p>
                </w:tc>
                <w:tc>
                  <w:tcPr>
                    <w:tcW w:w="4058" w:type="dxa"/>
                    <w:shd w:val="clear" w:color="auto" w:fill="auto"/>
                    <w:vAlign w:val="center"/>
                  </w:tcPr>
                  <w:p>
                    <w:pPr>
                      <w:jc w:val="both"/>
                      <w:rPr>
                        <w:szCs w:val="24"/>
                        <w:lang w:eastAsia="lt-LT"/>
                      </w:rPr>
                    </w:pPr>
                    <w:r>
                      <w:rPr>
                        <w:szCs w:val="24"/>
                        <w:lang w:eastAsia="lt-LT"/>
                      </w:rPr>
                      <w:t xml:space="preserve">mažiau kaip 2 nacionalinės televizijos programos  </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b/>
                        <w:szCs w:val="24"/>
                        <w:lang w:eastAsia="lt-LT"/>
                      </w:rPr>
                    </w:pPr>
                    <w:r>
                      <w:rPr>
                        <w:b/>
                        <w:szCs w:val="24"/>
                        <w:lang w:eastAsia="lt-LT"/>
                      </w:rPr>
                      <w:t>1.3.</w:t>
                    </w:r>
                  </w:p>
                </w:tc>
                <w:tc>
                  <w:tcPr>
                    <w:tcW w:w="4058" w:type="dxa"/>
                    <w:shd w:val="clear" w:color="auto" w:fill="auto"/>
                    <w:vAlign w:val="center"/>
                  </w:tcPr>
                  <w:p>
                    <w:pPr>
                      <w:jc w:val="both"/>
                      <w:rPr>
                        <w:b/>
                        <w:szCs w:val="24"/>
                        <w:lang w:eastAsia="lt-LT"/>
                      </w:rPr>
                    </w:pPr>
                    <w:r>
                      <w:rPr>
                        <w:b/>
                        <w:szCs w:val="24"/>
                        <w:lang w:eastAsia="lt-LT"/>
                      </w:rPr>
                      <w:t>Lauko reklamos konsorciumas, kurį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1842"/>
                  <w:jc w:val="center"/>
                </w:trPr>
                <w:tc>
                  <w:tcPr>
                    <w:tcW w:w="1012" w:type="dxa"/>
                    <w:shd w:val="clear" w:color="auto" w:fill="auto"/>
                    <w:noWrap/>
                    <w:vAlign w:val="center"/>
                  </w:tcPr>
                  <w:p>
                    <w:pPr>
                      <w:jc w:val="both"/>
                      <w:rPr>
                        <w:szCs w:val="24"/>
                      </w:rPr>
                    </w:pPr>
                    <w:r>
                      <w:rPr>
                        <w:szCs w:val="24"/>
                      </w:rPr>
                      <w:t>1.3.1.</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szCs w:val="24"/>
                      </w:rPr>
                    </w:pPr>
                    <w:r>
                      <w:rPr>
                        <w:szCs w:val="24"/>
                      </w:rPr>
                      <w:t xml:space="preserve">tiekėjai, kurie lauko reklamos paslaugas teikia  ne mažiau kaip 7 savivaldybėse (apimančiose bent 2 iš 7 didžiausių Lietuvos miestų), turi bent 2 skirtingų formatų išorinės reklamos įrenginius (įskaitant didžiojo ir mažojo formato įrenginius), kurių ne mažiau kaip 80 proc.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1.3.2.</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rFonts w:ascii="Calibri" w:hAnsi="Calibri"/>
                        <w:szCs w:val="24"/>
                      </w:rPr>
                    </w:pPr>
                    <w:r>
                      <w:rPr>
                        <w:szCs w:val="24"/>
                      </w:rPr>
                      <w:t xml:space="preserve">tiekėjai, kurie lauko reklamos paslaugas teikia  ne mažiau kaip 5 savivaldybėse (apimančiose bent 2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948"/>
                  <w:jc w:val="center"/>
                </w:trPr>
                <w:tc>
                  <w:tcPr>
                    <w:tcW w:w="1012" w:type="dxa"/>
                    <w:shd w:val="clear" w:color="auto" w:fill="auto"/>
                    <w:noWrap/>
                    <w:vAlign w:val="center"/>
                  </w:tcPr>
                  <w:p>
                    <w:pPr>
                      <w:jc w:val="both"/>
                      <w:rPr>
                        <w:szCs w:val="24"/>
                        <w:lang w:eastAsia="lt-LT"/>
                      </w:rPr>
                    </w:pPr>
                    <w:r>
                      <w:rPr>
                        <w:szCs w:val="24"/>
                        <w:lang w:eastAsia="lt-LT"/>
                      </w:rPr>
                      <w:t>1.3.3.</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rFonts w:ascii="Calibri" w:hAnsi="Calibri"/>
                        <w:szCs w:val="24"/>
                      </w:rPr>
                    </w:pPr>
                    <w:r>
                      <w:rPr>
                        <w:szCs w:val="24"/>
                      </w:rPr>
                      <w:t xml:space="preserve">tiekėjai, kurie lauko reklamos paslaugas teikia  ne mažiau kaip 3 savivaldybėse (apimančiose bent </w:t>
                    </w:r>
                    <w:r>
                      <w:rPr>
                        <w:szCs w:val="24"/>
                        <w:lang w:val="en-US"/>
                      </w:rPr>
                      <w:t>1 i</w:t>
                    </w:r>
                    <w:r>
                      <w:rPr>
                        <w:szCs w:val="24"/>
                      </w:rPr>
                      <w:t xml:space="preserve">š </w:t>
                    </w:r>
                    <w:r>
                      <w:rPr>
                        <w:szCs w:val="24"/>
                        <w:lang w:val="en-US"/>
                      </w:rPr>
                      <w:t>10 did</w:t>
                    </w:r>
                    <w:r>
                      <w:rPr>
                        <w:szCs w:val="24"/>
                      </w:rPr>
                      <w:t>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val="en-US" w:eastAsia="lt-LT"/>
                      </w:rPr>
                    </w:pPr>
                    <w:r>
                      <w:rPr>
                        <w:b/>
                        <w:szCs w:val="24"/>
                        <w:lang w:val="en-US"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948"/>
                  <w:jc w:val="center"/>
                </w:trPr>
                <w:tc>
                  <w:tcPr>
                    <w:tcW w:w="1012" w:type="dxa"/>
                    <w:shd w:val="clear" w:color="auto" w:fill="auto"/>
                    <w:noWrap/>
                    <w:vAlign w:val="center"/>
                  </w:tcPr>
                  <w:p>
                    <w:pPr>
                      <w:jc w:val="both"/>
                      <w:rPr>
                        <w:szCs w:val="24"/>
                        <w:lang w:eastAsia="lt-LT"/>
                      </w:rPr>
                    </w:pPr>
                    <w:r>
                      <w:rPr>
                        <w:szCs w:val="24"/>
                        <w:lang w:eastAsia="lt-LT"/>
                      </w:rPr>
                      <w:t>1.3.4.</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szCs w:val="24"/>
                      </w:rPr>
                    </w:pPr>
                    <w:r>
                      <w:rPr>
                        <w:szCs w:val="24"/>
                      </w:rPr>
                      <w:t xml:space="preserve">tiekėjai, kurie lauko reklamos paslaugas teikia  mažiau kaip 3 savivaldybėse </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szCs w:val="24"/>
                        <w:lang w:eastAsia="lt-LT"/>
                      </w:rPr>
                    </w:pPr>
                    <w:r>
                      <w:rPr>
                        <w:b/>
                        <w:szCs w:val="24"/>
                        <w:lang w:eastAsia="lt-LT"/>
                      </w:rPr>
                      <w:t>1.4.</w:t>
                    </w:r>
                  </w:p>
                </w:tc>
                <w:tc>
                  <w:tcPr>
                    <w:tcW w:w="4058" w:type="dxa"/>
                    <w:shd w:val="clear" w:color="auto" w:fill="auto"/>
                    <w:vAlign w:val="center"/>
                  </w:tcPr>
                  <w:p>
                    <w:pPr>
                      <w:jc w:val="both"/>
                      <w:rPr>
                        <w:b/>
                        <w:szCs w:val="24"/>
                        <w:lang w:eastAsia="lt-LT"/>
                      </w:rPr>
                    </w:pPr>
                    <w:r>
                      <w:rPr>
                        <w:b/>
                        <w:szCs w:val="24"/>
                        <w:lang w:eastAsia="lt-LT"/>
                      </w:rPr>
                      <w:t>Informacijos sklaida per komunikaciją socialiniuose tinkluose (</w:t>
                    </w:r>
                    <w:r>
                      <w:rPr>
                        <w:b/>
                        <w:i/>
                        <w:iCs/>
                        <w:szCs w:val="24"/>
                        <w:lang w:eastAsia="lt-LT"/>
                      </w:rPr>
                      <w:t>Facebook, Instagram, Youtube, Tik tok, WhatsApp, Pinterest</w:t>
                    </w:r>
                    <w:r>
                      <w:rPr>
                        <w:b/>
                        <w:szCs w:val="24"/>
                        <w:lang w:eastAsia="lt-LT"/>
                      </w:rPr>
                      <w:t xml:space="preserve"> ir kt) </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1.4.1.</w:t>
                    </w:r>
                  </w:p>
                </w:tc>
                <w:tc>
                  <w:tcPr>
                    <w:tcW w:w="4058" w:type="dxa"/>
                    <w:shd w:val="clear" w:color="auto" w:fill="auto"/>
                    <w:vAlign w:val="center"/>
                  </w:tcPr>
                  <w:p>
                    <w:pPr>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daugiau nei 1,5 mlrd. aktyvių vartotojų (šaltinis www.statista.com, 2022 m. sausio mėn. duomenys));</w:t>
                    </w:r>
                  </w:p>
                  <w:p>
                    <w:pPr>
                      <w:jc w:val="both"/>
                      <w:rPr>
                        <w:szCs w:val="24"/>
                        <w:lang w:eastAsia="lt-LT"/>
                      </w:rPr>
                    </w:pPr>
                    <w:r>
                      <w:rPr>
                        <w:szCs w:val="24"/>
                        <w:lang w:eastAsia="lt-LT"/>
                      </w:rPr>
                      <w:t>b) informacijos sklaida ne mažiau kaip dviejuose kituose socialiniuose tinkluose turinčiuose daugiau kaip 1 mlrd. aktyvių vartotojų (šaltinis www.statista.com, 2022 m. sausio mėn. duomenys));</w:t>
                    </w:r>
                  </w:p>
                  <w:p>
                    <w:pPr>
                      <w:jc w:val="both"/>
                      <w:rPr>
                        <w:szCs w:val="24"/>
                        <w:lang w:eastAsia="lt-LT"/>
                      </w:rPr>
                    </w:pPr>
                    <w:r>
                      <w:rPr>
                        <w:szCs w:val="24"/>
                        <w:lang w:eastAsia="lt-LT"/>
                      </w:rPr>
                      <w:t xml:space="preserve">c) informacijos sklaida per ne mažiau kaip 3 esamus socialinių tinklų naudotojus, turinčius ne mažiau nei 50 000 sekėjų; </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highlight w:val="yellow"/>
                        <w:lang w:eastAsia="lt-LT"/>
                      </w:rPr>
                    </w:pPr>
                    <w:r>
                      <w:rPr>
                        <w:szCs w:val="24"/>
                        <w:lang w:eastAsia="lt-LT"/>
                      </w:rPr>
                      <w:t>1.4.2.</w:t>
                    </w:r>
                  </w:p>
                </w:tc>
                <w:tc>
                  <w:tcPr>
                    <w:tcW w:w="4058" w:type="dxa"/>
                    <w:shd w:val="clear" w:color="auto" w:fill="auto"/>
                    <w:vAlign w:val="center"/>
                  </w:tcPr>
                  <w:p>
                    <w:pPr>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daugiau nei 1,5 mlrd. aktyvių vartotojų (šaltinis www.statista.com, 2022 m. sausio mėn. duomenys));</w:t>
                    </w:r>
                  </w:p>
                  <w:p>
                    <w:pPr>
                      <w:jc w:val="both"/>
                      <w:rPr>
                        <w:szCs w:val="24"/>
                        <w:lang w:eastAsia="lt-LT"/>
                      </w:rPr>
                    </w:pPr>
                    <w:r>
                      <w:rPr>
                        <w:szCs w:val="24"/>
                        <w:lang w:eastAsia="lt-LT"/>
                      </w:rPr>
                      <w:t>b) informacijos sklaida kitame socialiniame tinkle, turinčiame daugiau kaip 1 mlrd. aktyvių vartotojų (šaltinis www.statista.com, 2022 m. sausio mėn. duomenys));</w:t>
                    </w:r>
                  </w:p>
                  <w:p>
                    <w:pPr>
                      <w:jc w:val="both"/>
                      <w:rPr>
                        <w:szCs w:val="24"/>
                        <w:highlight w:val="yellow"/>
                        <w:lang w:eastAsia="lt-LT"/>
                      </w:rPr>
                    </w:pPr>
                    <w:r>
                      <w:rPr>
                        <w:szCs w:val="24"/>
                        <w:lang w:eastAsia="lt-LT"/>
                      </w:rPr>
                      <w:t xml:space="preserve">c) informacijos sklaida per ne mažiau kaip 2  socialinius  tinklus, turinčius ne mažiau nei 40 000 sekėjų </w:t>
                    </w:r>
                  </w:p>
                </w:tc>
                <w:tc>
                  <w:tcPr>
                    <w:tcW w:w="1628" w:type="dxa"/>
                    <w:shd w:val="clear" w:color="auto" w:fill="auto"/>
                    <w:vAlign w:val="center"/>
                  </w:tcPr>
                  <w:p>
                    <w:pPr>
                      <w:jc w:val="center"/>
                      <w:rPr>
                        <w:b/>
                        <w:szCs w:val="24"/>
                        <w:highlight w:val="yellow"/>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1.4.3.</w:t>
                    </w:r>
                  </w:p>
                </w:tc>
                <w:tc>
                  <w:tcPr>
                    <w:tcW w:w="4058" w:type="dxa"/>
                    <w:shd w:val="clear" w:color="auto" w:fill="auto"/>
                    <w:vAlign w:val="center"/>
                  </w:tcPr>
                  <w:p>
                    <w:pPr>
                      <w:jc w:val="both"/>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daugiau nei 1 mlrd. aktyvių vartotojų (šaltinis www.statista.com, 2022 m. sausio mėn. duomenys));</w:t>
                    </w:r>
                  </w:p>
                  <w:p>
                    <w:pPr>
                      <w:jc w:val="both"/>
                      <w:rPr>
                        <w:szCs w:val="24"/>
                        <w:lang w:eastAsia="lt-LT"/>
                      </w:rPr>
                    </w:pPr>
                    <w:r>
                      <w:rPr>
                        <w:szCs w:val="24"/>
                        <w:lang w:eastAsia="lt-LT"/>
                      </w:rPr>
                      <w:t xml:space="preserve">b) informacijos sklaida per 1 socialinį tinklą, turintį ne mažiau nei 20 000 sekėjų </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1.4.4.</w:t>
                    </w:r>
                  </w:p>
                </w:tc>
                <w:tc>
                  <w:tcPr>
                    <w:tcW w:w="4058" w:type="dxa"/>
                    <w:shd w:val="clear" w:color="auto" w:fill="auto"/>
                    <w:vAlign w:val="center"/>
                  </w:tcPr>
                  <w:p>
                    <w:pPr>
                      <w:jc w:val="both"/>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mažiau nei 1 mlrd. aktyvių vartotojų (šaltinis www.statista.com, 2022 m. sausio mėn. duomenys));</w:t>
                    </w:r>
                  </w:p>
                  <w:p>
                    <w:pPr>
                      <w:jc w:val="both"/>
                      <w:rPr>
                        <w:szCs w:val="24"/>
                        <w:lang w:eastAsia="lt-LT"/>
                      </w:rPr>
                    </w:pPr>
                    <w:r>
                      <w:rPr>
                        <w:szCs w:val="24"/>
                        <w:lang w:eastAsia="lt-LT"/>
                      </w:rPr>
                      <w:t xml:space="preserve">b) informacijos sklaida per 1 socialinį  tinklą, turintį mažiau nei 20 000 sekėjų </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2.</w:t>
                    </w:r>
                  </w:p>
                </w:tc>
                <w:tc>
                  <w:tcPr>
                    <w:tcW w:w="4058" w:type="dxa"/>
                    <w:shd w:val="clear" w:color="auto" w:fill="auto"/>
                    <w:vAlign w:val="center"/>
                  </w:tcPr>
                  <w:p>
                    <w:pPr>
                      <w:jc w:val="both"/>
                      <w:rPr>
                        <w:b/>
                        <w:color w:val="000000"/>
                        <w:szCs w:val="24"/>
                        <w:lang w:eastAsia="lt-LT"/>
                      </w:rPr>
                    </w:pPr>
                    <w:r>
                      <w:rPr>
                        <w:b/>
                        <w:color w:val="000000"/>
                        <w:szCs w:val="24"/>
                        <w:lang w:eastAsia="lt-LT"/>
                      </w:rPr>
                      <w:t xml:space="preserve">Pateiktos Psichikos sveikatos puoselėjimo komunikacijos kampanijos modelio aiškumas, atitiktis kvietime nurodytiems specialiesiems  reikalavimams ir prekės ženklo bei vizualinio identiteto gairėms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2.1.</w:t>
                    </w:r>
                  </w:p>
                </w:tc>
                <w:tc>
                  <w:tcPr>
                    <w:tcW w:w="4058" w:type="dxa"/>
                    <w:shd w:val="clear" w:color="auto" w:fill="auto"/>
                    <w:vAlign w:val="center"/>
                  </w:tcPr>
                  <w:p>
                    <w:pPr>
                      <w:jc w:val="both"/>
                      <w:rPr>
                        <w:color w:val="000000"/>
                        <w:szCs w:val="24"/>
                        <w:lang w:eastAsia="lt-LT"/>
                      </w:rPr>
                    </w:pPr>
                    <w:r>
                      <w:rPr>
                        <w:color w:val="000000"/>
                        <w:szCs w:val="24"/>
                        <w:lang w:eastAsia="lt-LT"/>
                      </w:rPr>
                      <w:t>Paraiška atitinka visus Psichikos sveikatos puoselėjimo komunikacijos kampanijai keliamus specialiuosius reikalavimus. Paraiškoje pateikiamas detalus aprašymas ir paaiškinimas, kaip bus įgyvendinami specialieji reikalavimai.</w:t>
                    </w:r>
                  </w:p>
                  <w:p>
                    <w:pPr>
                      <w:jc w:val="both"/>
                      <w:rPr>
                        <w:color w:val="000000"/>
                        <w:szCs w:val="24"/>
                        <w:lang w:eastAsia="lt-LT"/>
                      </w:rPr>
                    </w:pPr>
                    <w:r>
                      <w:rPr>
                        <w:color w:val="000000"/>
                        <w:szCs w:val="24"/>
                        <w:lang w:eastAsia="lt-LT"/>
                      </w:rPr>
                      <w:t>Paraiškoje įvardytos tikslinės grupės, tikslas ir uždaviniai, siektini rezultatai, pateikiamas detalus veiksmų planas.</w:t>
                    </w:r>
                  </w:p>
                  <w:p>
                    <w:pPr>
                      <w:jc w:val="both"/>
                      <w:rPr>
                        <w:color w:val="000000"/>
                        <w:szCs w:val="24"/>
                        <w:lang w:eastAsia="lt-LT"/>
                      </w:rPr>
                    </w:pPr>
                    <w:r>
                      <w:rPr>
                        <w:color w:val="000000"/>
                        <w:szCs w:val="24"/>
                        <w:lang w:eastAsia="lt-LT"/>
                      </w:rPr>
                      <w:t>Psichikos sveikatos puoselėjimo komunikacijos kampanijos įgyvendinimo veiksmų planas nuoseklus, konkretus, logiškas, įgyvendinamas, komunikacijos priemonės yra vientisos, papildančios viena kitą.</w:t>
                    </w:r>
                  </w:p>
                  <w:p>
                    <w:pPr>
                      <w:jc w:val="both"/>
                      <w:rPr>
                        <w:color w:val="000000"/>
                        <w:szCs w:val="24"/>
                        <w:lang w:eastAsia="lt-LT"/>
                      </w:rPr>
                    </w:pPr>
                    <w:r>
                      <w:rPr>
                        <w:color w:val="000000"/>
                        <w:szCs w:val="24"/>
                        <w:lang w:eastAsia="lt-LT"/>
                      </w:rPr>
                      <w:t>Psichikos sveikatos puoselėjimo komunikacijos kampanijos siūlomos priemonės / kūrybiniai sprendimai pasižymi vientisumu, papildo vienas kitą ir yra pagrįsti „Tu Esi“, „Pagalba sau“ ir (ar) ilgalaikės psichikos sveikatos raštingumo programos prekės ženklo ir vizualinio identiteto gairėmis. Tiekėjas</w:t>
                    </w:r>
                    <w:r>
                      <w:t xml:space="preserve"> </w:t>
                    </w:r>
                    <w:r>
                      <w:rPr>
                        <w:color w:val="000000"/>
                        <w:szCs w:val="24"/>
                        <w:lang w:eastAsia="lt-LT"/>
                      </w:rPr>
                      <w:t>Psichikos sveikatos puoselėjimo komunikacijos kampanijoje nenaudoja atskiro prekės ženklo, vizualinio identiteto ar šūkio.</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2.2.</w:t>
                    </w:r>
                  </w:p>
                </w:tc>
                <w:tc>
                  <w:tcPr>
                    <w:tcW w:w="4058" w:type="dxa"/>
                    <w:shd w:val="clear" w:color="auto" w:fill="auto"/>
                    <w:vAlign w:val="center"/>
                  </w:tcPr>
                  <w:p>
                    <w:pPr>
                      <w:jc w:val="both"/>
                      <w:rPr>
                        <w:color w:val="000000"/>
                        <w:szCs w:val="24"/>
                        <w:lang w:eastAsia="lt-LT"/>
                      </w:rPr>
                    </w:pPr>
                    <w:r>
                      <w:rPr>
                        <w:color w:val="000000"/>
                        <w:szCs w:val="24"/>
                        <w:lang w:eastAsia="lt-LT"/>
                      </w:rPr>
                      <w:t>Paraiška atitinka didžiąją dalį Psichikos sveikatos puoselėjimo komunikacijos kampanijai keliamų specialiųjų reikalavimų. Paraiškoje pateikiamas detalus aprašymas ir paaiškinimas, kaip bus įgyvendinama didžioji dalis specialiųjų reikalavimų.</w:t>
                    </w:r>
                  </w:p>
                  <w:p>
                    <w:pPr>
                      <w:jc w:val="both"/>
                      <w:rPr>
                        <w:color w:val="000000"/>
                        <w:szCs w:val="24"/>
                        <w:lang w:eastAsia="lt-LT"/>
                      </w:rPr>
                    </w:pPr>
                    <w:r>
                      <w:rPr>
                        <w:color w:val="000000"/>
                        <w:szCs w:val="24"/>
                        <w:lang w:eastAsia="lt-LT"/>
                      </w:rPr>
                      <w:t>Paraiškoje įvardytos tikslinės grupės, tikslas ir uždaviniai, siektini rezultatai, pateikiamas detalus veiksmų planas.</w:t>
                    </w:r>
                  </w:p>
                  <w:p>
                    <w:pPr>
                      <w:jc w:val="both"/>
                      <w:rPr>
                        <w:color w:val="000000"/>
                        <w:szCs w:val="24"/>
                        <w:lang w:eastAsia="lt-LT"/>
                      </w:rPr>
                    </w:pPr>
                    <w:r>
                      <w:rPr>
                        <w:color w:val="000000"/>
                        <w:szCs w:val="24"/>
                        <w:lang w:eastAsia="lt-LT"/>
                      </w:rPr>
                      <w:t>Psichikos sveikatos puoselėjimo komunikacijos kampanijos įgyvendinimo veiksmų planas nuoseklus, konkretus, logiškas, įgyvendinamas, komunikacijos priemonės yra vientisos, papildančios viena kitą.</w:t>
                    </w:r>
                  </w:p>
                  <w:p>
                    <w:pPr>
                      <w:jc w:val="both"/>
                      <w:rPr>
                        <w:color w:val="000000"/>
                        <w:szCs w:val="24"/>
                        <w:lang w:eastAsia="lt-LT"/>
                      </w:rPr>
                    </w:pPr>
                    <w:r>
                      <w:rPr>
                        <w:color w:val="000000"/>
                        <w:szCs w:val="24"/>
                        <w:lang w:eastAsia="lt-LT"/>
                      </w:rPr>
                      <w:t xml:space="preserve">Psichikos sveikatos puoselėjimo komunikacijos kampanijos siūlomos priemonės / kūrybiniai sprendimai pasižymi vientisumu, papildo vienas kitą, tačiau tik iš dalies pagrįsti „Tu Esi“, „Pagalba sau“ ir (ar) ilgalaikės psichikos sveikatos raštingumo programos prekės ženklo ir vizualinio identiteto gairėmis. </w:t>
                    </w:r>
                  </w:p>
                  <w:p>
                    <w:pPr>
                      <w:jc w:val="both"/>
                      <w:rPr>
                        <w:color w:val="000000"/>
                        <w:szCs w:val="24"/>
                        <w:lang w:eastAsia="lt-LT"/>
                      </w:rPr>
                    </w:pPr>
                    <w:r>
                      <w:rPr>
                        <w:color w:val="000000"/>
                        <w:szCs w:val="24"/>
                        <w:lang w:eastAsia="lt-LT"/>
                      </w:rPr>
                      <w:t>Tiekėjas Psichikos sveikatos puoselėjimo komunikacijos kampanijoje nenaudoja atskiro prekės ženklo, vizualinio identiteto ar šūkio.</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2.3.</w:t>
                    </w:r>
                  </w:p>
                </w:tc>
                <w:tc>
                  <w:tcPr>
                    <w:tcW w:w="4058" w:type="dxa"/>
                    <w:shd w:val="clear" w:color="auto" w:fill="auto"/>
                    <w:vAlign w:val="center"/>
                  </w:tcPr>
                  <w:p>
                    <w:pPr>
                      <w:jc w:val="both"/>
                      <w:rPr>
                        <w:color w:val="000000"/>
                        <w:szCs w:val="24"/>
                        <w:lang w:eastAsia="lt-LT"/>
                      </w:rPr>
                    </w:pPr>
                    <w:r>
                      <w:rPr>
                        <w:color w:val="000000"/>
                        <w:szCs w:val="24"/>
                        <w:lang w:eastAsia="lt-LT"/>
                      </w:rPr>
                      <w:t>Paraiška atitinka tik vieną Psichikos sveikatos puoselėjimo komunikacijos kampanijai keliamų specialiųjų reikalavimų. Paraiškoje paaiškinama ir aprašoma kaip bus įgyvendinamas tik vienas iš keleto Psichikos sveikatos puoselėjimo komunikacijos kampanijai suformuluotų specialiųjų reikalavimų bei kaip bus užtikrinama projekto kokybė.</w:t>
                    </w:r>
                  </w:p>
                  <w:p>
                    <w:pPr>
                      <w:jc w:val="both"/>
                      <w:rPr>
                        <w:color w:val="000000"/>
                        <w:szCs w:val="24"/>
                        <w:lang w:eastAsia="lt-LT"/>
                      </w:rPr>
                    </w:pPr>
                    <w:r>
                      <w:rPr>
                        <w:color w:val="000000"/>
                        <w:szCs w:val="24"/>
                        <w:lang w:eastAsia="lt-LT"/>
                      </w:rPr>
                      <w:t xml:space="preserve">Paraiškoje įvardytos tikslinės grupės, tikslas ir uždaviniai, siektini rezultatai, tačiau pateiktas Psichikos sveikatos puoselėjimo komunikacijos kampanijos įgyvendinimo veiksmų planas nėra nuoseklus, konkretus, siūlomos priemonės nėra vientisos,  papildančios viena kitą.</w:t>
                    </w:r>
                  </w:p>
                  <w:p>
                    <w:pPr>
                      <w:jc w:val="both"/>
                      <w:rPr>
                        <w:color w:val="000000"/>
                        <w:szCs w:val="24"/>
                        <w:lang w:eastAsia="lt-LT"/>
                      </w:rPr>
                    </w:pPr>
                    <w:r>
                      <w:rPr>
                        <w:color w:val="000000"/>
                        <w:szCs w:val="24"/>
                        <w:lang w:eastAsia="lt-LT"/>
                      </w:rPr>
                      <w:t xml:space="preserve">Tiekėjas Psichikos sveikatos puoselėjimo komunikacijos kampanijoje nenaudoja atskiro prekės ženklo, vizualinio identiteto ar šūkio, o remiasi „Tu Esi“, „Pagalba sau“ ir (ar) naujo ilgalaikės psichikos sveikatos raštingumo programos prekės ženklais, tačiau šie ženklai ir vizualiniai identitetai nesusieti su Psichikos sveikatos puoselėjimo komunikacijos kampanijos temomis. </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2.4.</w:t>
                    </w:r>
                  </w:p>
                </w:tc>
                <w:tc>
                  <w:tcPr>
                    <w:tcW w:w="4058" w:type="dxa"/>
                    <w:shd w:val="clear" w:color="auto" w:fill="auto"/>
                    <w:vAlign w:val="center"/>
                  </w:tcPr>
                  <w:p>
                    <w:pPr>
                      <w:jc w:val="both"/>
                      <w:rPr>
                        <w:color w:val="000000"/>
                        <w:szCs w:val="24"/>
                        <w:lang w:eastAsia="lt-LT"/>
                      </w:rPr>
                    </w:pPr>
                    <w:r>
                      <w:rPr>
                        <w:color w:val="000000"/>
                        <w:szCs w:val="24"/>
                        <w:lang w:eastAsia="lt-LT"/>
                      </w:rPr>
                      <w:t xml:space="preserve">Paraiška neatitinka nei vieno  Psichikos sveikatos puoselėjimo komunikacijos kampanijai keliamų specialiųjų reikalavimų. </w:t>
                    </w:r>
                  </w:p>
                  <w:p>
                    <w:pPr>
                      <w:jc w:val="both"/>
                      <w:rPr>
                        <w:color w:val="000000"/>
                        <w:szCs w:val="24"/>
                        <w:lang w:eastAsia="lt-LT"/>
                      </w:rPr>
                    </w:pPr>
                    <w:r>
                      <w:rPr>
                        <w:color w:val="000000"/>
                        <w:szCs w:val="24"/>
                        <w:lang w:eastAsia="lt-LT"/>
                      </w:rPr>
                      <w:t xml:space="preserve">Paraiškoje neįvardytos tikslinės grupės, tikslas ir uždaviniai, siektini rezultatai, pateiktas Psichikos sveikatos puoselėjimo komunikacijos kampanijos įgyvendinimo veiksmų planas nėra nuoseklus, konkretus, siūlomos priemonės nėra vientisos,  tarpusavyje susijusios, papildančios viena kitą. </w:t>
                    </w:r>
                  </w:p>
                  <w:p>
                    <w:pPr>
                      <w:jc w:val="both"/>
                      <w:rPr>
                        <w:color w:val="000000"/>
                        <w:szCs w:val="24"/>
                        <w:lang w:eastAsia="lt-LT"/>
                      </w:rPr>
                    </w:pPr>
                    <w:r>
                      <w:rPr>
                        <w:color w:val="000000"/>
                        <w:szCs w:val="24"/>
                        <w:lang w:eastAsia="lt-LT"/>
                      </w:rPr>
                      <w:t xml:space="preserve">Tiekėjas Psichikos sveikatos puoselėjimo komunikacijos kampanijoje naudoja atskirą prekės ženklą, vizualinį identitetą ar šūkį, nesiremia „Tu Esi“ bei „Pagalba sau“ ir (ar) naujo ilgalaikės psichikos sveikatos raštingumo programos prekės ženklais. </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3.</w:t>
                    </w:r>
                  </w:p>
                </w:tc>
                <w:tc>
                  <w:tcPr>
                    <w:tcW w:w="4058" w:type="dxa"/>
                    <w:shd w:val="clear" w:color="auto" w:fill="auto"/>
                    <w:vAlign w:val="center"/>
                  </w:tcPr>
                  <w:p>
                    <w:pPr>
                      <w:jc w:val="both"/>
                      <w:rPr>
                        <w:b/>
                        <w:color w:val="000000"/>
                        <w:szCs w:val="24"/>
                        <w:lang w:eastAsia="lt-LT"/>
                      </w:rPr>
                    </w:pPr>
                    <w:r>
                      <w:rPr>
                        <w:b/>
                        <w:color w:val="000000"/>
                        <w:szCs w:val="24"/>
                        <w:lang w:eastAsia="lt-LT"/>
                      </w:rPr>
                      <w:t>Projekto biudžeto pagrįstumas ir priemonių plano efektyvumas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3.1.</w:t>
                    </w:r>
                  </w:p>
                </w:tc>
                <w:tc>
                  <w:tcPr>
                    <w:tcW w:w="4058" w:type="dxa"/>
                    <w:shd w:val="clear" w:color="auto" w:fill="auto"/>
                    <w:vAlign w:val="center"/>
                  </w:tcPr>
                  <w:p>
                    <w:pPr>
                      <w:jc w:val="both"/>
                      <w:rPr>
                        <w:color w:val="000000"/>
                        <w:szCs w:val="24"/>
                        <w:lang w:eastAsia="lt-LT"/>
                      </w:rPr>
                    </w:pPr>
                    <w:r>
                      <w:rPr>
                        <w:color w:val="000000"/>
                        <w:szCs w:val="24"/>
                        <w:lang w:eastAsia="lt-LT"/>
                      </w:rPr>
                      <w:t>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Psichikos sveikatos puoselėjimo komunikacijos kampanijos siūlomi tikslai, siektini rezultatai ir numatomi jų matavimo mechanizmai, planuojami pasiekiamumo rodikliai. Pateiktas preliminarus Plano įgyvendinimo grafiko projektas yra logiškai ir racionaliai sudarytas, pagrįstai leidžia užtikrinti nuoseklų, kokybišką ir laiku įgyvendinamą Planą</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3.2.</w:t>
                    </w:r>
                  </w:p>
                </w:tc>
                <w:tc>
                  <w:tcPr>
                    <w:tcW w:w="4058" w:type="dxa"/>
                    <w:shd w:val="clear" w:color="auto" w:fill="auto"/>
                    <w:vAlign w:val="center"/>
                  </w:tcPr>
                  <w:p>
                    <w:pPr>
                      <w:jc w:val="both"/>
                      <w:rPr>
                        <w:color w:val="000000"/>
                        <w:szCs w:val="24"/>
                        <w:lang w:eastAsia="lt-LT"/>
                      </w:rPr>
                    </w:pPr>
                    <w:r>
                      <w:rPr>
                        <w:color w:val="000000"/>
                        <w:szCs w:val="24"/>
                        <w:lang w:eastAsia="lt-LT"/>
                      </w:rPr>
                      <w:t>Biudžetas iš dalies aiškus, realiai suplanuotas, ne visos siūlomos išlaidos yra tiesiogiai susijusios su planuojamų veiklų įgyvendinimu. Priemonių plano projektas paraiškoje išdėstytas suprantamai. Jame išdėstytos siūlomos integruotos komunikacijos priemonės, jų siūloma apimtis, transliavimo intensyvumas, periodiškumas. Tačiau trūkta nuoseklumo, papildomumo, pagrįstumo, ar bus pasiektas rezultatams pasiekti pakankamas sklaidos matomumas. Priemonių plano projekte suformuluoti: Psichikos sveikatos puoselėjimo komunikacijos kampanijos siūlomi tikslai, siektini rezultatai ir numatomi jų matavimo mechanizmai, planuojami pasiekiamumo rodikliai, tačiau yra neesminių trūkumų. Pateiktas preliminarus Plano įgyvendinimo grafiko projektas yra logiškai sudarytas, nekelia abejonių dėl tinkamo Plano įgyvendinimo</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3.3.</w:t>
                    </w:r>
                  </w:p>
                </w:tc>
                <w:tc>
                  <w:tcPr>
                    <w:tcW w:w="4058" w:type="dxa"/>
                    <w:shd w:val="clear" w:color="auto" w:fill="auto"/>
                    <w:vAlign w:val="center"/>
                  </w:tcPr>
                  <w:p>
                    <w:pPr>
                      <w:jc w:val="both"/>
                      <w:rPr>
                        <w:color w:val="000000"/>
                        <w:szCs w:val="24"/>
                        <w:lang w:eastAsia="lt-LT"/>
                      </w:rPr>
                    </w:pPr>
                    <w:r>
                      <w:rPr>
                        <w:color w:val="000000"/>
                        <w:szCs w:val="24"/>
                        <w:lang w:eastAsia="lt-LT"/>
                      </w:rPr>
                      <w:t xml:space="preserve">Biudžetas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Psichikos sveikatos puoselėjimo komunikacijos kampanijos siūlomi tikslai, siektini rezultatai, numatomi jų matavimo mechanizmai ir planuojami pasiekiamumo rodikliai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4.</w:t>
                    </w:r>
                  </w:p>
                </w:tc>
                <w:tc>
                  <w:tcPr>
                    <w:tcW w:w="4058" w:type="dxa"/>
                    <w:shd w:val="clear" w:color="auto" w:fill="auto"/>
                    <w:vAlign w:val="center"/>
                  </w:tcPr>
                  <w:p>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4.1.</w:t>
                    </w:r>
                  </w:p>
                </w:tc>
                <w:tc>
                  <w:tcPr>
                    <w:tcW w:w="4058" w:type="dxa"/>
                    <w:shd w:val="clear" w:color="auto" w:fill="auto"/>
                    <w:vAlign w:val="center"/>
                  </w:tcPr>
                  <w:p>
                    <w:pPr>
                      <w:jc w:val="both"/>
                      <w:rPr>
                        <w:spacing w:val="-2"/>
                        <w:szCs w:val="24"/>
                        <w:lang w:eastAsia="lt-LT"/>
                      </w:rPr>
                    </w:pPr>
                    <w:r>
                      <w:rPr>
                        <w:spacing w:val="-2"/>
                        <w:szCs w:val="24"/>
                        <w:lang w:eastAsia="lt-LT"/>
                      </w:rPr>
                      <w:t>Numatyti aiškūs, išmatuojami rodikliai, rodantys poveikį tikslinei grupei. Pasirinkta vertinimo metodika yra tinkama, numatytas išsamus projekto poveikio vertinimas projekto pabaigoje</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4.2.</w:t>
                    </w:r>
                  </w:p>
                </w:tc>
                <w:tc>
                  <w:tcPr>
                    <w:tcW w:w="4058" w:type="dxa"/>
                    <w:shd w:val="clear" w:color="auto" w:fill="auto"/>
                    <w:vAlign w:val="center"/>
                  </w:tcPr>
                  <w:p>
                    <w:pPr>
                      <w:jc w:val="both"/>
                      <w:rPr>
                        <w:spacing w:val="-2"/>
                        <w:szCs w:val="24"/>
                        <w:lang w:eastAsia="lt-LT"/>
                      </w:rPr>
                    </w:pPr>
                    <w:r>
                      <w:rPr>
                        <w:spacing w:val="-2"/>
                        <w:szCs w:val="24"/>
                        <w:lang w:eastAsia="lt-LT"/>
                      </w:rPr>
                      <w:t>Numatyti iš dalies aiškūs, išmatuojami rodikliai, rodantys informacijos sklaidos aprėptį ir (ar) poveikį tikslinei grupei. Pasirinkta vertinimo metodika yra tinkama, numatytas projekto poveikio vertinimas projekto pabaigoje</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4.3.</w:t>
                    </w:r>
                  </w:p>
                </w:tc>
                <w:tc>
                  <w:tcPr>
                    <w:tcW w:w="4058" w:type="dxa"/>
                    <w:shd w:val="clear" w:color="auto" w:fill="auto"/>
                    <w:vAlign w:val="center"/>
                  </w:tcPr>
                  <w:p>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lang w:eastAsia="lt-LT"/>
                      </w:rPr>
                    </w:pPr>
                  </w:p>
                </w:tc>
              </w:tr>
              <w:tr>
                <w:trPr>
                  <w:trHeight w:val="332"/>
                  <w:jc w:val="center"/>
                </w:trPr>
                <w:tc>
                  <w:tcPr>
                    <w:tcW w:w="6708" w:type="dxa"/>
                    <w:gridSpan w:val="4"/>
                    <w:shd w:val="clear" w:color="auto" w:fill="auto"/>
                    <w:noWrap/>
                    <w:vAlign w:val="center"/>
                    <w:hideMark/>
                  </w:tcPr>
                  <w:p>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w:t>
                    </w:r>
                    <w:r>
                      <w:rPr>
                        <w:b/>
                        <w:bCs/>
                        <w:i/>
                        <w:szCs w:val="24"/>
                        <w:lang w:val="en-US" w:eastAsia="lt-LT"/>
                      </w:rPr>
                      <w:t>5</w:t>
                    </w:r>
                    <w:r>
                      <w:rPr>
                        <w:b/>
                        <w:bCs/>
                        <w:i/>
                        <w:szCs w:val="24"/>
                        <w:lang w:eastAsia="lt-LT"/>
                      </w:rPr>
                      <w:t>0)</w:t>
                    </w:r>
                  </w:p>
                </w:tc>
                <w:tc>
                  <w:tcPr>
                    <w:tcW w:w="1549" w:type="dxa"/>
                    <w:gridSpan w:val="2"/>
                    <w:shd w:val="clear" w:color="auto" w:fill="auto"/>
                    <w:vAlign w:val="center"/>
                    <w:hideMark/>
                  </w:tcPr>
                  <w:p>
                    <w:pPr>
                      <w:ind w:firstLine="62"/>
                      <w:jc w:val="both"/>
                      <w:rPr>
                        <w:b/>
                        <w:bCs/>
                        <w:color w:val="000000"/>
                        <w:szCs w:val="24"/>
                        <w:lang w:eastAsia="lt-LT"/>
                      </w:rPr>
                    </w:pPr>
                  </w:p>
                </w:tc>
                <w:tc>
                  <w:tcPr>
                    <w:tcW w:w="1713" w:type="dxa"/>
                    <w:gridSpan w:val="2"/>
                  </w:tcPr>
                  <w:p>
                    <w:pPr>
                      <w:jc w:val="both"/>
                      <w:rPr>
                        <w:b/>
                        <w:bCs/>
                        <w:color w:val="000000"/>
                        <w:szCs w:val="24"/>
                        <w:lang w:eastAsia="lt-LT"/>
                      </w:rPr>
                    </w:pPr>
                  </w:p>
                </w:tc>
              </w:tr>
            </w:tbl>
            <w:p>
              <w:pPr>
                <w:spacing w:line="276" w:lineRule="auto"/>
                <w:ind w:firstLine="310"/>
                <w:jc w:val="both"/>
                <w:rPr>
                  <w:rFonts w:eastAsia="Calibri"/>
                  <w:b/>
                  <w:szCs w:val="24"/>
                </w:rPr>
              </w:pPr>
            </w:p>
            <w:p>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trPr>
                  <w:jc w:val="center"/>
                </w:trPr>
                <w:tc>
                  <w:tcPr>
                    <w:tcW w:w="9746" w:type="dxa"/>
                    <w:shd w:val="clear" w:color="auto" w:fill="auto"/>
                  </w:tcPr>
                  <w:p>
                    <w:pPr>
                      <w:jc w:val="both"/>
                      <w:rPr>
                        <w:rFonts w:eastAsia="Calibri"/>
                        <w:color w:val="000000"/>
                        <w:szCs w:val="24"/>
                      </w:rPr>
                    </w:pPr>
                    <w:r>
                      <w:rPr>
                        <w:rFonts w:eastAsia="Calibri"/>
                        <w:color w:val="000000"/>
                        <w:szCs w:val="24"/>
                      </w:rPr>
                      <w:t>Eksperto / Fondo tarybos nario išvada, siūlymai, komentarai:</w:t>
                    </w:r>
                  </w:p>
                  <w:p>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pPr>
                      <w:jc w:val="both"/>
                      <w:rPr>
                        <w:rFonts w:eastAsia="Calibri"/>
                        <w:szCs w:val="24"/>
                      </w:rPr>
                    </w:pPr>
                  </w:p>
                  <w:p>
                    <w:pPr>
                      <w:jc w:val="center"/>
                      <w:rPr>
                        <w:rFonts w:eastAsia="Calibri"/>
                        <w:szCs w:val="24"/>
                      </w:rPr>
                    </w:pPr>
                  </w:p>
                  <w:p>
                    <w:pPr>
                      <w:jc w:val="both"/>
                      <w:rPr>
                        <w:rFonts w:eastAsia="Calibri"/>
                        <w:szCs w:val="24"/>
                      </w:rPr>
                    </w:pPr>
                  </w:p>
                  <w:p>
                    <w:pPr>
                      <w:jc w:val="both"/>
                      <w:rPr>
                        <w:rFonts w:eastAsia="Calibri"/>
                        <w:szCs w:val="24"/>
                      </w:rPr>
                    </w:pPr>
                  </w:p>
                </w:tc>
              </w:tr>
            </w:tbl>
            <w:p>
              <w:pPr>
                <w:jc w:val="both"/>
                <w:rPr>
                  <w:rFonts w:eastAsia="Calibri"/>
                  <w:b/>
                  <w:szCs w:val="24"/>
                </w:rPr>
              </w:pPr>
            </w:p>
            <w:p>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Valstybinio visuomenės sveikatos stiprinimo fondo lėšų suma: ___________________ Eur.</w:t>
              </w: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ind w:firstLine="426"/>
                <w:jc w:val="both"/>
                <w:rPr>
                  <w:rFonts w:eastAsia="Calibri"/>
                  <w:color w:val="000000"/>
                  <w:szCs w:val="24"/>
                </w:rPr>
              </w:pPr>
              <w:r>
                <w:rPr>
                  <w:rFonts w:eastAsia="Calibri"/>
                  <w:color w:val="000000"/>
                  <w:szCs w:val="24"/>
                </w:rPr>
                <w:t xml:space="preserve">Ekspertas </w:t>
              </w:r>
              <w:r>
                <w:rPr>
                  <w:rFonts w:eastAsia="Calibri"/>
                  <w:color w:val="000000"/>
                  <w:szCs w:val="24"/>
                  <w:lang w:val="en-US"/>
                </w:rPr>
                <w:t xml:space="preserve">/ </w:t>
              </w:r>
              <w:r>
                <w:rPr>
                  <w:rFonts w:eastAsia="Calibri"/>
                  <w:color w:val="000000"/>
                  <w:szCs w:val="24"/>
                </w:rPr>
                <w:t>Fondo tarybos narys:</w:t>
              </w:r>
            </w:p>
            <w:p>
              <w:pPr>
                <w:ind w:firstLine="426"/>
                <w:jc w:val="both"/>
                <w:rPr>
                  <w:rFonts w:eastAsia="Calibri"/>
                  <w:i/>
                  <w:iCs/>
                  <w:color w:val="000000"/>
                  <w:sz w:val="20"/>
                </w:rPr>
              </w:pPr>
              <w:r>
                <w:rPr>
                  <w:rFonts w:eastAsia="Calibri"/>
                  <w:i/>
                  <w:iCs/>
                  <w:color w:val="000000"/>
                  <w:sz w:val="20"/>
                </w:rPr>
                <w:t>(tai, kas nereikalinga, išbraukti)</w:t>
              </w:r>
            </w:p>
            <w:p>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pPr>
                <w:tabs>
                  <w:tab w:val="right" w:pos="-6663"/>
                  <w:tab w:val="left" w:pos="0"/>
                  <w:tab w:val="right" w:leader="dot" w:pos="4536"/>
                </w:tabs>
                <w:jc w:val="both"/>
                <w:rPr>
                  <w:rFonts w:eastAsia="Calibri"/>
                  <w:szCs w:val="24"/>
                </w:rPr>
              </w:pPr>
              <w:r>
                <w:rPr>
                  <w:rFonts w:eastAsia="Calibri"/>
                  <w:szCs w:val="24"/>
                </w:rPr>
                <w:t>(unikalus identifikacinis Nr., parašas, data)</w:t>
              </w:r>
            </w:p>
            <w:p>
              <w:pPr>
                <w:tabs>
                  <w:tab w:val="right" w:pos="-6663"/>
                  <w:tab w:val="left" w:pos="0"/>
                  <w:tab w:val="right" w:leader="dot" w:pos="4536"/>
                </w:tabs>
                <w:jc w:val="both"/>
                <w:rPr>
                  <w:rFonts w:eastAsia="Calibri"/>
                  <w:szCs w:val="24"/>
                </w:rPr>
              </w:pPr>
            </w:p>
          </w:sdtContent>
        </w:sdt>
        <w:sdt>
          <w:sdtPr>
            <w:alias w:val="pabaiga"/>
            <w:tag w:val="part_aef595cd55c6466b970d40058cfe8751"/>
            <w:lock w:val="sdtLocked"/>
            <w:richText/>
          </w:sdtPr>
          <w:sdtContent>
            <w:p>
              <w:pPr>
                <w:tabs>
                  <w:tab w:val="right" w:pos="-6663"/>
                  <w:tab w:val="left" w:pos="0"/>
                  <w:tab w:val="right" w:leader="dot" w:pos="4536"/>
                </w:tabs>
                <w:jc w:val="center"/>
                <w:rPr>
                  <w:rFonts w:eastAsia="Calibri"/>
                  <w:szCs w:val="24"/>
                </w:rPr>
              </w:pPr>
              <w:r>
                <w:rPr>
                  <w:rFonts w:eastAsia="Calibri"/>
                  <w:szCs w:val="24"/>
                </w:rPr>
                <w:t>____________________</w:t>
              </w:r>
            </w:p>
            <w:p>
              <w:pPr>
                <w:spacing w:line="276" w:lineRule="auto"/>
                <w:jc w:val="both"/>
                <w:rPr>
                  <w:rFonts w:eastAsia="Calibr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851" w:left="1276" w:header="567" w:footer="107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BD4A8BC-E086-4B75-B71D-69B6478B65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5052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4" ma:contentTypeDescription="Kurkite naują dokumentą." ma:contentTypeScope="" ma:versionID="4e71af55701f47309719b2f7993458c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0f7efc1b0d8dcbe0b5f15f6dec0cb2b"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7" Abbr="7 pr." Title="(Valstybinio visuomenės sveikatos stiprinimo fondo lėšomis finansuojamos Psichikos sveikatos puoselėjimo komunikacijos kampanijos paraiškos vertinimo klausimyno forma)" DocPartId="5c3775d4f9e541c89bdf7afa6109a325" PartId="31601445e3b34003a39ab99b4740d65d">
    <Part Type="skirsnis" Title="VALSTYBINIO VISUOMENĖS SVEIKATOS STIPRINIMO FONDO LĖŠOMIS FINANSUOJAMOS PSICHIKOS SVEIKATOS PUOSELĖJIMO KOMUNIKACIJOS KAMPANIJOS PARAIŠKOS VERTINIMO KLAUSIMYNAS" DocPartId="657b0ca6814c4ac8ad25b064f662388f" PartId="29787ddc3d5a4842a1ef617953932d65"/>
    <Part Type="pabaiga" DocPartId="12628e79c3264c7cb74df8837cfd1955" PartId="aef595cd55c6466b970d40058cfe8751"/>
  </Part>
</Parts>
</file>

<file path=customXml/itemProps1.xml><?xml version="1.0" encoding="utf-8"?>
<ds:datastoreItem xmlns:ds="http://schemas.openxmlformats.org/officeDocument/2006/customXml" ds:itemID="{9E08DCE2-8E5A-4172-A323-F85322E93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DAD74E-48C0-4C9D-BB74-D860A229568B}">
  <ds:schemaRefs>
    <ds:schemaRef ds:uri="http://schemas.microsoft.com/sharepoint/v3/contenttype/forms"/>
  </ds:schemaRefs>
</ds:datastoreItem>
</file>

<file path=customXml/itemProps3.xml><?xml version="1.0" encoding="utf-8"?>
<ds:datastoreItem xmlns:ds="http://schemas.openxmlformats.org/officeDocument/2006/customXml" ds:itemID="{78FB31BC-7D71-42B5-AEF0-DC5CF88C162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C8D8A9C-CAB5-4265-AC6D-8C5E818E57D2}">
  <ds:schemaRefs>
    <ds:schemaRef ds:uri="http://schemas.openxmlformats.org/officeDocument/2006/bibliography"/>
  </ds:schemaRefs>
</ds:datastoreItem>
</file>

<file path=customXml/itemProps5.xml><?xml version="1.0" encoding="utf-8"?>
<ds:datastoreItem xmlns:ds="http://schemas.openxmlformats.org/officeDocument/2006/customXml" ds:itemID="{6BF8005A-BCB9-49EC-8ADE-1750BC16B7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1489</Words>
  <Characters>11081</Characters>
  <Application>Microsoft Office Word</Application>
  <DocSecurity>4</DocSecurity>
  <Lines>554</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12403</CharactersWithSpaces>
  <SharedDoc>false</SharedDoc>
  <HyperlinkBase/>
  <HLinks>
    <vt:vector size="42" baseType="variant">
      <vt:variant>
        <vt:i4>4849740</vt:i4>
      </vt:variant>
      <vt:variant>
        <vt:i4>18</vt:i4>
      </vt:variant>
      <vt:variant>
        <vt:i4>0</vt:i4>
      </vt:variant>
      <vt:variant>
        <vt:i4>5</vt:i4>
      </vt:variant>
      <vt:variant>
        <vt:lpwstr>http://www.statista.com/</vt:lpwstr>
      </vt:variant>
      <vt:variant>
        <vt:lpwstr/>
      </vt:variant>
      <vt:variant>
        <vt:i4>4849740</vt:i4>
      </vt:variant>
      <vt:variant>
        <vt:i4>15</vt:i4>
      </vt:variant>
      <vt:variant>
        <vt:i4>0</vt:i4>
      </vt:variant>
      <vt:variant>
        <vt:i4>5</vt:i4>
      </vt:variant>
      <vt:variant>
        <vt:lpwstr>http://www.statista.com/</vt:lpwstr>
      </vt:variant>
      <vt:variant>
        <vt:lpwstr/>
      </vt:variant>
      <vt:variant>
        <vt:i4>4849740</vt:i4>
      </vt:variant>
      <vt:variant>
        <vt:i4>12</vt:i4>
      </vt:variant>
      <vt:variant>
        <vt:i4>0</vt:i4>
      </vt:variant>
      <vt:variant>
        <vt:i4>5</vt:i4>
      </vt:variant>
      <vt:variant>
        <vt:lpwstr>http://www.statista.com/</vt:lpwstr>
      </vt:variant>
      <vt:variant>
        <vt:lpwstr/>
      </vt:variant>
      <vt:variant>
        <vt:i4>4849740</vt:i4>
      </vt:variant>
      <vt:variant>
        <vt:i4>9</vt:i4>
      </vt:variant>
      <vt:variant>
        <vt:i4>0</vt:i4>
      </vt:variant>
      <vt:variant>
        <vt:i4>5</vt:i4>
      </vt:variant>
      <vt:variant>
        <vt:lpwstr>http://www.statista.com/</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2022-10-21T12:58:00Z</dcterms:created>
  <dc:creator>Tatjana Zabolotnaja</dc:creator>
  <lastModifiedBy>adlibuser</lastModifiedBy>
  <lastPrinted>2020-02-17T04:44:00Z</lastPrinted>
  <dcterms:modified xsi:type="dcterms:W3CDTF">2022-10-21T12:58:00Z</dcterms:modified>
  <revision>2</revision>
</coreProperties>
</file>