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Cs/>
          <w:szCs w:val="24"/>
        </w:rPr>
        <w:alias w:val="7 pr."/>
        <w:tag w:val="part_8451373599ae40ee9ec5af594d62cee0"/>
        <w:id w:val="1530449069"/>
        <w:lock w:val="sdtLocked"/>
        <w:placeholder>
          <w:docPart w:val="DefaultPlaceholder_-1854013440"/>
        </w:placeholder>
      </w:sdtPr>
      <w:sdtEndPr>
        <w:rPr>
          <w:rFonts w:eastAsia="Calibri"/>
          <w:bCs w:val="0"/>
        </w:rPr>
      </w:sdtEndPr>
      <w:sdtContent>
        <w:p w:rsidR="00E82DB0" w:rsidRDefault="00E82DB0" w:rsidP="00E82DB0">
          <w:pPr>
            <w:tabs>
              <w:tab w:val="center" w:pos="4819"/>
              <w:tab w:val="right" w:pos="9638"/>
            </w:tabs>
            <w:ind w:firstLine="9072"/>
            <w:rPr>
              <w:bCs/>
              <w:szCs w:val="24"/>
            </w:rPr>
          </w:pPr>
          <w:r>
            <w:rPr>
              <w:bCs/>
              <w:szCs w:val="24"/>
            </w:rPr>
            <w:t xml:space="preserve">2022–2030 m. plėtros programos valdytojos </w:t>
          </w:r>
        </w:p>
        <w:p w:rsidR="00E82DB0" w:rsidRDefault="00E82DB0" w:rsidP="00E82DB0">
          <w:pPr>
            <w:ind w:firstLine="9072"/>
            <w:rPr>
              <w:bCs/>
              <w:szCs w:val="24"/>
            </w:rPr>
          </w:pPr>
          <w:r>
            <w:rPr>
              <w:bCs/>
              <w:szCs w:val="24"/>
            </w:rPr>
            <w:t xml:space="preserve">Lietuvos Respublikos švietimo, mokslo ir sporto </w:t>
          </w:r>
        </w:p>
        <w:p w:rsidR="00E82DB0" w:rsidRDefault="00E82DB0" w:rsidP="00E82DB0">
          <w:pPr>
            <w:ind w:firstLine="9072"/>
            <w:rPr>
              <w:bCs/>
              <w:szCs w:val="24"/>
            </w:rPr>
          </w:pPr>
          <w:r>
            <w:rPr>
              <w:bCs/>
              <w:szCs w:val="24"/>
            </w:rPr>
            <w:t xml:space="preserve">ministerijos mokslo plėtros programos pažangos </w:t>
          </w:r>
        </w:p>
        <w:p w:rsidR="00E82DB0" w:rsidRDefault="00E82DB0" w:rsidP="00E82DB0">
          <w:pPr>
            <w:ind w:firstLine="9072"/>
            <w:rPr>
              <w:bCs/>
              <w:szCs w:val="24"/>
            </w:rPr>
          </w:pPr>
          <w:r>
            <w:rPr>
              <w:bCs/>
              <w:szCs w:val="24"/>
            </w:rPr>
            <w:t xml:space="preserve">priemonės Nr. 12-001-01-02-01 „Stiprinti inovacijų </w:t>
          </w:r>
        </w:p>
        <w:p w:rsidR="000363B9" w:rsidRDefault="00E82DB0" w:rsidP="00E82DB0">
          <w:pPr>
            <w:ind w:firstLine="9072"/>
            <w:rPr>
              <w:szCs w:val="24"/>
            </w:rPr>
          </w:pPr>
          <w:r>
            <w:rPr>
              <w:bCs/>
              <w:szCs w:val="24"/>
            </w:rPr>
            <w:t xml:space="preserve">ekosistemas mokslo centruose“ aprašo </w:t>
          </w:r>
        </w:p>
        <w:p w:rsidR="000363B9" w:rsidRDefault="00565853" w:rsidP="00E82DB0">
          <w:pPr>
            <w:ind w:firstLine="9072"/>
            <w:rPr>
              <w:szCs w:val="24"/>
            </w:rPr>
          </w:pPr>
          <w:sdt>
            <w:sdtPr>
              <w:alias w:val="Numeris"/>
              <w:tag w:val="nr_8451373599ae40ee9ec5af594d62cee0"/>
              <w:id w:val="-187458021"/>
              <w:lock w:val="sdtLocked"/>
            </w:sdtPr>
            <w:sdtEndPr/>
            <w:sdtContent>
              <w:r w:rsidR="00E82DB0">
                <w:rPr>
                  <w:szCs w:val="24"/>
                </w:rPr>
                <w:t>7</w:t>
              </w:r>
            </w:sdtContent>
          </w:sdt>
          <w:r w:rsidR="00E82DB0">
            <w:rPr>
              <w:szCs w:val="24"/>
            </w:rPr>
            <w:t xml:space="preserve"> priedas</w:t>
          </w:r>
        </w:p>
        <w:p w:rsidR="000363B9" w:rsidRDefault="000363B9">
          <w:pPr>
            <w:jc w:val="center"/>
            <w:rPr>
              <w:b/>
              <w:bCs/>
              <w:szCs w:val="24"/>
            </w:rPr>
          </w:pPr>
        </w:p>
        <w:p w:rsidR="000363B9" w:rsidRDefault="000363B9">
          <w:pPr>
            <w:jc w:val="center"/>
            <w:rPr>
              <w:b/>
              <w:bCs/>
              <w:szCs w:val="24"/>
            </w:rPr>
          </w:pPr>
        </w:p>
        <w:p w:rsidR="000363B9" w:rsidRDefault="00565853">
          <w:pPr>
            <w:jc w:val="center"/>
            <w:rPr>
              <w:b/>
              <w:bCs/>
              <w:szCs w:val="24"/>
            </w:rPr>
          </w:pPr>
          <w:sdt>
            <w:sdtPr>
              <w:alias w:val="Pavadinimas"/>
              <w:tag w:val="title_8451373599ae40ee9ec5af594d62cee0"/>
              <w:id w:val="-906995755"/>
              <w:lock w:val="sdtLocked"/>
            </w:sdtPr>
            <w:sdtEndPr/>
            <w:sdtContent>
              <w:r w:rsidR="00E82DB0">
                <w:rPr>
                  <w:b/>
                  <w:bCs/>
                  <w:szCs w:val="24"/>
                </w:rPr>
                <w:t>2022–2030 M. PLĖTROS PROGRAMOS VALDYTOJOS LIETUVOS RESPUBLIKOS ŠVIETIMO, MOKSLO IR SPORTO MINISTERIJOS MOKSLO PLĖTROS PROGRAMOS PAŽANGOS PRIEMONĖS NR. 12-001-01-02-01 „</w:t>
              </w:r>
              <w:r w:rsidR="00E82DB0">
                <w:rPr>
                  <w:b/>
                  <w:bCs/>
                </w:rPr>
                <w:t>STIPRINTI INOVACIJŲ  EKOSISTEMAS MOKSLO CENTRUOSE</w:t>
              </w:r>
              <w:r w:rsidR="00E82DB0">
                <w:rPr>
                  <w:b/>
                  <w:bCs/>
                  <w:szCs w:val="24"/>
                </w:rPr>
                <w:t>“ PROJEKTŲ FINANSAVIMO SĄLYGŲ APRAŠAS NR. 7</w:t>
              </w:r>
            </w:sdtContent>
          </w:sdt>
        </w:p>
        <w:p w:rsidR="000363B9" w:rsidRDefault="000363B9">
          <w:pPr>
            <w:spacing w:line="259" w:lineRule="auto"/>
            <w:jc w:val="center"/>
            <w:rPr>
              <w:b/>
              <w:bCs/>
              <w:szCs w:val="24"/>
            </w:rPr>
          </w:pPr>
        </w:p>
        <w:p w:rsidR="000363B9" w:rsidRDefault="000363B9">
          <w:pPr>
            <w:rPr>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rsidR="000363B9">
            <w:tc>
              <w:tcPr>
                <w:tcW w:w="14856" w:type="dxa"/>
                <w:gridSpan w:val="12"/>
                <w:vAlign w:val="center"/>
              </w:tcPr>
              <w:p w:rsidR="000363B9" w:rsidRDefault="00E82DB0">
                <w:pPr>
                  <w:jc w:val="center"/>
                  <w:rPr>
                    <w:b/>
                    <w:bCs/>
                    <w:szCs w:val="24"/>
                  </w:rPr>
                </w:pPr>
                <w:r>
                  <w:rPr>
                    <w:b/>
                    <w:bCs/>
                    <w:szCs w:val="24"/>
                  </w:rPr>
                  <w:t>VEIKLOS AR POVEIKLĖS, KURIOMS NUSTATOMOS PROJEKTŲ FINANSAVIMO SĄLYGOS</w:t>
                </w:r>
              </w:p>
            </w:tc>
          </w:tr>
          <w:tr w:rsidR="000363B9">
            <w:trPr>
              <w:trHeight w:val="1885"/>
            </w:trPr>
            <w:tc>
              <w:tcPr>
                <w:tcW w:w="1110" w:type="dxa"/>
                <w:vAlign w:val="center"/>
              </w:tcPr>
              <w:p w:rsidR="000363B9" w:rsidRDefault="00E82DB0">
                <w:pPr>
                  <w:jc w:val="center"/>
                  <w:rPr>
                    <w:b/>
                    <w:bCs/>
                    <w:sz w:val="20"/>
                  </w:rPr>
                </w:pPr>
                <w:r>
                  <w:rPr>
                    <w:b/>
                    <w:bCs/>
                    <w:sz w:val="20"/>
                  </w:rPr>
                  <w:t xml:space="preserve">Veiklos ar </w:t>
                </w:r>
                <w:proofErr w:type="spellStart"/>
                <w:r>
                  <w:rPr>
                    <w:b/>
                    <w:bCs/>
                    <w:sz w:val="20"/>
                  </w:rPr>
                  <w:t>poveiklėspavadinimas</w:t>
                </w:r>
                <w:proofErr w:type="spellEnd"/>
              </w:p>
            </w:tc>
            <w:tc>
              <w:tcPr>
                <w:tcW w:w="1023" w:type="dxa"/>
                <w:vAlign w:val="center"/>
              </w:tcPr>
              <w:p w:rsidR="000363B9" w:rsidRDefault="00E82DB0">
                <w:pPr>
                  <w:jc w:val="center"/>
                  <w:rPr>
                    <w:b/>
                    <w:bCs/>
                    <w:sz w:val="20"/>
                  </w:rPr>
                </w:pPr>
                <w:r>
                  <w:rPr>
                    <w:b/>
                    <w:bCs/>
                    <w:sz w:val="20"/>
                  </w:rPr>
                  <w:t>Finansavimo šaltinis</w:t>
                </w:r>
              </w:p>
            </w:tc>
            <w:tc>
              <w:tcPr>
                <w:tcW w:w="1236" w:type="dxa"/>
                <w:vAlign w:val="center"/>
              </w:tcPr>
              <w:p w:rsidR="000363B9" w:rsidRDefault="00E82DB0">
                <w:pPr>
                  <w:jc w:val="center"/>
                  <w:rPr>
                    <w:b/>
                    <w:bCs/>
                    <w:sz w:val="20"/>
                  </w:rPr>
                </w:pPr>
                <w:r>
                  <w:rPr>
                    <w:b/>
                    <w:bCs/>
                    <w:sz w:val="20"/>
                  </w:rPr>
                  <w:t>Prioritetas ar komponentas</w:t>
                </w:r>
              </w:p>
            </w:tc>
            <w:tc>
              <w:tcPr>
                <w:tcW w:w="1134" w:type="dxa"/>
                <w:vAlign w:val="center"/>
              </w:tcPr>
              <w:p w:rsidR="000363B9" w:rsidRDefault="00E82DB0">
                <w:pPr>
                  <w:jc w:val="center"/>
                  <w:rPr>
                    <w:b/>
                    <w:bCs/>
                    <w:sz w:val="20"/>
                  </w:rPr>
                </w:pPr>
                <w:r>
                  <w:rPr>
                    <w:b/>
                    <w:bCs/>
                    <w:sz w:val="20"/>
                  </w:rPr>
                  <w:t>Uždavinys ar priemonė</w:t>
                </w:r>
              </w:p>
            </w:tc>
            <w:tc>
              <w:tcPr>
                <w:tcW w:w="992" w:type="dxa"/>
                <w:vAlign w:val="center"/>
              </w:tcPr>
              <w:p w:rsidR="000363B9" w:rsidRDefault="00E82DB0">
                <w:pPr>
                  <w:jc w:val="center"/>
                  <w:rPr>
                    <w:b/>
                    <w:bCs/>
                    <w:sz w:val="20"/>
                  </w:rPr>
                </w:pPr>
                <w:r>
                  <w:rPr>
                    <w:b/>
                    <w:bCs/>
                    <w:sz w:val="20"/>
                  </w:rPr>
                  <w:t xml:space="preserve">Veikla ar </w:t>
                </w:r>
                <w:proofErr w:type="spellStart"/>
                <w:r>
                  <w:rPr>
                    <w:b/>
                    <w:bCs/>
                    <w:sz w:val="20"/>
                  </w:rPr>
                  <w:t>poveiklė</w:t>
                </w:r>
                <w:proofErr w:type="spellEnd"/>
              </w:p>
            </w:tc>
            <w:tc>
              <w:tcPr>
                <w:tcW w:w="1984" w:type="dxa"/>
                <w:vAlign w:val="center"/>
              </w:tcPr>
              <w:p w:rsidR="000363B9" w:rsidRDefault="00E82DB0">
                <w:pPr>
                  <w:jc w:val="center"/>
                  <w:rPr>
                    <w:b/>
                    <w:bCs/>
                    <w:sz w:val="20"/>
                  </w:rPr>
                </w:pPr>
                <w:r>
                  <w:rPr>
                    <w:b/>
                    <w:bCs/>
                    <w:sz w:val="20"/>
                  </w:rPr>
                  <w:t>Intervencinės priemonės kodas</w:t>
                </w:r>
              </w:p>
            </w:tc>
            <w:tc>
              <w:tcPr>
                <w:tcW w:w="1344" w:type="dxa"/>
                <w:vAlign w:val="center"/>
              </w:tcPr>
              <w:p w:rsidR="000363B9" w:rsidRDefault="00E82DB0">
                <w:pPr>
                  <w:jc w:val="center"/>
                  <w:rPr>
                    <w:b/>
                    <w:bCs/>
                    <w:sz w:val="20"/>
                  </w:rPr>
                </w:pPr>
                <w:r>
                  <w:rPr>
                    <w:b/>
                    <w:bCs/>
                    <w:sz w:val="20"/>
                  </w:rPr>
                  <w:t xml:space="preserve">Regionas, kuriam priskiriama veikla ar </w:t>
                </w:r>
                <w:proofErr w:type="spellStart"/>
                <w:r>
                  <w:rPr>
                    <w:b/>
                    <w:bCs/>
                    <w:sz w:val="20"/>
                  </w:rPr>
                  <w:t>poveiklė</w:t>
                </w:r>
                <w:proofErr w:type="spellEnd"/>
              </w:p>
            </w:tc>
            <w:tc>
              <w:tcPr>
                <w:tcW w:w="1080" w:type="dxa"/>
                <w:vAlign w:val="center"/>
              </w:tcPr>
              <w:p w:rsidR="000363B9" w:rsidRDefault="00E82DB0">
                <w:pPr>
                  <w:jc w:val="center"/>
                  <w:rPr>
                    <w:b/>
                    <w:bCs/>
                    <w:sz w:val="20"/>
                  </w:rPr>
                </w:pPr>
                <w:r>
                  <w:rPr>
                    <w:b/>
                    <w:bCs/>
                    <w:sz w:val="20"/>
                  </w:rPr>
                  <w:t>Paramos formos kodas</w:t>
                </w:r>
              </w:p>
            </w:tc>
            <w:tc>
              <w:tcPr>
                <w:tcW w:w="1344" w:type="dxa"/>
                <w:vAlign w:val="center"/>
              </w:tcPr>
              <w:p w:rsidR="000363B9" w:rsidRDefault="00E82DB0">
                <w:pPr>
                  <w:jc w:val="center"/>
                  <w:rPr>
                    <w:b/>
                    <w:bCs/>
                    <w:sz w:val="20"/>
                  </w:rPr>
                </w:pPr>
                <w:r>
                  <w:rPr>
                    <w:b/>
                    <w:bCs/>
                    <w:sz w:val="20"/>
                  </w:rPr>
                  <w:t>Pagrindinės teritorinės srities kodas (-ai)</w:t>
                </w:r>
              </w:p>
            </w:tc>
            <w:tc>
              <w:tcPr>
                <w:tcW w:w="1328" w:type="dxa"/>
                <w:vAlign w:val="center"/>
              </w:tcPr>
              <w:p w:rsidR="000363B9" w:rsidRDefault="00E82DB0">
                <w:pPr>
                  <w:jc w:val="center"/>
                  <w:rPr>
                    <w:b/>
                    <w:bCs/>
                    <w:sz w:val="20"/>
                  </w:rPr>
                </w:pPr>
                <w:r>
                  <w:rPr>
                    <w:b/>
                    <w:bCs/>
                    <w:sz w:val="20"/>
                  </w:rPr>
                  <w:t>Ekonominės veiklos kodas (-ai)</w:t>
                </w:r>
              </w:p>
            </w:tc>
            <w:tc>
              <w:tcPr>
                <w:tcW w:w="1132" w:type="dxa"/>
                <w:vAlign w:val="center"/>
              </w:tcPr>
              <w:p w:rsidR="000363B9" w:rsidRDefault="00E82DB0">
                <w:pPr>
                  <w:jc w:val="center"/>
                  <w:rPr>
                    <w:b/>
                    <w:bCs/>
                    <w:sz w:val="20"/>
                  </w:rPr>
                </w:pPr>
                <w:r>
                  <w:rPr>
                    <w:b/>
                    <w:bCs/>
                    <w:sz w:val="20"/>
                  </w:rPr>
                  <w:t>„Europos socialinio fondo +“ (toliau – ESF+) antrinių temų kodai</w:t>
                </w:r>
              </w:p>
            </w:tc>
            <w:tc>
              <w:tcPr>
                <w:tcW w:w="1149" w:type="dxa"/>
                <w:vAlign w:val="center"/>
              </w:tcPr>
              <w:p w:rsidR="000363B9" w:rsidRDefault="00E82DB0">
                <w:pPr>
                  <w:jc w:val="center"/>
                  <w:rPr>
                    <w:b/>
                    <w:bCs/>
                    <w:sz w:val="20"/>
                  </w:rPr>
                </w:pPr>
                <w:r>
                  <w:rPr>
                    <w:b/>
                    <w:bCs/>
                    <w:sz w:val="20"/>
                  </w:rPr>
                  <w:t>Lyčių lygybės matmens kodas</w:t>
                </w:r>
              </w:p>
            </w:tc>
          </w:tr>
          <w:tr w:rsidR="000363B9">
            <w:trPr>
              <w:trHeight w:val="278"/>
            </w:trPr>
            <w:tc>
              <w:tcPr>
                <w:tcW w:w="1110" w:type="dxa"/>
                <w:tcMar>
                  <w:left w:w="28" w:type="dxa"/>
                  <w:right w:w="28" w:type="dxa"/>
                </w:tcMar>
              </w:tcPr>
              <w:p w:rsidR="000363B9" w:rsidRDefault="00E82DB0">
                <w:pPr>
                  <w:jc w:val="center"/>
                  <w:rPr>
                    <w:i/>
                    <w:iCs/>
                    <w:szCs w:val="24"/>
                  </w:rPr>
                </w:pPr>
                <w:r>
                  <w:rPr>
                    <w:color w:val="000000"/>
                    <w:szCs w:val="24"/>
                  </w:rPr>
                  <w:t xml:space="preserve">2.2.1. </w:t>
                </w:r>
                <w:r>
                  <w:rPr>
                    <w:szCs w:val="24"/>
                  </w:rPr>
                  <w:t xml:space="preserve">Didinti mokslo </w:t>
                </w:r>
                <w:proofErr w:type="spellStart"/>
                <w:r>
                  <w:rPr>
                    <w:szCs w:val="24"/>
                  </w:rPr>
                  <w:t>tarptautiškumo</w:t>
                </w:r>
                <w:proofErr w:type="spellEnd"/>
                <w:r>
                  <w:rPr>
                    <w:szCs w:val="24"/>
                  </w:rPr>
                  <w:t xml:space="preserve"> lygį (Sostinė) </w:t>
                </w:r>
              </w:p>
            </w:tc>
            <w:tc>
              <w:tcPr>
                <w:tcW w:w="1023" w:type="dxa"/>
                <w:tcMar>
                  <w:left w:w="28" w:type="dxa"/>
                  <w:right w:w="28" w:type="dxa"/>
                </w:tcMar>
              </w:tcPr>
              <w:p w:rsidR="000363B9" w:rsidRDefault="00E82DB0">
                <w:pPr>
                  <w:jc w:val="center"/>
                  <w:rPr>
                    <w:i/>
                    <w:iCs/>
                    <w:szCs w:val="24"/>
                  </w:rPr>
                </w:pPr>
                <w:r>
                  <w:rPr>
                    <w:szCs w:val="24"/>
                  </w:rPr>
                  <w:t>Europos Sąjungos fondų lėšos ir Europos Sąjungos fondų bendrojo finansavimo lėšos</w:t>
                </w:r>
              </w:p>
            </w:tc>
            <w:tc>
              <w:tcPr>
                <w:tcW w:w="1236" w:type="dxa"/>
                <w:tcMar>
                  <w:left w:w="28" w:type="dxa"/>
                  <w:right w:w="28" w:type="dxa"/>
                </w:tcMar>
              </w:tcPr>
              <w:p w:rsidR="000363B9" w:rsidRDefault="00E82DB0">
                <w:pPr>
                  <w:rPr>
                    <w:szCs w:val="24"/>
                  </w:rPr>
                </w:pPr>
                <w:r>
                  <w:rPr>
                    <w:szCs w:val="24"/>
                  </w:rPr>
                  <w:t>1. Pažangesnė Lietuva</w:t>
                </w:r>
              </w:p>
            </w:tc>
            <w:tc>
              <w:tcPr>
                <w:tcW w:w="1134" w:type="dxa"/>
                <w:tcMar>
                  <w:left w:w="28" w:type="dxa"/>
                  <w:right w:w="28" w:type="dxa"/>
                </w:tcMar>
              </w:tcPr>
              <w:p w:rsidR="000363B9" w:rsidRDefault="00E82DB0">
                <w:pPr>
                  <w:jc w:val="center"/>
                  <w:rPr>
                    <w:i/>
                    <w:iCs/>
                    <w:szCs w:val="24"/>
                  </w:rPr>
                </w:pPr>
                <w:r>
                  <w:rPr>
                    <w:szCs w:val="24"/>
                  </w:rPr>
                  <w:t>1.1.</w:t>
                </w:r>
                <w:r>
                  <w:rPr>
                    <w:bCs/>
                    <w:iCs/>
                    <w:szCs w:val="24"/>
                    <w:lang w:bidi="lt-LT"/>
                  </w:rPr>
                  <w:t xml:space="preserve"> Plėtoti ir stiprinti mokslinių tyrimų ir inovacinius </w:t>
                </w:r>
                <w:proofErr w:type="spellStart"/>
                <w:r>
                  <w:rPr>
                    <w:bCs/>
                    <w:iCs/>
                    <w:szCs w:val="24"/>
                    <w:lang w:bidi="lt-LT"/>
                  </w:rPr>
                  <w:t>pajėgumus</w:t>
                </w:r>
                <w:proofErr w:type="spellEnd"/>
                <w:r>
                  <w:rPr>
                    <w:bCs/>
                    <w:iCs/>
                    <w:szCs w:val="24"/>
                    <w:lang w:bidi="lt-LT"/>
                  </w:rPr>
                  <w:t xml:space="preserve"> ir diegti pažangiąsias technologijas</w:t>
                </w:r>
                <w:r>
                  <w:rPr>
                    <w:szCs w:val="24"/>
                  </w:rPr>
                  <w:t xml:space="preserve"> </w:t>
                </w:r>
              </w:p>
            </w:tc>
            <w:tc>
              <w:tcPr>
                <w:tcW w:w="992" w:type="dxa"/>
                <w:tcMar>
                  <w:left w:w="28" w:type="dxa"/>
                  <w:right w:w="28" w:type="dxa"/>
                </w:tcMar>
              </w:tcPr>
              <w:p w:rsidR="000363B9" w:rsidRDefault="00E82DB0">
                <w:pPr>
                  <w:jc w:val="center"/>
                  <w:rPr>
                    <w:i/>
                    <w:iCs/>
                    <w:szCs w:val="24"/>
                  </w:rPr>
                </w:pPr>
                <w:proofErr w:type="spellStart"/>
                <w:r>
                  <w:t>EuroHPC</w:t>
                </w:r>
                <w:proofErr w:type="spellEnd"/>
                <w:r>
                  <w:t xml:space="preserve"> partnerystės kompetencijos centro veiklų, numatytų EK dotacijos sutartyje,  įgyvendinimas </w:t>
                </w:r>
              </w:p>
            </w:tc>
            <w:tc>
              <w:tcPr>
                <w:tcW w:w="1984" w:type="dxa"/>
                <w:tcMar>
                  <w:left w:w="28" w:type="dxa"/>
                  <w:right w:w="28" w:type="dxa"/>
                </w:tcMar>
              </w:tcPr>
              <w:p w:rsidR="000363B9" w:rsidRDefault="00E82DB0">
                <w:pPr>
                  <w:rPr>
                    <w:iCs/>
                    <w:szCs w:val="24"/>
                  </w:rPr>
                </w:pPr>
                <w:r>
                  <w:rPr>
                    <w:iCs/>
                    <w:szCs w:val="24"/>
                  </w:rPr>
                  <w:t xml:space="preserve">012 – Viešųjų mokslinių tyrimų centrų, aukštojo mokslo įstaigų ir kompetencijos centrų mokslinių tyrimų ir inovacijų veikla, įskaitant </w:t>
                </w:r>
                <w:proofErr w:type="spellStart"/>
                <w:r>
                  <w:rPr>
                    <w:iCs/>
                    <w:szCs w:val="24"/>
                  </w:rPr>
                  <w:t>tinklaveiką</w:t>
                </w:r>
                <w:proofErr w:type="spellEnd"/>
                <w:r>
                  <w:rPr>
                    <w:iCs/>
                    <w:szCs w:val="24"/>
                  </w:rPr>
                  <w:t xml:space="preserve"> (pramoniniai tyrimai, eksperimentinė plėtra, galimybių studijos);</w:t>
                </w:r>
              </w:p>
              <w:p w:rsidR="000363B9" w:rsidRDefault="00E82DB0">
                <w:pPr>
                  <w:rPr>
                    <w:i/>
                    <w:iCs/>
                    <w:szCs w:val="24"/>
                  </w:rPr>
                </w:pPr>
                <w:r>
                  <w:rPr>
                    <w:iCs/>
                    <w:szCs w:val="24"/>
                  </w:rPr>
                  <w:t xml:space="preserve">029 – </w:t>
                </w:r>
                <w:r>
                  <w:rPr>
                    <w:color w:val="000000"/>
                    <w:szCs w:val="24"/>
                    <w:shd w:val="clear" w:color="auto" w:fill="FFFFFF"/>
                  </w:rPr>
                  <w:t xml:space="preserve">Įmonių, mokslinių tyrimų </w:t>
                </w:r>
                <w:r>
                  <w:rPr>
                    <w:color w:val="000000"/>
                    <w:szCs w:val="24"/>
                    <w:shd w:val="clear" w:color="auto" w:fill="FFFFFF"/>
                  </w:rPr>
                  <w:lastRenderedPageBreak/>
                  <w:t>centrų ir universitetų vykdomi mokslinių tyrimų ir inovacijų diegimo procesai, technologijų perdavimas ir bendradarbiavimas, daugiausia dėmesio skiriant mažo anglies dioksido kiekio technologijų ekonomikai ir atsparumui klimato kaitai bei prisitaikymui prie jos</w:t>
                </w:r>
              </w:p>
            </w:tc>
            <w:tc>
              <w:tcPr>
                <w:tcW w:w="1344" w:type="dxa"/>
                <w:tcMar>
                  <w:left w:w="28" w:type="dxa"/>
                  <w:right w:w="28" w:type="dxa"/>
                </w:tcMar>
              </w:tcPr>
              <w:p w:rsidR="000363B9" w:rsidRDefault="00E82DB0">
                <w:pPr>
                  <w:jc w:val="center"/>
                  <w:rPr>
                    <w:szCs w:val="24"/>
                  </w:rPr>
                </w:pPr>
                <w:r>
                  <w:rPr>
                    <w:szCs w:val="24"/>
                  </w:rPr>
                  <w:lastRenderedPageBreak/>
                  <w:t xml:space="preserve">Sostinės regionas </w:t>
                </w:r>
              </w:p>
            </w:tc>
            <w:tc>
              <w:tcPr>
                <w:tcW w:w="1080" w:type="dxa"/>
                <w:tcMar>
                  <w:left w:w="28" w:type="dxa"/>
                  <w:right w:w="28" w:type="dxa"/>
                </w:tcMar>
              </w:tcPr>
              <w:p w:rsidR="000363B9" w:rsidRDefault="00E82DB0">
                <w:pPr>
                  <w:jc w:val="center"/>
                  <w:rPr>
                    <w:i/>
                    <w:iCs/>
                    <w:szCs w:val="24"/>
                  </w:rPr>
                </w:pPr>
                <w:r>
                  <w:rPr>
                    <w:szCs w:val="24"/>
                  </w:rPr>
                  <w:t>01 – Dotacija</w:t>
                </w:r>
              </w:p>
            </w:tc>
            <w:tc>
              <w:tcPr>
                <w:tcW w:w="1344" w:type="dxa"/>
                <w:tcMar>
                  <w:left w:w="28" w:type="dxa"/>
                  <w:right w:w="28" w:type="dxa"/>
                </w:tcMar>
              </w:tcPr>
              <w:p w:rsidR="000363B9" w:rsidRDefault="00E82DB0">
                <w:pPr>
                  <w:jc w:val="center"/>
                  <w:rPr>
                    <w:i/>
                    <w:iCs/>
                    <w:szCs w:val="24"/>
                  </w:rPr>
                </w:pPr>
                <w:r>
                  <w:rPr>
                    <w:szCs w:val="24"/>
                  </w:rPr>
                  <w:t xml:space="preserve">33 – Nesiorientuojant į </w:t>
                </w:r>
                <w:proofErr w:type="spellStart"/>
                <w:r>
                  <w:rPr>
                    <w:szCs w:val="24"/>
                  </w:rPr>
                  <w:t>teritoriškumą</w:t>
                </w:r>
                <w:proofErr w:type="spellEnd"/>
              </w:p>
            </w:tc>
            <w:tc>
              <w:tcPr>
                <w:tcW w:w="1328" w:type="dxa"/>
                <w:tcMar>
                  <w:left w:w="28" w:type="dxa"/>
                  <w:right w:w="28" w:type="dxa"/>
                </w:tcMar>
              </w:tcPr>
              <w:p w:rsidR="000363B9" w:rsidRDefault="00E82DB0">
                <w:pPr>
                  <w:jc w:val="center"/>
                  <w:rPr>
                    <w:i/>
                    <w:iCs/>
                    <w:szCs w:val="24"/>
                  </w:rPr>
                </w:pPr>
                <w:r>
                  <w:rPr>
                    <w:iCs/>
                    <w:szCs w:val="24"/>
                  </w:rPr>
                  <w:t xml:space="preserve">26 </w:t>
                </w:r>
                <w:r>
                  <w:rPr>
                    <w:szCs w:val="24"/>
                  </w:rPr>
                  <w:t>–</w:t>
                </w:r>
                <w:r>
                  <w:rPr>
                    <w:i/>
                    <w:iCs/>
                    <w:szCs w:val="24"/>
                  </w:rPr>
                  <w:t xml:space="preserve"> </w:t>
                </w:r>
                <w:r>
                  <w:t>kitos nenurodytos paslaugos</w:t>
                </w:r>
              </w:p>
            </w:tc>
            <w:tc>
              <w:tcPr>
                <w:tcW w:w="1132" w:type="dxa"/>
                <w:tcMar>
                  <w:left w:w="28" w:type="dxa"/>
                  <w:right w:w="28" w:type="dxa"/>
                </w:tcMar>
              </w:tcPr>
              <w:p w:rsidR="000363B9" w:rsidRDefault="00E82DB0">
                <w:pPr>
                  <w:jc w:val="center"/>
                  <w:rPr>
                    <w:i/>
                    <w:iCs/>
                    <w:szCs w:val="24"/>
                  </w:rPr>
                </w:pPr>
                <w:r>
                  <w:rPr>
                    <w:szCs w:val="24"/>
                  </w:rPr>
                  <w:t>09 – Netaikoma</w:t>
                </w:r>
              </w:p>
            </w:tc>
            <w:tc>
              <w:tcPr>
                <w:tcW w:w="1149" w:type="dxa"/>
                <w:tcMar>
                  <w:left w:w="28" w:type="dxa"/>
                  <w:right w:w="28" w:type="dxa"/>
                </w:tcMar>
              </w:tcPr>
              <w:p w:rsidR="000363B9" w:rsidRDefault="00E82DB0">
                <w:pPr>
                  <w:rPr>
                    <w:szCs w:val="24"/>
                  </w:rPr>
                </w:pPr>
                <w:r>
                  <w:rPr>
                    <w:szCs w:val="24"/>
                  </w:rPr>
                  <w:t>03 – Neutralumas lyties požiūriu</w:t>
                </w:r>
              </w:p>
            </w:tc>
          </w:tr>
          <w:tr w:rsidR="000363B9">
            <w:trPr>
              <w:trHeight w:val="278"/>
            </w:trPr>
            <w:tc>
              <w:tcPr>
                <w:tcW w:w="1110"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2.2.2.</w:t>
                </w:r>
              </w:p>
              <w:p w:rsidR="000363B9" w:rsidRDefault="00E82DB0">
                <w:pPr>
                  <w:jc w:val="center"/>
                  <w:rPr>
                    <w:szCs w:val="24"/>
                  </w:rPr>
                </w:pPr>
                <w:r>
                  <w:rPr>
                    <w:szCs w:val="24"/>
                  </w:rPr>
                  <w:t xml:space="preserve">Didinti mokslo </w:t>
                </w:r>
                <w:proofErr w:type="spellStart"/>
                <w:r>
                  <w:rPr>
                    <w:szCs w:val="24"/>
                  </w:rPr>
                  <w:t>tarptautiškumo</w:t>
                </w:r>
                <w:proofErr w:type="spellEnd"/>
                <w:r>
                  <w:rPr>
                    <w:szCs w:val="24"/>
                  </w:rPr>
                  <w:t xml:space="preserve"> lygį (VVL) </w:t>
                </w:r>
              </w:p>
            </w:tc>
            <w:tc>
              <w:tcPr>
                <w:tcW w:w="1023"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Europos Sąjungos fondų lėšos ir Europos Sąjungos fondų bendrojo finansavimo lėšos</w:t>
                </w:r>
              </w:p>
            </w:tc>
            <w:tc>
              <w:tcPr>
                <w:tcW w:w="1236"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rPr>
                    <w:szCs w:val="24"/>
                  </w:rPr>
                </w:pPr>
                <w:r>
                  <w:rPr>
                    <w:szCs w:val="24"/>
                  </w:rPr>
                  <w:t>1. Pažangesnė Lietuva</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 xml:space="preserve">1.1. Plėtoti ir stiprinti mokslinių tyrimų ir inovacinius </w:t>
                </w:r>
                <w:proofErr w:type="spellStart"/>
                <w:r>
                  <w:rPr>
                    <w:szCs w:val="24"/>
                  </w:rPr>
                  <w:t>pajėgumus</w:t>
                </w:r>
                <w:proofErr w:type="spellEnd"/>
                <w:r>
                  <w:rPr>
                    <w:szCs w:val="24"/>
                  </w:rPr>
                  <w:t xml:space="preserve"> ir diegti pažangiąsias technologijas </w:t>
                </w:r>
              </w:p>
            </w:tc>
            <w:tc>
              <w:tcPr>
                <w:tcW w:w="992"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highlight w:val="yellow"/>
                  </w:rPr>
                </w:pPr>
                <w:proofErr w:type="spellStart"/>
                <w:r>
                  <w:t>EuroHPC</w:t>
                </w:r>
                <w:proofErr w:type="spellEnd"/>
                <w:r>
                  <w:t xml:space="preserve"> partnerystės kompetencijos centro veiklų, numatytų EK dotacijos sutartyje,  įgyvendinimas </w:t>
                </w:r>
              </w:p>
            </w:tc>
            <w:tc>
              <w:tcPr>
                <w:tcW w:w="1984"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rPr>
                    <w:iCs/>
                    <w:szCs w:val="24"/>
                  </w:rPr>
                </w:pPr>
                <w:r>
                  <w:rPr>
                    <w:iCs/>
                    <w:szCs w:val="24"/>
                  </w:rPr>
                  <w:t xml:space="preserve">012 – Viešųjų mokslinių tyrimų centrų, aukštojo mokslo įstaigų ir kompetencijos centrų mokslinių tyrimų ir inovacijų veikla, įskaitant </w:t>
                </w:r>
                <w:proofErr w:type="spellStart"/>
                <w:r>
                  <w:rPr>
                    <w:iCs/>
                    <w:szCs w:val="24"/>
                  </w:rPr>
                  <w:t>tinklaveiką</w:t>
                </w:r>
                <w:proofErr w:type="spellEnd"/>
                <w:r>
                  <w:rPr>
                    <w:iCs/>
                    <w:szCs w:val="24"/>
                  </w:rPr>
                  <w:t xml:space="preserve"> (pramoniniai tyrimai, eksperimentinė plėtra, galimybių studijos);</w:t>
                </w:r>
              </w:p>
              <w:p w:rsidR="000363B9" w:rsidRDefault="00E82DB0">
                <w:pPr>
                  <w:rPr>
                    <w:iCs/>
                    <w:szCs w:val="24"/>
                  </w:rPr>
                </w:pPr>
                <w:r>
                  <w:rPr>
                    <w:iCs/>
                    <w:szCs w:val="24"/>
                  </w:rPr>
                  <w:t xml:space="preserve">029 – Įmonių, mokslinių tyrimų centrų ir universitetų vykdomi mokslinių </w:t>
                </w:r>
                <w:r>
                  <w:rPr>
                    <w:iCs/>
                    <w:szCs w:val="24"/>
                  </w:rPr>
                  <w:lastRenderedPageBreak/>
                  <w:t>tyrimų ir inovacijų diegimo procesai, technologijų perdavimas ir bendradarbiavimas, daugiausia dėmesio skiriant mažo anglies dioksido kiekio technologijų ekonomikai ir atsparumui klimato kaitai bei prisitaikymui prie jos</w:t>
                </w:r>
              </w:p>
            </w:tc>
            <w:tc>
              <w:tcPr>
                <w:tcW w:w="1344"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lastRenderedPageBreak/>
                  <w:t xml:space="preserve">Vidurio ir vakarų Lietuvos regionas </w:t>
                </w:r>
              </w:p>
            </w:tc>
            <w:tc>
              <w:tcPr>
                <w:tcW w:w="1080"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01 – Dotacija</w:t>
                </w:r>
              </w:p>
            </w:tc>
            <w:tc>
              <w:tcPr>
                <w:tcW w:w="1344"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 xml:space="preserve">33 – Nesiorientuojant į </w:t>
                </w:r>
                <w:proofErr w:type="spellStart"/>
                <w:r>
                  <w:rPr>
                    <w:szCs w:val="24"/>
                  </w:rPr>
                  <w:t>teritoriškumą</w:t>
                </w:r>
                <w:proofErr w:type="spellEnd"/>
              </w:p>
            </w:tc>
            <w:tc>
              <w:tcPr>
                <w:tcW w:w="1328"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iCs/>
                    <w:szCs w:val="24"/>
                  </w:rPr>
                </w:pPr>
                <w:r>
                  <w:rPr>
                    <w:iCs/>
                    <w:szCs w:val="24"/>
                  </w:rPr>
                  <w:t xml:space="preserve">26 </w:t>
                </w:r>
                <w:r>
                  <w:rPr>
                    <w:szCs w:val="24"/>
                  </w:rPr>
                  <w:t>–</w:t>
                </w:r>
                <w:r>
                  <w:rPr>
                    <w:iCs/>
                    <w:szCs w:val="24"/>
                  </w:rPr>
                  <w:t xml:space="preserve"> kitos nenurodytos paslaugos</w:t>
                </w:r>
              </w:p>
            </w:tc>
            <w:tc>
              <w:tcPr>
                <w:tcW w:w="1132"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09 – Netaikoma</w:t>
                </w:r>
              </w:p>
            </w:tc>
            <w:tc>
              <w:tcPr>
                <w:tcW w:w="1149"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rPr>
                    <w:szCs w:val="24"/>
                  </w:rPr>
                </w:pPr>
                <w:r>
                  <w:rPr>
                    <w:szCs w:val="24"/>
                  </w:rPr>
                  <w:t>03 – Neutralumas lyties požiūriu</w:t>
                </w:r>
              </w:p>
            </w:tc>
          </w:tr>
        </w:tbl>
        <w:p w:rsidR="000363B9" w:rsidRDefault="000363B9">
          <w:pPr>
            <w:jc w:val="both"/>
            <w:rPr>
              <w:i/>
              <w:iCs/>
              <w:szCs w:val="24"/>
            </w:rPr>
          </w:pPr>
        </w:p>
        <w:p w:rsidR="000363B9" w:rsidRDefault="00E82DB0">
          <w:pPr>
            <w:jc w:val="both"/>
            <w:rPr>
              <w:szCs w:val="24"/>
            </w:rPr>
          </w:pPr>
          <w:r>
            <w:rPr>
              <w:szCs w:val="24"/>
            </w:rPr>
            <w:t>Projektai pagal šią veiklą turi pasiekti visus toliau išvardintus stebėsenos rodiklius:</w:t>
          </w:r>
        </w:p>
        <w:p w:rsidR="000363B9" w:rsidRDefault="000363B9">
          <w:pPr>
            <w:jc w:val="both"/>
            <w:rPr>
              <w:szCs w:val="24"/>
            </w:rPr>
          </w:pPr>
        </w:p>
        <w:p w:rsidR="000363B9" w:rsidRDefault="00E82DB0">
          <w:pPr>
            <w:rPr>
              <w:szCs w:val="24"/>
            </w:rPr>
          </w:pPr>
          <w:r>
            <w:rPr>
              <w:color w:val="000000"/>
              <w:szCs w:val="24"/>
            </w:rPr>
            <w:t xml:space="preserve">Įgyvendinant </w:t>
          </w:r>
          <w:proofErr w:type="spellStart"/>
          <w:r>
            <w:rPr>
              <w:color w:val="000000"/>
              <w:szCs w:val="24"/>
            </w:rPr>
            <w:t>poveiklę</w:t>
          </w:r>
          <w:proofErr w:type="spellEnd"/>
          <w:r>
            <w:rPr>
              <w:color w:val="000000"/>
              <w:szCs w:val="24"/>
            </w:rPr>
            <w:t xml:space="preserve"> „2.2.1. </w:t>
          </w:r>
          <w:r>
            <w:rPr>
              <w:szCs w:val="24"/>
            </w:rPr>
            <w:t xml:space="preserve">Didinti mokslo </w:t>
          </w:r>
          <w:proofErr w:type="spellStart"/>
          <w:r>
            <w:rPr>
              <w:szCs w:val="24"/>
            </w:rPr>
            <w:t>tarptautiškumo</w:t>
          </w:r>
          <w:proofErr w:type="spellEnd"/>
          <w:r>
            <w:rPr>
              <w:szCs w:val="24"/>
            </w:rPr>
            <w:t xml:space="preserve"> lygį (</w:t>
          </w:r>
          <w:r>
            <w:rPr>
              <w:color w:val="000000"/>
              <w:szCs w:val="24"/>
            </w:rPr>
            <w:t>Sostinė)“:</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363B9">
            <w:trPr>
              <w:trHeight w:val="405"/>
            </w:trPr>
            <w:tc>
              <w:tcPr>
                <w:tcW w:w="3688" w:type="dxa"/>
                <w:shd w:val="clear" w:color="auto" w:fill="auto"/>
                <w:vAlign w:val="center"/>
              </w:tcPr>
              <w:p w:rsidR="000363B9" w:rsidRDefault="00E82DB0">
                <w:pPr>
                  <w:jc w:val="center"/>
                  <w:rPr>
                    <w:szCs w:val="24"/>
                  </w:rPr>
                </w:pPr>
                <w:r>
                  <w:rPr>
                    <w:szCs w:val="24"/>
                  </w:rPr>
                  <w:t>Rodiklio pavadinimas</w:t>
                </w:r>
              </w:p>
            </w:tc>
            <w:tc>
              <w:tcPr>
                <w:tcW w:w="3688" w:type="dxa"/>
                <w:shd w:val="clear" w:color="auto" w:fill="auto"/>
                <w:vAlign w:val="center"/>
              </w:tcPr>
              <w:p w:rsidR="000363B9" w:rsidRDefault="00E82DB0">
                <w:pPr>
                  <w:jc w:val="center"/>
                  <w:rPr>
                    <w:szCs w:val="24"/>
                  </w:rPr>
                </w:pPr>
                <w:r>
                  <w:rPr>
                    <w:szCs w:val="24"/>
                  </w:rPr>
                  <w:t>Rodiklio kodas</w:t>
                </w:r>
              </w:p>
            </w:tc>
            <w:tc>
              <w:tcPr>
                <w:tcW w:w="3688" w:type="dxa"/>
                <w:shd w:val="clear" w:color="auto" w:fill="auto"/>
                <w:vAlign w:val="center"/>
              </w:tcPr>
              <w:p w:rsidR="000363B9" w:rsidRDefault="00E82DB0">
                <w:pPr>
                  <w:jc w:val="center"/>
                  <w:rPr>
                    <w:szCs w:val="24"/>
                  </w:rPr>
                </w:pPr>
                <w:r>
                  <w:rPr>
                    <w:szCs w:val="24"/>
                  </w:rPr>
                  <w:t>Matavimo vienetai</w:t>
                </w:r>
              </w:p>
            </w:tc>
            <w:tc>
              <w:tcPr>
                <w:tcW w:w="3688" w:type="dxa"/>
                <w:shd w:val="clear" w:color="auto" w:fill="auto"/>
                <w:vAlign w:val="center"/>
              </w:tcPr>
              <w:p w:rsidR="000363B9" w:rsidRDefault="00E82DB0">
                <w:pPr>
                  <w:jc w:val="center"/>
                  <w:rPr>
                    <w:szCs w:val="24"/>
                  </w:rPr>
                </w:pPr>
                <w:r>
                  <w:rPr>
                    <w:szCs w:val="24"/>
                  </w:rPr>
                  <w:t>Siektina reikšmė</w:t>
                </w:r>
              </w:p>
            </w:tc>
          </w:tr>
          <w:tr w:rsidR="000363B9">
            <w:trPr>
              <w:trHeight w:val="725"/>
            </w:trPr>
            <w:tc>
              <w:tcPr>
                <w:tcW w:w="3688" w:type="dxa"/>
                <w:vAlign w:val="center"/>
              </w:tcPr>
              <w:p w:rsidR="000363B9" w:rsidRDefault="00E82DB0">
                <w:pPr>
                  <w:jc w:val="center"/>
                  <w:rPr>
                    <w:i/>
                    <w:iCs/>
                    <w:szCs w:val="24"/>
                  </w:rPr>
                </w:pPr>
                <w:r>
                  <w:rPr>
                    <w:szCs w:val="24"/>
                  </w:rPr>
                  <w:t>Asmenys, dalyvavę EURO HPC centro veiklose</w:t>
                </w:r>
              </w:p>
            </w:tc>
            <w:tc>
              <w:tcPr>
                <w:tcW w:w="3688" w:type="dxa"/>
                <w:vAlign w:val="center"/>
              </w:tcPr>
              <w:p w:rsidR="000363B9" w:rsidRDefault="00E82DB0">
                <w:pPr>
                  <w:jc w:val="center"/>
                  <w:rPr>
                    <w:szCs w:val="24"/>
                  </w:rPr>
                </w:pPr>
                <w:r>
                  <w:rPr>
                    <w:szCs w:val="24"/>
                  </w:rPr>
                  <w:t>P-12-001-01-02-01-22</w:t>
                </w:r>
              </w:p>
              <w:p w:rsidR="000363B9" w:rsidRDefault="00E82DB0">
                <w:pPr>
                  <w:jc w:val="center"/>
                </w:pPr>
                <w:r>
                  <w:rPr>
                    <w:color w:val="000000"/>
                  </w:rPr>
                  <w:t>P.N.2.4566</w:t>
                </w:r>
              </w:p>
            </w:tc>
            <w:tc>
              <w:tcPr>
                <w:tcW w:w="3688" w:type="dxa"/>
                <w:vAlign w:val="center"/>
              </w:tcPr>
              <w:p w:rsidR="000363B9" w:rsidRDefault="00E82DB0">
                <w:pPr>
                  <w:jc w:val="center"/>
                  <w:rPr>
                    <w:szCs w:val="24"/>
                  </w:rPr>
                </w:pPr>
                <w:r>
                  <w:rPr>
                    <w:szCs w:val="24"/>
                  </w:rPr>
                  <w:t>Skaičius</w:t>
                </w:r>
              </w:p>
            </w:tc>
            <w:tc>
              <w:tcPr>
                <w:tcW w:w="3688" w:type="dxa"/>
                <w:vAlign w:val="center"/>
              </w:tcPr>
              <w:p w:rsidR="000363B9" w:rsidRDefault="00E82DB0">
                <w:pPr>
                  <w:jc w:val="center"/>
                  <w:rPr>
                    <w:szCs w:val="24"/>
                    <w:highlight w:val="yellow"/>
                  </w:rPr>
                </w:pPr>
                <w:r>
                  <w:rPr>
                    <w:szCs w:val="24"/>
                  </w:rPr>
                  <w:t>130</w:t>
                </w:r>
              </w:p>
            </w:tc>
          </w:tr>
        </w:tbl>
        <w:p w:rsidR="000363B9" w:rsidRDefault="000363B9">
          <w:pPr>
            <w:jc w:val="both"/>
            <w:rPr>
              <w:szCs w:val="24"/>
            </w:rPr>
          </w:pPr>
        </w:p>
        <w:p w:rsidR="000363B9" w:rsidRDefault="00E82DB0">
          <w:pPr>
            <w:jc w:val="both"/>
            <w:rPr>
              <w:szCs w:val="24"/>
            </w:rPr>
          </w:pPr>
          <w:r>
            <w:rPr>
              <w:szCs w:val="24"/>
            </w:rPr>
            <w:t xml:space="preserve">Įgyvendinant </w:t>
          </w:r>
          <w:proofErr w:type="spellStart"/>
          <w:r>
            <w:rPr>
              <w:szCs w:val="24"/>
            </w:rPr>
            <w:t>poveiklę</w:t>
          </w:r>
          <w:proofErr w:type="spellEnd"/>
          <w:r>
            <w:rPr>
              <w:szCs w:val="24"/>
            </w:rPr>
            <w:t xml:space="preserve"> „2.2.2. Didinti mokslo </w:t>
          </w:r>
          <w:proofErr w:type="spellStart"/>
          <w:r>
            <w:rPr>
              <w:szCs w:val="24"/>
            </w:rPr>
            <w:t>tarptautiškumo</w:t>
          </w:r>
          <w:proofErr w:type="spellEnd"/>
          <w:r>
            <w:rPr>
              <w:szCs w:val="24"/>
            </w:rPr>
            <w:t xml:space="preserve"> lygį (VVL)“:</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363B9">
            <w:trPr>
              <w:trHeight w:val="405"/>
            </w:trPr>
            <w:tc>
              <w:tcPr>
                <w:tcW w:w="3688" w:type="dxa"/>
                <w:shd w:val="clear" w:color="auto" w:fill="auto"/>
                <w:vAlign w:val="center"/>
              </w:tcPr>
              <w:p w:rsidR="000363B9" w:rsidRDefault="00E82DB0">
                <w:pPr>
                  <w:jc w:val="center"/>
                  <w:rPr>
                    <w:szCs w:val="24"/>
                  </w:rPr>
                </w:pPr>
                <w:r>
                  <w:rPr>
                    <w:szCs w:val="24"/>
                  </w:rPr>
                  <w:t>Rodiklio pavadinimas</w:t>
                </w:r>
              </w:p>
            </w:tc>
            <w:tc>
              <w:tcPr>
                <w:tcW w:w="3688" w:type="dxa"/>
                <w:shd w:val="clear" w:color="auto" w:fill="auto"/>
                <w:vAlign w:val="center"/>
              </w:tcPr>
              <w:p w:rsidR="000363B9" w:rsidRDefault="00E82DB0">
                <w:pPr>
                  <w:jc w:val="center"/>
                  <w:rPr>
                    <w:szCs w:val="24"/>
                  </w:rPr>
                </w:pPr>
                <w:r>
                  <w:rPr>
                    <w:szCs w:val="24"/>
                  </w:rPr>
                  <w:t>Rodiklio kodas</w:t>
                </w:r>
              </w:p>
            </w:tc>
            <w:tc>
              <w:tcPr>
                <w:tcW w:w="3688" w:type="dxa"/>
                <w:shd w:val="clear" w:color="auto" w:fill="auto"/>
                <w:vAlign w:val="center"/>
              </w:tcPr>
              <w:p w:rsidR="000363B9" w:rsidRDefault="00E82DB0">
                <w:pPr>
                  <w:jc w:val="center"/>
                  <w:rPr>
                    <w:szCs w:val="24"/>
                  </w:rPr>
                </w:pPr>
                <w:r>
                  <w:rPr>
                    <w:szCs w:val="24"/>
                  </w:rPr>
                  <w:t>Matavimo vienetai</w:t>
                </w:r>
              </w:p>
            </w:tc>
            <w:tc>
              <w:tcPr>
                <w:tcW w:w="3688" w:type="dxa"/>
                <w:shd w:val="clear" w:color="auto" w:fill="auto"/>
                <w:vAlign w:val="center"/>
              </w:tcPr>
              <w:p w:rsidR="000363B9" w:rsidRDefault="00E82DB0">
                <w:pPr>
                  <w:jc w:val="center"/>
                  <w:rPr>
                    <w:szCs w:val="24"/>
                  </w:rPr>
                </w:pPr>
                <w:r>
                  <w:rPr>
                    <w:szCs w:val="24"/>
                  </w:rPr>
                  <w:t>Siektina reikšmė</w:t>
                </w:r>
              </w:p>
            </w:tc>
          </w:tr>
          <w:tr w:rsidR="000363B9">
            <w:trPr>
              <w:trHeight w:val="725"/>
            </w:trPr>
            <w:tc>
              <w:tcPr>
                <w:tcW w:w="3688" w:type="dxa"/>
                <w:vAlign w:val="center"/>
              </w:tcPr>
              <w:p w:rsidR="000363B9" w:rsidRDefault="00E82DB0">
                <w:pPr>
                  <w:jc w:val="center"/>
                  <w:rPr>
                    <w:i/>
                    <w:iCs/>
                    <w:szCs w:val="24"/>
                  </w:rPr>
                </w:pPr>
                <w:r>
                  <w:rPr>
                    <w:szCs w:val="24"/>
                  </w:rPr>
                  <w:t>Asmenys, dalyvavę EURO HPC centro veiklose</w:t>
                </w:r>
              </w:p>
            </w:tc>
            <w:tc>
              <w:tcPr>
                <w:tcW w:w="3688" w:type="dxa"/>
                <w:vAlign w:val="center"/>
              </w:tcPr>
              <w:p w:rsidR="000363B9" w:rsidRDefault="00E82DB0">
                <w:pPr>
                  <w:jc w:val="center"/>
                  <w:rPr>
                    <w:szCs w:val="24"/>
                  </w:rPr>
                </w:pPr>
                <w:r>
                  <w:rPr>
                    <w:szCs w:val="24"/>
                  </w:rPr>
                  <w:t>P-12-001-01-02-01-22</w:t>
                </w:r>
              </w:p>
              <w:p w:rsidR="000363B9" w:rsidRDefault="00E82DB0">
                <w:pPr>
                  <w:jc w:val="center"/>
                </w:pPr>
                <w:r>
                  <w:rPr>
                    <w:color w:val="000000"/>
                  </w:rPr>
                  <w:t>P.N.2.4566</w:t>
                </w:r>
              </w:p>
            </w:tc>
            <w:tc>
              <w:tcPr>
                <w:tcW w:w="3688" w:type="dxa"/>
                <w:vAlign w:val="center"/>
              </w:tcPr>
              <w:p w:rsidR="000363B9" w:rsidRDefault="00E82DB0">
                <w:pPr>
                  <w:jc w:val="center"/>
                  <w:rPr>
                    <w:szCs w:val="24"/>
                  </w:rPr>
                </w:pPr>
                <w:r>
                  <w:rPr>
                    <w:szCs w:val="24"/>
                  </w:rPr>
                  <w:t>Skaičius</w:t>
                </w:r>
              </w:p>
            </w:tc>
            <w:tc>
              <w:tcPr>
                <w:tcW w:w="3688" w:type="dxa"/>
                <w:vAlign w:val="center"/>
              </w:tcPr>
              <w:p w:rsidR="000363B9" w:rsidRDefault="00E82DB0">
                <w:pPr>
                  <w:jc w:val="center"/>
                  <w:rPr>
                    <w:szCs w:val="24"/>
                    <w:highlight w:val="yellow"/>
                  </w:rPr>
                </w:pPr>
                <w:r>
                  <w:rPr>
                    <w:color w:val="000000"/>
                    <w:szCs w:val="24"/>
                  </w:rPr>
                  <w:t>30</w:t>
                </w:r>
              </w:p>
            </w:tc>
          </w:tr>
        </w:tbl>
        <w:p w:rsidR="000363B9" w:rsidRDefault="000363B9">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363B9">
            <w:tc>
              <w:tcPr>
                <w:tcW w:w="14709" w:type="dxa"/>
              </w:tcPr>
              <w:p w:rsidR="000363B9" w:rsidRDefault="00E82DB0">
                <w:pPr>
                  <w:rPr>
                    <w:b/>
                    <w:bCs/>
                    <w:szCs w:val="24"/>
                  </w:rPr>
                </w:pPr>
                <w:r>
                  <w:rPr>
                    <w:b/>
                    <w:bCs/>
                    <w:szCs w:val="24"/>
                  </w:rPr>
                  <w:t>SPECIALIEJI FINANSAVIMO REIKALAVIMAI</w:t>
                </w:r>
              </w:p>
            </w:tc>
          </w:tr>
          <w:tr w:rsidR="000363B9">
            <w:tc>
              <w:tcPr>
                <w:tcW w:w="14709" w:type="dxa"/>
              </w:tcPr>
              <w:p w:rsidR="000363B9" w:rsidRDefault="00E82DB0">
                <w:pPr>
                  <w:rPr>
                    <w:b/>
                    <w:bCs/>
                    <w:szCs w:val="24"/>
                  </w:rPr>
                </w:pPr>
                <w:r>
                  <w:rPr>
                    <w:b/>
                    <w:bCs/>
                    <w:szCs w:val="24"/>
                  </w:rPr>
                  <w:t>1. Taikomi teisės aktai</w:t>
                </w:r>
              </w:p>
            </w:tc>
          </w:tr>
          <w:tr w:rsidR="000363B9">
            <w:tc>
              <w:tcPr>
                <w:tcW w:w="14709" w:type="dxa"/>
              </w:tcPr>
              <w:p w:rsidR="000363B9" w:rsidRDefault="000363B9">
                <w:pPr>
                  <w:spacing w:line="257" w:lineRule="auto"/>
                  <w:jc w:val="both"/>
                  <w:rPr>
                    <w:szCs w:val="24"/>
                  </w:rPr>
                </w:pPr>
              </w:p>
              <w:p w:rsidR="000363B9" w:rsidRDefault="00E82DB0">
                <w:pPr>
                  <w:spacing w:line="257" w:lineRule="auto"/>
                  <w:jc w:val="both"/>
                  <w:rPr>
                    <w:szCs w:val="24"/>
                  </w:rPr>
                </w:pPr>
                <w:r>
                  <w:rPr>
                    <w:szCs w:val="24"/>
                  </w:rPr>
                  <w:t xml:space="preserve">Teisės aktai, kuriais vadovaujamasi rengiant, teikiant ir vertinant projekto įgyvendinimo planą, priimant sprendimą dėl projekto finansavimo, sudarant projekto sutartį ir įgyvendinant projektą, finansuojamą pagal 2022–2030 m. plėtros programos valdytojos Lietuvos Respublikos švietimo, mokslo ir </w:t>
                </w:r>
                <w:r>
                  <w:rPr>
                    <w:szCs w:val="24"/>
                  </w:rPr>
                  <w:lastRenderedPageBreak/>
                  <w:t xml:space="preserve">sporto ministerijos mokslo plėtros programos pažangos priemonės Nr. </w:t>
                </w:r>
                <w:r>
                  <w:rPr>
                    <w:color w:val="000000"/>
                    <w:szCs w:val="24"/>
                  </w:rPr>
                  <w:t>12-001-01-02-01 „</w:t>
                </w:r>
                <w:r>
                  <w:t>Stiprinti inovacijų ekosistemas mokslo centruose</w:t>
                </w:r>
                <w:r>
                  <w:rPr>
                    <w:color w:val="000000"/>
                    <w:szCs w:val="24"/>
                  </w:rPr>
                  <w:t xml:space="preserve">“ </w:t>
                </w:r>
                <w:r>
                  <w:rPr>
                    <w:szCs w:val="24"/>
                  </w:rPr>
                  <w:t>projektų finansavimo sąlygų aprašą Nr. 7 (toliau – Aprašas):</w:t>
                </w:r>
              </w:p>
              <w:p w:rsidR="000363B9" w:rsidRDefault="00E82DB0">
                <w:pPr>
                  <w:spacing w:line="257" w:lineRule="auto"/>
                  <w:jc w:val="both"/>
                  <w:rPr>
                    <w:szCs w:val="24"/>
                  </w:rPr>
                </w:pPr>
                <w:r>
                  <w:rPr>
                    <w:szCs w:val="24"/>
                  </w:rPr>
                  <w:t>Bendrieji teisės aktai:</w:t>
                </w:r>
              </w:p>
              <w:p w:rsidR="000363B9" w:rsidRDefault="00E82DB0">
                <w:pPr>
                  <w:jc w:val="both"/>
                  <w:rPr>
                    <w:szCs w:val="24"/>
                  </w:rPr>
                </w:pPr>
                <w:r>
                  <w:rPr>
                    <w:szCs w:val="24"/>
                  </w:rPr>
                  <w:t xml:space="preserve">1.1. </w:t>
                </w:r>
                <w:r>
                  <w:rPr>
                    <w:iCs/>
                    <w:szCs w:val="24"/>
                  </w:rPr>
                  <w:t xml:space="preserve">Aštuonioliktosios </w:t>
                </w:r>
                <w:r>
                  <w:rPr>
                    <w:szCs w:val="24"/>
                  </w:rPr>
                  <w:t>Lietuvos Respublikos Vyriausybės programa, patvirtinta Lietuvos Respublikos Seimo 2020 m. gruodžio 11 d. nutarimu Nr. XIV-72 „Dėl Aštuonioliktosios Lietuvos Respublikos Vyriausybės programos“;</w:t>
                </w:r>
              </w:p>
              <w:p w:rsidR="000363B9" w:rsidRDefault="00E82DB0">
                <w:pPr>
                  <w:jc w:val="both"/>
                  <w:rPr>
                    <w:szCs w:val="24"/>
                  </w:rPr>
                </w:pPr>
                <w:r>
                  <w:rPr>
                    <w:szCs w:val="24"/>
                  </w:rPr>
                  <w:t xml:space="preserve">1.2.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 </w:t>
                </w:r>
              </w:p>
              <w:p w:rsidR="000363B9" w:rsidRDefault="00E82DB0">
                <w:pPr>
                  <w:jc w:val="both"/>
                  <w:rPr>
                    <w:szCs w:val="24"/>
                  </w:rPr>
                </w:pPr>
                <w:r>
                  <w:rPr>
                    <w:szCs w:val="24"/>
                  </w:rPr>
                  <w:t xml:space="preserve">1.3. </w:t>
                </w:r>
                <w:r>
                  <w:rPr>
                    <w:shd w:val="clear" w:color="auto" w:fill="FFFFFF"/>
                  </w:rPr>
                  <w:t xml:space="preserve">2022–2030 m. plėtros programos valdytojos Lietuvos Respublikos švietimo, mokslo ir sporto ministerijos mokslo plėtros programos </w:t>
                </w:r>
                <w:r>
                  <w:t xml:space="preserve">pažangos priemonės Nr. 12-001-01-02-01 „Stiprinti inovacijų ekosistemas mokslo centruose“ aprašas, patvirtintas </w:t>
                </w:r>
                <w:r>
                  <w:rPr>
                    <w:shd w:val="clear" w:color="auto" w:fill="FFFFFF"/>
                  </w:rPr>
                  <w:t xml:space="preserve">Lietuvos Respublikos švietimo, mokslo ir sporto ministro </w:t>
                </w:r>
                <w:r>
                  <w:t xml:space="preserve">2022 m. rugpjūčio 17 d. įsakymu Nr. V-1250 „Dėl </w:t>
                </w:r>
                <w:r>
                  <w:rPr>
                    <w:shd w:val="clear" w:color="auto" w:fill="FFFFFF"/>
                  </w:rPr>
                  <w:t xml:space="preserve">2022–2030 m. plėtros programos valdytojos Lietuvos Respublikos švietimo, mokslo ir sporto ministerijos mokslo plėtros programos </w:t>
                </w:r>
                <w:r>
                  <w:t>pažangos priemonės Nr. 12-001-01-02-01 „Stiprinti inovacijų ekosistemas mokslo centruose“ aprašo patvirtinimo“;</w:t>
                </w:r>
              </w:p>
              <w:p w:rsidR="000363B9" w:rsidRDefault="00E82DB0">
                <w:pPr>
                  <w:jc w:val="both"/>
                  <w:rPr>
                    <w:szCs w:val="24"/>
                  </w:rPr>
                </w:pPr>
                <w:r>
                  <w:rPr>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0363B9" w:rsidRDefault="00E82DB0">
                <w:pPr>
                  <w:jc w:val="both"/>
                  <w:rPr>
                    <w:szCs w:val="24"/>
                  </w:rPr>
                </w:pPr>
                <w:r>
                  <w:rPr>
                    <w:szCs w:val="24"/>
                  </w:rPr>
                  <w:t>1.5.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0363B9" w:rsidRDefault="000363B9">
                <w:pPr>
                  <w:spacing w:line="257" w:lineRule="auto"/>
                  <w:jc w:val="both"/>
                  <w:rPr>
                    <w:szCs w:val="24"/>
                  </w:rPr>
                </w:pPr>
              </w:p>
              <w:p w:rsidR="000363B9" w:rsidRDefault="00E82DB0">
                <w:pPr>
                  <w:spacing w:line="257" w:lineRule="auto"/>
                  <w:jc w:val="both"/>
                  <w:rPr>
                    <w:szCs w:val="24"/>
                  </w:rPr>
                </w:pPr>
                <w:r>
                  <w:rPr>
                    <w:szCs w:val="24"/>
                  </w:rPr>
                  <w:t>Specialieji teisės aktai:</w:t>
                </w:r>
              </w:p>
              <w:p w:rsidR="000363B9" w:rsidRDefault="00E82DB0">
                <w:pPr>
                  <w:jc w:val="both"/>
                  <w:rPr>
                    <w:szCs w:val="24"/>
                  </w:rPr>
                </w:pPr>
                <w:r>
                  <w:rPr>
                    <w:szCs w:val="24"/>
                  </w:rPr>
                  <w:t>1.6. Lietuvos Respublikos mokslo ir studijų įstatymas;</w:t>
                </w:r>
              </w:p>
              <w:p w:rsidR="000363B9" w:rsidRDefault="00E82DB0">
                <w:pPr>
                  <w:jc w:val="both"/>
                  <w:rPr>
                    <w:szCs w:val="24"/>
                  </w:rPr>
                </w:pPr>
                <w:r>
                  <w:rPr>
                    <w:szCs w:val="24"/>
                  </w:rPr>
                  <w:t>1.7.</w:t>
                </w:r>
                <w:r>
                  <w:rPr>
                    <w:szCs w:val="24"/>
                    <w:lang w:eastAsia="lt-LT"/>
                  </w:rPr>
                  <w:t xml:space="preserve"> 2014 m. birželio 17 d. Komisijos reglamentas (ES) Nr. 651/2014, kuriuo tam tikrų kategorijų pagalba skelbiama suderinama su vidaus rinka taikant Sutarties 107 ir 108 straipsnius (OL 2014 L 187, p. 1) </w:t>
                </w:r>
                <w:r>
                  <w:rPr>
                    <w:szCs w:val="24"/>
                  </w:rPr>
                  <w:t>su vėlesniais pakeitimais, padarytais 2021 m. liepos 23 d. Komisijos reglamentu (ES) 2021/1237;</w:t>
                </w:r>
              </w:p>
              <w:p w:rsidR="000363B9" w:rsidRDefault="00E82DB0">
                <w:pPr>
                  <w:jc w:val="both"/>
                  <w:rPr>
                    <w:szCs w:val="24"/>
                  </w:rPr>
                </w:pPr>
                <w:r>
                  <w:rPr>
                    <w:szCs w:val="24"/>
                  </w:rPr>
                  <w:t xml:space="preserve">1.8. 2013 m. gruodžio 18 d. Komisijos reglamentas (ES) Nr. 1407/2013 dėl Sutarties dėl Europos Sąjungos veikimo 107 ir 108 straipsnių taikymo </w:t>
                </w:r>
                <w:r>
                  <w:rPr>
                    <w:i/>
                    <w:iCs/>
                    <w:szCs w:val="24"/>
                  </w:rPr>
                  <w:t>de</w:t>
                </w:r>
                <w:r>
                  <w:rPr>
                    <w:szCs w:val="24"/>
                  </w:rPr>
                  <w:t xml:space="preserve"> </w:t>
                </w:r>
                <w:proofErr w:type="spellStart"/>
                <w:r>
                  <w:rPr>
                    <w:i/>
                    <w:iCs/>
                    <w:szCs w:val="24"/>
                  </w:rPr>
                  <w:t>minimis</w:t>
                </w:r>
                <w:proofErr w:type="spellEnd"/>
                <w:r>
                  <w:rPr>
                    <w:szCs w:val="24"/>
                  </w:rPr>
                  <w:t xml:space="preserve"> pagalbai (OL 2013 L 352, p. 1).</w:t>
                </w:r>
              </w:p>
              <w:p w:rsidR="000363B9" w:rsidRDefault="00E82DB0">
                <w:pPr>
                  <w:jc w:val="both"/>
                  <w:rPr>
                    <w:iCs/>
                    <w:szCs w:val="24"/>
                  </w:rPr>
                </w:pPr>
                <w:r>
                  <w:rPr>
                    <w:iCs/>
                    <w:szCs w:val="24"/>
                  </w:rPr>
                  <w:t xml:space="preserve">Apraše vartojamos sąvokos suprantamos taip, kaip jos apibrėžtos </w:t>
                </w:r>
                <w:r>
                  <w:rPr>
                    <w:szCs w:val="24"/>
                  </w:rPr>
                  <w:t xml:space="preserve">PAFT, </w:t>
                </w:r>
                <w:r>
                  <w:rPr>
                    <w:iCs/>
                    <w:szCs w:val="24"/>
                  </w:rPr>
                  <w:t>Lietuvos Respublikos mokslo ir studijų įstatyme ir anksčiau paminėtuose teisės aktuose.</w:t>
                </w:r>
              </w:p>
              <w:p w:rsidR="000363B9" w:rsidRDefault="00E82DB0">
                <w:pPr>
                  <w:jc w:val="both"/>
                  <w:rPr>
                    <w:iCs/>
                    <w:szCs w:val="24"/>
                  </w:rPr>
                </w:pPr>
                <w:r>
                  <w:rPr>
                    <w:szCs w:val="24"/>
                  </w:rPr>
                  <w:t>Apraše vartojamos sąvokos:</w:t>
                </w:r>
              </w:p>
              <w:p w:rsidR="000363B9" w:rsidRDefault="00E82DB0">
                <w:pPr>
                  <w:tabs>
                    <w:tab w:val="left" w:pos="1581"/>
                  </w:tabs>
                  <w:jc w:val="both"/>
                </w:pPr>
                <w:r>
                  <w:rPr>
                    <w:b/>
                    <w:bCs/>
                  </w:rPr>
                  <w:t>Didelė įmonė</w:t>
                </w:r>
                <w:r>
                  <w:t xml:space="preserve"> – </w:t>
                </w:r>
                <w:r>
                  <w:rPr>
                    <w:color w:val="000000"/>
                    <w:shd w:val="clear" w:color="auto" w:fill="FFFFFF"/>
                  </w:rPr>
                  <w:t xml:space="preserve">įmonė, neatitinkanti </w:t>
                </w:r>
                <w:r>
                  <w:t xml:space="preserve">Reglamento </w:t>
                </w:r>
                <w:r>
                  <w:rPr>
                    <w:color w:val="0563C1"/>
                    <w:u w:val="single"/>
                  </w:rPr>
                  <w:t>(ES) Nr. 651/2014</w:t>
                </w:r>
                <w:r>
                  <w:t xml:space="preserve"> </w:t>
                </w:r>
                <w:r>
                  <w:rPr>
                    <w:color w:val="000000"/>
                    <w:shd w:val="clear" w:color="auto" w:fill="FFFFFF"/>
                  </w:rPr>
                  <w:t>I priede nustatytų kriterijų</w:t>
                </w:r>
                <w:r>
                  <w:t>.</w:t>
                </w:r>
              </w:p>
              <w:p w:rsidR="000363B9" w:rsidRDefault="00E82DB0">
                <w:pPr>
                  <w:tabs>
                    <w:tab w:val="left" w:pos="1581"/>
                  </w:tabs>
                  <w:jc w:val="both"/>
                </w:pPr>
                <w:r>
                  <w:rPr>
                    <w:b/>
                    <w:bCs/>
                  </w:rPr>
                  <w:t>Labai mažos, mažos ir vidutinės įmonės</w:t>
                </w:r>
                <w:r>
                  <w:t xml:space="preserve"> – suprantamos taip, kaip jos apibrėžtos Reglamento </w:t>
                </w:r>
                <w:r>
                  <w:rPr>
                    <w:color w:val="0563C1"/>
                    <w:u w:val="single"/>
                  </w:rPr>
                  <w:t>(ES) Nr. 651/2014</w:t>
                </w:r>
                <w:r>
                  <w:t xml:space="preserve"> I priede.</w:t>
                </w:r>
              </w:p>
              <w:p w:rsidR="000363B9" w:rsidRDefault="00E82DB0">
                <w:pPr>
                  <w:jc w:val="both"/>
                  <w:rPr>
                    <w:szCs w:val="24"/>
                  </w:rPr>
                </w:pPr>
                <w:r>
                  <w:rPr>
                    <w:b/>
                    <w:iCs/>
                    <w:szCs w:val="24"/>
                  </w:rPr>
                  <w:t>Dotacijos sutartis</w:t>
                </w:r>
                <w:r>
                  <w:rPr>
                    <w:iCs/>
                    <w:szCs w:val="24"/>
                  </w:rPr>
                  <w:t xml:space="preserve"> </w:t>
                </w:r>
                <w:r>
                  <w:t>–</w:t>
                </w:r>
                <w:r>
                  <w:rPr>
                    <w:iCs/>
                    <w:szCs w:val="24"/>
                  </w:rPr>
                  <w:t xml:space="preserve"> projekto „</w:t>
                </w:r>
                <w:proofErr w:type="spellStart"/>
                <w:r>
                  <w:rPr>
                    <w:iCs/>
                    <w:szCs w:val="24"/>
                  </w:rPr>
                  <w:t>National</w:t>
                </w:r>
                <w:proofErr w:type="spellEnd"/>
                <w:r>
                  <w:rPr>
                    <w:iCs/>
                    <w:szCs w:val="24"/>
                  </w:rPr>
                  <w:t xml:space="preserve"> </w:t>
                </w:r>
                <w:proofErr w:type="spellStart"/>
                <w:r>
                  <w:rPr>
                    <w:iCs/>
                    <w:szCs w:val="24"/>
                  </w:rPr>
                  <w:t>Competence</w:t>
                </w:r>
                <w:proofErr w:type="spellEnd"/>
                <w:r>
                  <w:rPr>
                    <w:iCs/>
                    <w:szCs w:val="24"/>
                  </w:rPr>
                  <w:t xml:space="preserve"> </w:t>
                </w:r>
                <w:proofErr w:type="spellStart"/>
                <w:r>
                  <w:rPr>
                    <w:iCs/>
                    <w:szCs w:val="24"/>
                  </w:rPr>
                  <w:t>Centres</w:t>
                </w:r>
                <w:proofErr w:type="spellEnd"/>
                <w:r>
                  <w:rPr>
                    <w:iCs/>
                    <w:szCs w:val="24"/>
                  </w:rPr>
                  <w:t xml:space="preserve"> </w:t>
                </w:r>
                <w:proofErr w:type="spellStart"/>
                <w:r>
                  <w:rPr>
                    <w:iCs/>
                    <w:szCs w:val="24"/>
                  </w:rPr>
                  <w:t>in</w:t>
                </w:r>
                <w:proofErr w:type="spellEnd"/>
                <w:r>
                  <w:rPr>
                    <w:iCs/>
                    <w:szCs w:val="24"/>
                  </w:rPr>
                  <w:t xml:space="preserve"> </w:t>
                </w:r>
                <w:proofErr w:type="spellStart"/>
                <w:r>
                  <w:rPr>
                    <w:iCs/>
                    <w:szCs w:val="24"/>
                  </w:rPr>
                  <w:t>the</w:t>
                </w:r>
                <w:proofErr w:type="spellEnd"/>
                <w:r>
                  <w:rPr>
                    <w:iCs/>
                    <w:szCs w:val="24"/>
                  </w:rPr>
                  <w:t xml:space="preserve"> </w:t>
                </w:r>
                <w:proofErr w:type="spellStart"/>
                <w:r>
                  <w:rPr>
                    <w:iCs/>
                    <w:szCs w:val="24"/>
                  </w:rPr>
                  <w:t>framework</w:t>
                </w:r>
                <w:proofErr w:type="spellEnd"/>
                <w:r>
                  <w:rPr>
                    <w:iCs/>
                    <w:szCs w:val="24"/>
                  </w:rPr>
                  <w:t xml:space="preserve"> </w:t>
                </w:r>
                <w:proofErr w:type="spellStart"/>
                <w:r>
                  <w:rPr>
                    <w:iCs/>
                    <w:szCs w:val="24"/>
                  </w:rPr>
                  <w:t>of</w:t>
                </w:r>
                <w:proofErr w:type="spellEnd"/>
                <w:r>
                  <w:rPr>
                    <w:iCs/>
                    <w:szCs w:val="24"/>
                  </w:rPr>
                  <w:t xml:space="preserve"> </w:t>
                </w:r>
                <w:proofErr w:type="spellStart"/>
                <w:r>
                  <w:rPr>
                    <w:iCs/>
                    <w:szCs w:val="24"/>
                  </w:rPr>
                  <w:t>EuroHPC</w:t>
                </w:r>
                <w:proofErr w:type="spellEnd"/>
                <w:r>
                  <w:rPr>
                    <w:iCs/>
                    <w:szCs w:val="24"/>
                  </w:rPr>
                  <w:t xml:space="preserve"> </w:t>
                </w:r>
                <w:proofErr w:type="spellStart"/>
                <w:r>
                  <w:rPr>
                    <w:iCs/>
                    <w:szCs w:val="24"/>
                  </w:rPr>
                  <w:t>Phase</w:t>
                </w:r>
                <w:proofErr w:type="spellEnd"/>
                <w:r>
                  <w:rPr>
                    <w:iCs/>
                    <w:szCs w:val="24"/>
                  </w:rPr>
                  <w:t xml:space="preserve"> 2  (</w:t>
                </w:r>
                <w:proofErr w:type="spellStart"/>
                <w:r>
                  <w:rPr>
                    <w:iCs/>
                    <w:szCs w:val="24"/>
                  </w:rPr>
                  <w:t>EuroCC</w:t>
                </w:r>
                <w:proofErr w:type="spellEnd"/>
                <w:r>
                  <w:rPr>
                    <w:iCs/>
                    <w:szCs w:val="24"/>
                  </w:rPr>
                  <w:t xml:space="preserve"> 2)“ finansavimo sutartis, sudaryta tarp projekto paramos gavėjų ir Europos Komisijos įgaliotos Europos našiosios kompiuterijos bendrosios įmonės – BĮ </w:t>
                </w:r>
                <w:proofErr w:type="spellStart"/>
                <w:r>
                  <w:rPr>
                    <w:iCs/>
                    <w:szCs w:val="24"/>
                  </w:rPr>
                  <w:t>EuroHPC</w:t>
                </w:r>
                <w:proofErr w:type="spellEnd"/>
                <w:r>
                  <w:rPr>
                    <w:iCs/>
                    <w:szCs w:val="24"/>
                  </w:rPr>
                  <w:t xml:space="preserve"> (angl. </w:t>
                </w:r>
                <w:proofErr w:type="spellStart"/>
                <w:r>
                  <w:rPr>
                    <w:iCs/>
                    <w:szCs w:val="24"/>
                  </w:rPr>
                  <w:t>European</w:t>
                </w:r>
                <w:proofErr w:type="spellEnd"/>
                <w:r>
                  <w:rPr>
                    <w:iCs/>
                    <w:szCs w:val="24"/>
                  </w:rPr>
                  <w:t xml:space="preserve"> </w:t>
                </w:r>
                <w:proofErr w:type="spellStart"/>
                <w:r>
                  <w:rPr>
                    <w:iCs/>
                    <w:szCs w:val="24"/>
                  </w:rPr>
                  <w:t>High-Performance</w:t>
                </w:r>
                <w:proofErr w:type="spellEnd"/>
                <w:r>
                  <w:rPr>
                    <w:iCs/>
                    <w:szCs w:val="24"/>
                  </w:rPr>
                  <w:t xml:space="preserve"> </w:t>
                </w:r>
                <w:proofErr w:type="spellStart"/>
                <w:r>
                  <w:rPr>
                    <w:iCs/>
                    <w:szCs w:val="24"/>
                  </w:rPr>
                  <w:t>Computing</w:t>
                </w:r>
                <w:proofErr w:type="spellEnd"/>
                <w:r>
                  <w:rPr>
                    <w:iCs/>
                    <w:szCs w:val="24"/>
                  </w:rPr>
                  <w:t xml:space="preserve"> </w:t>
                </w:r>
                <w:proofErr w:type="spellStart"/>
                <w:r>
                  <w:rPr>
                    <w:iCs/>
                    <w:szCs w:val="24"/>
                  </w:rPr>
                  <w:t>Joint</w:t>
                </w:r>
                <w:proofErr w:type="spellEnd"/>
                <w:r>
                  <w:rPr>
                    <w:iCs/>
                    <w:szCs w:val="24"/>
                  </w:rPr>
                  <w:t xml:space="preserve"> </w:t>
                </w:r>
                <w:proofErr w:type="spellStart"/>
                <w:r>
                  <w:rPr>
                    <w:iCs/>
                    <w:szCs w:val="24"/>
                  </w:rPr>
                  <w:t>Undertaking</w:t>
                </w:r>
                <w:proofErr w:type="spellEnd"/>
                <w:r>
                  <w:rPr>
                    <w:iCs/>
                    <w:szCs w:val="24"/>
                  </w:rPr>
                  <w:t xml:space="preserve"> – </w:t>
                </w:r>
                <w:proofErr w:type="spellStart"/>
                <w:r>
                  <w:rPr>
                    <w:iCs/>
                    <w:szCs w:val="24"/>
                  </w:rPr>
                  <w:t>EuroHPC</w:t>
                </w:r>
                <w:proofErr w:type="spellEnd"/>
                <w:r>
                  <w:rPr>
                    <w:iCs/>
                    <w:szCs w:val="24"/>
                  </w:rPr>
                  <w:t xml:space="preserve"> JU), Nr. 101101903.</w:t>
                </w:r>
              </w:p>
            </w:tc>
          </w:tr>
          <w:tr w:rsidR="000363B9">
            <w:tc>
              <w:tcPr>
                <w:tcW w:w="14709" w:type="dxa"/>
              </w:tcPr>
              <w:p w:rsidR="000363B9" w:rsidRDefault="00E82DB0">
                <w:pPr>
                  <w:rPr>
                    <w:b/>
                    <w:bCs/>
                    <w:szCs w:val="24"/>
                  </w:rPr>
                </w:pPr>
                <w:r>
                  <w:rPr>
                    <w:b/>
                    <w:bCs/>
                    <w:szCs w:val="24"/>
                  </w:rPr>
                  <w:lastRenderedPageBreak/>
                  <w:t>2. Reikalavimai projektams</w:t>
                </w:r>
              </w:p>
            </w:tc>
          </w:tr>
          <w:tr w:rsidR="000363B9">
            <w:tc>
              <w:tcPr>
                <w:tcW w:w="14709" w:type="dxa"/>
              </w:tcPr>
              <w:p w:rsidR="000363B9" w:rsidRDefault="000363B9">
                <w:pPr>
                  <w:tabs>
                    <w:tab w:val="left" w:pos="495"/>
                  </w:tabs>
                  <w:jc w:val="both"/>
                  <w:rPr>
                    <w:szCs w:val="24"/>
                  </w:rPr>
                </w:pPr>
              </w:p>
              <w:p w:rsidR="000363B9" w:rsidRDefault="00E82DB0">
                <w:pPr>
                  <w:tabs>
                    <w:tab w:val="left" w:pos="495"/>
                  </w:tabs>
                  <w:jc w:val="both"/>
                  <w:rPr>
                    <w:szCs w:val="24"/>
                  </w:rPr>
                </w:pPr>
                <w:r>
                  <w:rPr>
                    <w:szCs w:val="24"/>
                  </w:rPr>
                  <w:t>2.1. Projektų atrankos būdas – planavimo.</w:t>
                </w:r>
              </w:p>
              <w:p w:rsidR="000363B9" w:rsidRDefault="00E82DB0">
                <w:pPr>
                  <w:tabs>
                    <w:tab w:val="left" w:pos="495"/>
                  </w:tabs>
                  <w:jc w:val="both"/>
                  <w:rPr>
                    <w:szCs w:val="24"/>
                  </w:rPr>
                </w:pPr>
                <w:r>
                  <w:rPr>
                    <w:szCs w:val="24"/>
                  </w:rPr>
                  <w:t>2.2. Galimi pareiškėjai – Vilniaus universitetas (toliau – Pareiškėjai).</w:t>
                </w:r>
              </w:p>
              <w:p w:rsidR="000363B9" w:rsidRDefault="00E82DB0">
                <w:pPr>
                  <w:jc w:val="both"/>
                  <w:rPr>
                    <w:szCs w:val="24"/>
                    <w:lang w:eastAsia="lt-LT"/>
                  </w:rPr>
                </w:pPr>
                <w:r>
                  <w:rPr>
                    <w:szCs w:val="24"/>
                    <w:lang w:eastAsia="lt-LT"/>
                  </w:rPr>
                  <w:t xml:space="preserve">2.3. Galimi partneriai – </w:t>
                </w:r>
                <w:r>
                  <w:rPr>
                    <w:iCs/>
                    <w:szCs w:val="24"/>
                  </w:rPr>
                  <w:t>Vilnius Gedimino technikos universitetas, Lietuvos hidrometeorologijos tarnyba prie Aplinkos ministerijos, Kauno technologijos universitetas</w:t>
                </w:r>
                <w:r>
                  <w:rPr>
                    <w:szCs w:val="24"/>
                    <w:lang w:eastAsia="lt-LT"/>
                  </w:rPr>
                  <w:t>.</w:t>
                </w:r>
              </w:p>
              <w:p w:rsidR="000363B9" w:rsidRDefault="00E82DB0">
                <w:pPr>
                  <w:tabs>
                    <w:tab w:val="left" w:pos="22"/>
                    <w:tab w:val="left" w:pos="447"/>
                    <w:tab w:val="left" w:pos="589"/>
                    <w:tab w:val="left" w:pos="1440"/>
                  </w:tabs>
                  <w:jc w:val="both"/>
                </w:pPr>
                <w:r>
                  <w:t>2.4. Projektų tikslinė grupė – galutiniai naudos gavėjai, kuriems Pareiškėjas ir partneriai Aprašo 2.4.1 ir 2.4.2 papunkčiuose numatytoms pagrindinėms tikslinėms grupėms teiks konsultacijas ir įtrauks jas į kitas dotacijos sutartyje numatytas veiklas:</w:t>
                </w:r>
              </w:p>
              <w:p w:rsidR="000363B9" w:rsidRDefault="00E82DB0">
                <w:pPr>
                  <w:tabs>
                    <w:tab w:val="left" w:pos="22"/>
                    <w:tab w:val="left" w:pos="447"/>
                    <w:tab w:val="left" w:pos="589"/>
                    <w:tab w:val="left" w:pos="1440"/>
                  </w:tabs>
                  <w:jc w:val="both"/>
                </w:pPr>
                <w:r>
                  <w:t>2.4.1. visoje Lietuvoje veiklą vykdančios pramonės vertės kūrimo grandinėse dalyvaujančios įmonės, ypač labai mažos, mažos ir vidutinės įmonės;</w:t>
                </w:r>
              </w:p>
              <w:p w:rsidR="000363B9" w:rsidRDefault="00E82DB0">
                <w:pPr>
                  <w:tabs>
                    <w:tab w:val="left" w:pos="22"/>
                    <w:tab w:val="left" w:pos="447"/>
                    <w:tab w:val="left" w:pos="589"/>
                    <w:tab w:val="left" w:pos="1440"/>
                  </w:tabs>
                  <w:jc w:val="both"/>
                </w:pPr>
                <w:r>
                  <w:t>2.4.2. viešojo sektoriaus įstaigos, kurių vykdoma veikla, vadovaujantis Lietuvos Respublikos smulkiojo ir vidutinio verslo plėtros įstatymo 2 straipsnio 3 dalimi, nėra laikoma ekonomine veikla, ir, jei vykdoma ekonominė veikla, jos pelnas yra panaudojamas išimtinai neekonominėms veikloms plėtoti.</w:t>
                </w:r>
              </w:p>
              <w:p w:rsidR="000363B9" w:rsidRDefault="00E82DB0">
                <w:pPr>
                  <w:jc w:val="both"/>
                  <w:rPr>
                    <w:iCs/>
                    <w:szCs w:val="24"/>
                  </w:rPr>
                </w:pPr>
                <w:r>
                  <w:rPr>
                    <w:iCs/>
                    <w:szCs w:val="24"/>
                  </w:rPr>
                  <w:t xml:space="preserve">2.5. Pagal Aprašą remiama veikla – </w:t>
                </w:r>
                <w:proofErr w:type="spellStart"/>
                <w:r>
                  <w:t>EuroHPC</w:t>
                </w:r>
                <w:proofErr w:type="spellEnd"/>
                <w:r>
                  <w:t xml:space="preserve"> partnerystės kompetencijos centro veiklos, finansuojamos pagal BĮ </w:t>
                </w:r>
                <w:proofErr w:type="spellStart"/>
                <w:r>
                  <w:t>EuroHPC</w:t>
                </w:r>
                <w:proofErr w:type="spellEnd"/>
                <w:r>
                  <w:t xml:space="preserve"> dotacijos sutartį Nr. </w:t>
                </w:r>
                <w:r>
                  <w:rPr>
                    <w:iCs/>
                    <w:szCs w:val="24"/>
                  </w:rPr>
                  <w:t>101101903</w:t>
                </w:r>
                <w:r>
                  <w:t xml:space="preserve"> ir įgyvendinamos pareiškėjo ir partnerių (toliau – Dotacijos sutartis)</w:t>
                </w:r>
                <w:r>
                  <w:rPr>
                    <w:szCs w:val="24"/>
                  </w:rPr>
                  <w:t>.</w:t>
                </w:r>
              </w:p>
              <w:p w:rsidR="000363B9" w:rsidRDefault="00E82DB0">
                <w:pPr>
                  <w:jc w:val="both"/>
                  <w:rPr>
                    <w:iCs/>
                    <w:szCs w:val="24"/>
                  </w:rPr>
                </w:pPr>
                <w:r>
                  <w:rPr>
                    <w:iCs/>
                    <w:szCs w:val="24"/>
                  </w:rPr>
                  <w:t xml:space="preserve">2.6. Pagal Aprašą projektams įgyvendinti skiriama iki 499 999,99 </w:t>
                </w:r>
                <w:proofErr w:type="spellStart"/>
                <w:r>
                  <w:rPr>
                    <w:iCs/>
                    <w:szCs w:val="24"/>
                  </w:rPr>
                  <w:t>Eur</w:t>
                </w:r>
                <w:proofErr w:type="spellEnd"/>
                <w:r>
                  <w:rPr>
                    <w:iCs/>
                    <w:szCs w:val="24"/>
                  </w:rPr>
                  <w:t xml:space="preserve"> (keturių šimtų devyniasdešimt devynių tūkstančių devynių šimtų devyniasdešimt devynių eurų 99 ct). Iš kurių:</w:t>
                </w:r>
              </w:p>
              <w:p w:rsidR="000363B9" w:rsidRDefault="00E82DB0">
                <w:pPr>
                  <w:jc w:val="both"/>
                  <w:rPr>
                    <w:iCs/>
                    <w:szCs w:val="24"/>
                  </w:rPr>
                </w:pPr>
                <w:r>
                  <w:rPr>
                    <w:iCs/>
                    <w:szCs w:val="24"/>
                  </w:rPr>
                  <w:t xml:space="preserve">2.6.1. investicijos pagal </w:t>
                </w:r>
                <w:r>
                  <w:rPr>
                    <w:szCs w:val="24"/>
                    <w:bdr w:val="none" w:sz="0" w:space="0" w:color="auto" w:frame="1"/>
                  </w:rPr>
                  <w:t>intervencinės priemonės sritį</w:t>
                </w:r>
                <w:r>
                  <w:rPr>
                    <w:iCs/>
                    <w:szCs w:val="24"/>
                  </w:rPr>
                  <w:t xml:space="preserve"> 012 „Viešųjų mokslinių tyrimų centrų, aukštojo mokslo įstaigų ir kompetencijos centrų mokslinių tyrimų ir inovacijų veikla, įskaitant </w:t>
                </w:r>
                <w:proofErr w:type="spellStart"/>
                <w:r>
                  <w:rPr>
                    <w:iCs/>
                    <w:szCs w:val="24"/>
                  </w:rPr>
                  <w:t>tinklaveiką</w:t>
                </w:r>
                <w:proofErr w:type="spellEnd"/>
                <w:r>
                  <w:rPr>
                    <w:iCs/>
                    <w:szCs w:val="24"/>
                  </w:rPr>
                  <w:t xml:space="preserve"> (pramoniniai tyrimai, eksperimentinė plėtra, galimybių studijos“ sudaro iki </w:t>
                </w:r>
                <w:r>
                  <w:rPr>
                    <w:szCs w:val="24"/>
                  </w:rPr>
                  <w:t>441 713,51</w:t>
                </w:r>
                <w:r>
                  <w:rPr>
                    <w:iCs/>
                    <w:szCs w:val="24"/>
                  </w:rPr>
                  <w:t xml:space="preserve"> </w:t>
                </w:r>
                <w:proofErr w:type="spellStart"/>
                <w:r>
                  <w:rPr>
                    <w:iCs/>
                    <w:szCs w:val="24"/>
                  </w:rPr>
                  <w:t>Eur</w:t>
                </w:r>
                <w:proofErr w:type="spellEnd"/>
                <w:r>
                  <w:rPr>
                    <w:iCs/>
                    <w:szCs w:val="24"/>
                  </w:rPr>
                  <w:t xml:space="preserve"> (keturių šimtų keturiasdešimt vieno tūkstančio septynių šimtų trylikos eurų 51 ct), iš kurių:</w:t>
                </w:r>
              </w:p>
              <w:p w:rsidR="000363B9" w:rsidRDefault="00E82DB0">
                <w:pPr>
                  <w:ind w:firstLine="567"/>
                  <w:jc w:val="both"/>
                  <w:rPr>
                    <w:iCs/>
                    <w:szCs w:val="24"/>
                  </w:rPr>
                </w:pPr>
                <w:r>
                  <w:rPr>
                    <w:iCs/>
                    <w:szCs w:val="24"/>
                  </w:rPr>
                  <w:t xml:space="preserve">- iki 212 646,62 </w:t>
                </w:r>
                <w:proofErr w:type="spellStart"/>
                <w:r>
                  <w:rPr>
                    <w:iCs/>
                    <w:szCs w:val="24"/>
                  </w:rPr>
                  <w:t>Eur</w:t>
                </w:r>
                <w:proofErr w:type="spellEnd"/>
                <w:r>
                  <w:rPr>
                    <w:iCs/>
                    <w:szCs w:val="24"/>
                  </w:rPr>
                  <w:t xml:space="preserve"> (dviejų šimtų dvylikos tūkstančių šešių šimtų keturiasdešimt šešių eurų 62 ct) </w:t>
                </w:r>
                <w:r>
                  <w:rPr>
                    <w:szCs w:val="24"/>
                  </w:rPr>
                  <w:t xml:space="preserve">Europos Sąjungos fondų </w:t>
                </w:r>
                <w:r>
                  <w:rPr>
                    <w:iCs/>
                    <w:szCs w:val="24"/>
                  </w:rPr>
                  <w:t>lėšų, iš kurių iki 126 704,55 </w:t>
                </w:r>
                <w:proofErr w:type="spellStart"/>
                <w:r>
                  <w:rPr>
                    <w:iCs/>
                    <w:szCs w:val="24"/>
                  </w:rPr>
                  <w:t>Eur</w:t>
                </w:r>
                <w:proofErr w:type="spellEnd"/>
                <w:r>
                  <w:rPr>
                    <w:iCs/>
                    <w:szCs w:val="24"/>
                  </w:rPr>
                  <w:t xml:space="preserve"> (vieno šimto dvidešimt šešių tūkstančių septynių šimtų keturių eurų 55 ct) Sostinės regionui ir iki</w:t>
                </w:r>
                <w:r>
                  <w:rPr>
                    <w:szCs w:val="24"/>
                  </w:rPr>
                  <w:t xml:space="preserve"> 85 942,07 </w:t>
                </w:r>
                <w:proofErr w:type="spellStart"/>
                <w:r>
                  <w:rPr>
                    <w:iCs/>
                    <w:szCs w:val="24"/>
                  </w:rPr>
                  <w:t>Eur</w:t>
                </w:r>
                <w:proofErr w:type="spellEnd"/>
                <w:r>
                  <w:rPr>
                    <w:iCs/>
                    <w:szCs w:val="24"/>
                  </w:rPr>
                  <w:t xml:space="preserve"> (aštuoniasdešimt penkių tūkstančių devynių šimtų keturiasdešimt dviejų eurų 7 ct) Vidurio ir vakarų Lietuvos regionui;</w:t>
                </w:r>
              </w:p>
              <w:p w:rsidR="000363B9" w:rsidRDefault="00E82DB0">
                <w:pPr>
                  <w:ind w:firstLine="567"/>
                  <w:jc w:val="both"/>
                  <w:rPr>
                    <w:iCs/>
                    <w:szCs w:val="24"/>
                  </w:rPr>
                </w:pPr>
                <w:r>
                  <w:rPr>
                    <w:iCs/>
                    <w:szCs w:val="24"/>
                  </w:rPr>
                  <w:t xml:space="preserve">- iki 229 066,89 </w:t>
                </w:r>
                <w:proofErr w:type="spellStart"/>
                <w:r>
                  <w:rPr>
                    <w:iCs/>
                    <w:szCs w:val="24"/>
                  </w:rPr>
                  <w:t>Eur</w:t>
                </w:r>
                <w:proofErr w:type="spellEnd"/>
                <w:r>
                  <w:rPr>
                    <w:iCs/>
                    <w:szCs w:val="24"/>
                  </w:rPr>
                  <w:t xml:space="preserve"> (dviejų šimtų dvidešimt devynių tūkstančių šešiasdešimt šešių eurų 89 ct) Europos Sąjungos fondų bendrojo finansavimo lėšų Sostinės regionui;</w:t>
                </w:r>
              </w:p>
              <w:p w:rsidR="000363B9" w:rsidRDefault="00E82DB0">
                <w:pPr>
                  <w:jc w:val="both"/>
                  <w:rPr>
                    <w:iCs/>
                    <w:szCs w:val="24"/>
                  </w:rPr>
                </w:pPr>
                <w:r>
                  <w:rPr>
                    <w:iCs/>
                    <w:szCs w:val="24"/>
                  </w:rPr>
                  <w:t xml:space="preserve">2.6.2. investicijos pagal </w:t>
                </w:r>
                <w:r>
                  <w:rPr>
                    <w:szCs w:val="24"/>
                    <w:bdr w:val="none" w:sz="0" w:space="0" w:color="auto" w:frame="1"/>
                  </w:rPr>
                  <w:t>intervencinės priemonės sritį</w:t>
                </w:r>
                <w:r>
                  <w:rPr>
                    <w:iCs/>
                    <w:szCs w:val="24"/>
                  </w:rPr>
                  <w:t xml:space="preserve">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w:t>
                </w:r>
                <w:r>
                  <w:rPr>
                    <w:szCs w:val="24"/>
                  </w:rPr>
                  <w:t>58 286,48</w:t>
                </w:r>
                <w:r>
                  <w:rPr>
                    <w:iCs/>
                    <w:szCs w:val="24"/>
                  </w:rPr>
                  <w:t xml:space="preserve"> </w:t>
                </w:r>
                <w:proofErr w:type="spellStart"/>
                <w:r>
                  <w:rPr>
                    <w:iCs/>
                    <w:szCs w:val="24"/>
                  </w:rPr>
                  <w:t>Eur</w:t>
                </w:r>
                <w:proofErr w:type="spellEnd"/>
                <w:r>
                  <w:rPr>
                    <w:iCs/>
                    <w:szCs w:val="24"/>
                  </w:rPr>
                  <w:t xml:space="preserve"> (penkiasdešimt aštuonių tūkstančių dviejų šimtų aštuoniasdešimt šešių eurų 48 ct), iš kurių:</w:t>
                </w:r>
              </w:p>
              <w:p w:rsidR="000363B9" w:rsidRDefault="00E82DB0">
                <w:pPr>
                  <w:ind w:firstLine="567"/>
                  <w:jc w:val="both"/>
                  <w:rPr>
                    <w:iCs/>
                    <w:szCs w:val="24"/>
                  </w:rPr>
                </w:pPr>
                <w:r>
                  <w:rPr>
                    <w:iCs/>
                    <w:szCs w:val="24"/>
                  </w:rPr>
                  <w:t xml:space="preserve">- iki 42 883,09 </w:t>
                </w:r>
                <w:proofErr w:type="spellStart"/>
                <w:r>
                  <w:rPr>
                    <w:iCs/>
                    <w:szCs w:val="24"/>
                  </w:rPr>
                  <w:t>Eur</w:t>
                </w:r>
                <w:proofErr w:type="spellEnd"/>
                <w:r>
                  <w:rPr>
                    <w:iCs/>
                    <w:szCs w:val="24"/>
                  </w:rPr>
                  <w:t xml:space="preserve"> (keturiasdešimt dviejų tūkstančių aštuonių šimtų aštuoniasdešimt trijų eurų 9 ct) </w:t>
                </w:r>
                <w:r>
                  <w:rPr>
                    <w:szCs w:val="24"/>
                  </w:rPr>
                  <w:t xml:space="preserve">Europos Sąjungos fondų </w:t>
                </w:r>
                <w:r>
                  <w:rPr>
                    <w:iCs/>
                    <w:szCs w:val="24"/>
                  </w:rPr>
                  <w:t xml:space="preserve">lėšų, iš kurių iki 15 403,39 </w:t>
                </w:r>
                <w:proofErr w:type="spellStart"/>
                <w:r>
                  <w:rPr>
                    <w:iCs/>
                    <w:szCs w:val="24"/>
                  </w:rPr>
                  <w:t>Eur</w:t>
                </w:r>
                <w:proofErr w:type="spellEnd"/>
                <w:r>
                  <w:rPr>
                    <w:iCs/>
                    <w:szCs w:val="24"/>
                  </w:rPr>
                  <w:t xml:space="preserve"> (penkiolikos tūkstančių keturių šimtų trijų eurų 39 ct) Sostinės regionui ir iki</w:t>
                </w:r>
                <w:r>
                  <w:rPr>
                    <w:szCs w:val="24"/>
                  </w:rPr>
                  <w:t xml:space="preserve"> 27 479,70 </w:t>
                </w:r>
                <w:proofErr w:type="spellStart"/>
                <w:r>
                  <w:rPr>
                    <w:iCs/>
                    <w:szCs w:val="24"/>
                  </w:rPr>
                  <w:t>Eur</w:t>
                </w:r>
                <w:proofErr w:type="spellEnd"/>
                <w:r>
                  <w:rPr>
                    <w:iCs/>
                    <w:szCs w:val="24"/>
                  </w:rPr>
                  <w:t xml:space="preserve"> (dvidešimt septynių tūkstančių keturių šimtų septyniasdešimt devynių eurų 70 ct) Vidurio ir vakarų Lietuvos regionui;</w:t>
                </w:r>
              </w:p>
              <w:p w:rsidR="000363B9" w:rsidRDefault="00E82DB0">
                <w:pPr>
                  <w:ind w:firstLine="567"/>
                  <w:jc w:val="both"/>
                  <w:rPr>
                    <w:iCs/>
                    <w:szCs w:val="24"/>
                  </w:rPr>
                </w:pPr>
                <w:r>
                  <w:rPr>
                    <w:iCs/>
                    <w:szCs w:val="24"/>
                  </w:rPr>
                  <w:t xml:space="preserve">- iki 15 403,39 </w:t>
                </w:r>
                <w:proofErr w:type="spellStart"/>
                <w:r>
                  <w:rPr>
                    <w:iCs/>
                    <w:szCs w:val="24"/>
                  </w:rPr>
                  <w:t>Eur</w:t>
                </w:r>
                <w:proofErr w:type="spellEnd"/>
                <w:r>
                  <w:rPr>
                    <w:iCs/>
                    <w:szCs w:val="24"/>
                  </w:rPr>
                  <w:t xml:space="preserve"> (penkiolikos tūkstančių keturių šimtų trijų eurų 39 ct) Europos Sąjungos fondų bendrojo finansavimo lėšų Sostinės regionui.</w:t>
                </w:r>
              </w:p>
              <w:p w:rsidR="000363B9" w:rsidRDefault="00E82DB0">
                <w:pPr>
                  <w:jc w:val="both"/>
                  <w:rPr>
                    <w:iCs/>
                    <w:szCs w:val="24"/>
                  </w:rPr>
                </w:pPr>
                <w:r>
                  <w:rPr>
                    <w:iCs/>
                    <w:szCs w:val="24"/>
                  </w:rPr>
                  <w:t xml:space="preserve">2.7. Projektas turi atitikti projekto bendruosius atrankos kriterijus, nustatytus PAFT 2 priede. </w:t>
                </w:r>
              </w:p>
              <w:p w:rsidR="000363B9" w:rsidRDefault="00E82DB0">
                <w:pPr>
                  <w:jc w:val="both"/>
                  <w:rPr>
                    <w:iCs/>
                    <w:szCs w:val="24"/>
                  </w:rPr>
                </w:pPr>
                <w:r>
                  <w:rPr>
                    <w:iCs/>
                    <w:szCs w:val="24"/>
                  </w:rPr>
                  <w:t>2.8. Projekto veiklos turi būti įgyvendintos per 36 mėnesius nuo projekto sutarties įsigaliojimo. Prireikus veiklos gali būti pratęstos pagrįstam laikotarpiui, bet ne vėliau kaip iki 2029 m. rugpjūčio 31 d.</w:t>
                </w:r>
              </w:p>
              <w:p w:rsidR="000363B9" w:rsidRDefault="00E82DB0">
                <w:pPr>
                  <w:jc w:val="both"/>
                  <w:rPr>
                    <w:iCs/>
                    <w:szCs w:val="24"/>
                  </w:rPr>
                </w:pPr>
                <w:r>
                  <w:rPr>
                    <w:iCs/>
                    <w:szCs w:val="24"/>
                  </w:rPr>
                  <w:t xml:space="preserve">2.9. Projektas gali būti įgyvendinamas Sostinės regione ir Vidurio ir vakarų Lietuvos regione. Prireikus dalis veiklų gali būti įgyvendinamos Europos Sąjungos, Europos ekonominės erdvės šalių ir Jungtinės Didžiosios Britanijos ir Šiaurės Airijos Karalystės teritorijoje. </w:t>
                </w:r>
              </w:p>
              <w:p w:rsidR="000363B9" w:rsidRDefault="00E82DB0">
                <w:pPr>
                  <w:jc w:val="both"/>
                  <w:rPr>
                    <w:iCs/>
                    <w:szCs w:val="24"/>
                  </w:rPr>
                </w:pPr>
                <w:r>
                  <w:rPr>
                    <w:iCs/>
                    <w:szCs w:val="24"/>
                  </w:rPr>
                  <w:lastRenderedPageBreak/>
                  <w:t xml:space="preserve">2.10. Pareiškėjas, prieš teikdamas projekto įgyvendinimo planą (toliau – PĮP) Administruojančiajai institucijai, turi jį suderinti su </w:t>
                </w:r>
                <w:r>
                  <w:rPr>
                    <w:szCs w:val="24"/>
                  </w:rPr>
                  <w:t xml:space="preserve">Lietuvos Respublikos švietimo, mokslo ir sporto </w:t>
                </w:r>
                <w:r>
                  <w:rPr>
                    <w:iCs/>
                    <w:szCs w:val="24"/>
                  </w:rPr>
                  <w:t xml:space="preserve">ministerija. </w:t>
                </w:r>
              </w:p>
              <w:p w:rsidR="000363B9" w:rsidRDefault="00E82DB0">
                <w:pPr>
                  <w:jc w:val="both"/>
                  <w:rPr>
                    <w:iCs/>
                    <w:szCs w:val="24"/>
                  </w:rPr>
                </w:pPr>
                <w:r>
                  <w:rPr>
                    <w:iCs/>
                    <w:szCs w:val="24"/>
                  </w:rPr>
                  <w:t>2.11. Projekto vykdytojas privalo įgyvendinti privalomas matomumo ir informavimo apie projektą veiksmų priemones, nustatytas PAFT.</w:t>
                </w:r>
              </w:p>
              <w:p w:rsidR="000363B9" w:rsidRDefault="00E82DB0">
                <w:pPr>
                  <w:jc w:val="both"/>
                  <w:rPr>
                    <w:iCs/>
                    <w:szCs w:val="24"/>
                  </w:rPr>
                </w:pPr>
                <w:r>
                  <w:rPr>
                    <w:iCs/>
                    <w:szCs w:val="24"/>
                  </w:rPr>
                  <w:t xml:space="preserve">2.12. Kartu su PĮP turi būti pateikta: </w:t>
                </w:r>
              </w:p>
              <w:p w:rsidR="000363B9" w:rsidRDefault="00E82DB0">
                <w:pPr>
                  <w:jc w:val="both"/>
                  <w:rPr>
                    <w:iCs/>
                    <w:szCs w:val="24"/>
                  </w:rPr>
                </w:pPr>
                <w:r>
                  <w:rPr>
                    <w:iCs/>
                    <w:szCs w:val="24"/>
                  </w:rPr>
                  <w:t>2.12.1. partnerių deklaracijos pagal PAFT 1 priedo1 priedą;</w:t>
                </w:r>
              </w:p>
              <w:p w:rsidR="000363B9" w:rsidRDefault="00E82DB0">
                <w:pPr>
                  <w:jc w:val="both"/>
                  <w:rPr>
                    <w:iCs/>
                    <w:szCs w:val="24"/>
                  </w:rPr>
                </w:pPr>
                <w:r>
                  <w:rPr>
                    <w:iCs/>
                    <w:szCs w:val="24"/>
                  </w:rPr>
                  <w:t>2.12.2. informacija apie projekto biudžeto paskirstymą pagal pareiškėjus ir partnerius pagal PAFT 1 priedo 2 priedą;</w:t>
                </w:r>
              </w:p>
              <w:p w:rsidR="000363B9" w:rsidRDefault="00E82DB0">
                <w:pPr>
                  <w:jc w:val="both"/>
                  <w:rPr>
                    <w:iCs/>
                    <w:szCs w:val="24"/>
                  </w:rPr>
                </w:pPr>
                <w:r>
                  <w:rPr>
                    <w:iCs/>
                    <w:szCs w:val="24"/>
                  </w:rPr>
                  <w:t>2.12.3. projekto atitiktį bendriesiems projektų atrankos kriterijams, nurodytiems PAFT 2 priede, patvirtinantys dokumentai;</w:t>
                </w:r>
              </w:p>
              <w:p w:rsidR="000363B9" w:rsidRDefault="00E82DB0">
                <w:pPr>
                  <w:jc w:val="both"/>
                  <w:rPr>
                    <w:iCs/>
                    <w:szCs w:val="24"/>
                  </w:rPr>
                </w:pPr>
                <w:r>
                  <w:rPr>
                    <w:iCs/>
                    <w:szCs w:val="24"/>
                  </w:rPr>
                  <w:t>2.12.4. išlaidas pagrindžiantys dokumentai;</w:t>
                </w:r>
              </w:p>
              <w:p w:rsidR="000363B9" w:rsidRDefault="00E82DB0">
                <w:pPr>
                  <w:tabs>
                    <w:tab w:val="left" w:pos="318"/>
                  </w:tabs>
                  <w:jc w:val="both"/>
                  <w:rPr>
                    <w:iCs/>
                    <w:szCs w:val="24"/>
                  </w:rPr>
                </w:pPr>
                <w:r>
                  <w:rPr>
                    <w:iCs/>
                    <w:szCs w:val="24"/>
                  </w:rPr>
                  <w:t>2.12.5. Dotacijos sutarties su priedais kopija.</w:t>
                </w:r>
              </w:p>
              <w:p w:rsidR="000363B9" w:rsidRDefault="000363B9">
                <w:pPr>
                  <w:tabs>
                    <w:tab w:val="left" w:pos="318"/>
                  </w:tabs>
                  <w:jc w:val="both"/>
                  <w:rPr>
                    <w:szCs w:val="24"/>
                  </w:rPr>
                </w:pPr>
              </w:p>
            </w:tc>
          </w:tr>
          <w:tr w:rsidR="000363B9">
            <w:tc>
              <w:tcPr>
                <w:tcW w:w="14709" w:type="dxa"/>
              </w:tcPr>
              <w:p w:rsidR="000363B9" w:rsidRDefault="00E82DB0">
                <w:pPr>
                  <w:jc w:val="both"/>
                  <w:rPr>
                    <w:szCs w:val="24"/>
                  </w:rPr>
                </w:pPr>
                <w:r>
                  <w:rPr>
                    <w:b/>
                    <w:szCs w:val="24"/>
                  </w:rPr>
                  <w:lastRenderedPageBreak/>
                  <w:t>2.1. Reikalavimai jungtinio projekto projektams</w:t>
                </w:r>
              </w:p>
            </w:tc>
          </w:tr>
          <w:tr w:rsidR="000363B9">
            <w:trPr>
              <w:trHeight w:val="435"/>
            </w:trPr>
            <w:tc>
              <w:tcPr>
                <w:tcW w:w="14709" w:type="dxa"/>
              </w:tcPr>
              <w:p w:rsidR="000363B9" w:rsidRDefault="000363B9">
                <w:pPr>
                  <w:spacing w:line="259" w:lineRule="auto"/>
                  <w:jc w:val="both"/>
                  <w:rPr>
                    <w:szCs w:val="24"/>
                  </w:rPr>
                </w:pPr>
              </w:p>
              <w:p w:rsidR="000363B9" w:rsidRDefault="00E82DB0">
                <w:pPr>
                  <w:spacing w:line="259" w:lineRule="auto"/>
                  <w:jc w:val="both"/>
                  <w:rPr>
                    <w:szCs w:val="24"/>
                  </w:rPr>
                </w:pPr>
                <w:r>
                  <w:rPr>
                    <w:szCs w:val="24"/>
                  </w:rPr>
                  <w:t>Netaikoma.</w:t>
                </w:r>
              </w:p>
              <w:p w:rsidR="000363B9" w:rsidRDefault="000363B9">
                <w:pPr>
                  <w:spacing w:line="259" w:lineRule="auto"/>
                  <w:jc w:val="both"/>
                  <w:rPr>
                    <w:szCs w:val="24"/>
                  </w:rPr>
                </w:pPr>
              </w:p>
            </w:tc>
          </w:tr>
          <w:tr w:rsidR="000363B9">
            <w:trPr>
              <w:trHeight w:val="285"/>
            </w:trPr>
            <w:tc>
              <w:tcPr>
                <w:tcW w:w="14709" w:type="dxa"/>
              </w:tcPr>
              <w:p w:rsidR="000363B9" w:rsidRDefault="00E82DB0">
                <w:pPr>
                  <w:rPr>
                    <w:szCs w:val="24"/>
                  </w:rPr>
                </w:pPr>
                <w:r>
                  <w:rPr>
                    <w:b/>
                    <w:bCs/>
                    <w:szCs w:val="24"/>
                  </w:rPr>
                  <w:t xml:space="preserve">3. Horizontaliųjų principų reikalavimai </w:t>
                </w:r>
              </w:p>
            </w:tc>
          </w:tr>
          <w:tr w:rsidR="000363B9">
            <w:tc>
              <w:tcPr>
                <w:tcW w:w="14709" w:type="dxa"/>
              </w:tcPr>
              <w:p w:rsidR="000363B9" w:rsidRDefault="000363B9">
                <w:pPr>
                  <w:jc w:val="both"/>
                  <w:textAlignment w:val="baseline"/>
                  <w:rPr>
                    <w:szCs w:val="24"/>
                    <w:lang w:eastAsia="lt-LT"/>
                  </w:rPr>
                </w:pPr>
              </w:p>
              <w:p w:rsidR="000363B9" w:rsidRDefault="00E82DB0">
                <w:pPr>
                  <w:ind w:firstLine="62"/>
                  <w:jc w:val="both"/>
                  <w:textAlignment w:val="baseline"/>
                  <w:rPr>
                    <w:rFonts w:ascii="Segoe UI" w:hAnsi="Segoe UI" w:cs="Segoe UI"/>
                    <w:szCs w:val="24"/>
                    <w:lang w:eastAsia="lt-LT"/>
                  </w:rPr>
                </w:pPr>
                <w:r>
                  <w:rPr>
                    <w:szCs w:val="24"/>
                    <w:lang w:eastAsia="lt-LT"/>
                  </w:rPr>
                  <w:t>Projektas turi atitikti tris horizontaliuosius principus: </w:t>
                </w:r>
              </w:p>
              <w:p w:rsidR="000363B9" w:rsidRDefault="00E82DB0">
                <w:pPr>
                  <w:jc w:val="both"/>
                  <w:textAlignment w:val="baseline"/>
                  <w:rPr>
                    <w:szCs w:val="24"/>
                    <w:lang w:eastAsia="lt-LT"/>
                  </w:rPr>
                </w:pPr>
                <w:r>
                  <w:rPr>
                    <w:b/>
                    <w:bCs/>
                    <w:szCs w:val="24"/>
                    <w:lang w:eastAsia="lt-LT"/>
                  </w:rPr>
                  <w:t>Darnaus vystymosi</w:t>
                </w:r>
                <w:r>
                  <w:rPr>
                    <w:szCs w:val="24"/>
                    <w:lang w:eastAsia="lt-LT"/>
                  </w:rPr>
                  <w:t xml:space="preserve"> horizontalusis principas suprantamas kaip ekonominio, socialinio ir aplinkos sričių vystymosi balansas. Projektas turi prisidėti prie darnaus vystymosi tikslų – nelygybės mažinimo, klimato kaitos švelninimo, partnerystės stiprinimo. Siekiant didinti viešojo sektoriaus indėlį skatinant darnų vystymąsi, įgyvendinant projektines veiklas bus siekiama, kad dalis pirkimų būtų atliekami kaip žalieji viešieji pirkimai. </w:t>
                </w:r>
              </w:p>
              <w:p w:rsidR="000363B9" w:rsidRDefault="00E82DB0">
                <w:pPr>
                  <w:jc w:val="both"/>
                  <w:textAlignment w:val="baseline"/>
                  <w:rPr>
                    <w:szCs w:val="24"/>
                    <w:lang w:eastAsia="lt-LT"/>
                  </w:rPr>
                </w:pPr>
                <w:proofErr w:type="spellStart"/>
                <w:r>
                  <w:rPr>
                    <w:b/>
                    <w:bCs/>
                    <w:szCs w:val="24"/>
                    <w:lang w:eastAsia="lt-LT"/>
                  </w:rPr>
                  <w:t>Inovatyvumo</w:t>
                </w:r>
                <w:proofErr w:type="spellEnd"/>
                <w:r>
                  <w:rPr>
                    <w:szCs w:val="24"/>
                    <w:lang w:eastAsia="lt-LT"/>
                  </w:rPr>
                  <w:t xml:space="preserve"> horizontalusis principas suvokiamas kaip </w:t>
                </w:r>
                <w:proofErr w:type="spellStart"/>
                <w:r>
                  <w:rPr>
                    <w:szCs w:val="24"/>
                    <w:lang w:eastAsia="lt-LT"/>
                  </w:rPr>
                  <w:t>inovatyvių</w:t>
                </w:r>
                <w:proofErr w:type="spellEnd"/>
                <w:r>
                  <w:rPr>
                    <w:szCs w:val="24"/>
                    <w:lang w:eastAsia="lt-LT"/>
                  </w:rPr>
                  <w:t xml:space="preserve">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mokslinių tyrimų ir eksperimentinės plėtros (toliau – MTEP) ir inovacijų veikloms vykdyti skiriamų viešojo sektoriaus investicijų dalies nuoseklaus didėjimo. </w:t>
                </w:r>
              </w:p>
              <w:p w:rsidR="000363B9" w:rsidRDefault="00E82DB0">
                <w:pPr>
                  <w:jc w:val="both"/>
                  <w:textAlignment w:val="baseline"/>
                  <w:rPr>
                    <w:szCs w:val="24"/>
                    <w:lang w:eastAsia="lt-LT"/>
                  </w:rPr>
                </w:pPr>
                <w:r>
                  <w:rPr>
                    <w:b/>
                    <w:bCs/>
                    <w:szCs w:val="24"/>
                    <w:lang w:eastAsia="lt-LT"/>
                  </w:rPr>
                  <w:t>Lygių galimybių</w:t>
                </w:r>
                <w:r>
                  <w:rPr>
                    <w:szCs w:val="24"/>
                    <w:lang w:eastAsia="lt-LT"/>
                  </w:rPr>
                  <w:t xml:space="preserve"> </w:t>
                </w:r>
                <w:r>
                  <w:rPr>
                    <w:b/>
                    <w:bCs/>
                    <w:szCs w:val="24"/>
                    <w:lang w:eastAsia="lt-LT"/>
                  </w:rPr>
                  <w:t>visiems</w:t>
                </w:r>
                <w:r>
                  <w:rPr>
                    <w:szCs w:val="24"/>
                    <w:lang w:eastAsia="lt-LT"/>
                  </w:rPr>
                  <w:t xml:space="preserve"> horizontaliojo principo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Įgyvendinant projektą privaloma atsižvelgti į neįgaliųjų, moterų ir vyrų, skirtingų amžiaus grupių, tautinių mažumų ir kitų diskriminaciją patiriančių grupių poreikius ir numatyti lygių galimybių principą įgyvendinančias priemones bei rodiklius. </w:t>
                </w:r>
              </w:p>
              <w:p w:rsidR="000363B9" w:rsidRDefault="000363B9">
                <w:pPr>
                  <w:jc w:val="both"/>
                  <w:rPr>
                    <w:i/>
                    <w:iCs/>
                    <w:szCs w:val="24"/>
                  </w:rPr>
                </w:pPr>
              </w:p>
            </w:tc>
          </w:tr>
          <w:tr w:rsidR="000363B9">
            <w:tc>
              <w:tcPr>
                <w:tcW w:w="14709" w:type="dxa"/>
              </w:tcPr>
              <w:p w:rsidR="000363B9" w:rsidRDefault="00E82DB0">
                <w:pPr>
                  <w:jc w:val="both"/>
                  <w:rPr>
                    <w:szCs w:val="24"/>
                  </w:rPr>
                </w:pPr>
                <w:r>
                  <w:rPr>
                    <w:b/>
                    <w:bCs/>
                    <w:szCs w:val="24"/>
                  </w:rPr>
                  <w:t>3.1. Europos Sąjungos pagrindinių teisių chartijos reikalavimai</w:t>
                </w:r>
              </w:p>
            </w:tc>
          </w:tr>
          <w:tr w:rsidR="000363B9">
            <w:tc>
              <w:tcPr>
                <w:tcW w:w="14709" w:type="dxa"/>
              </w:tcPr>
              <w:p w:rsidR="000363B9" w:rsidRDefault="000363B9">
                <w:pPr>
                  <w:jc w:val="both"/>
                  <w:rPr>
                    <w:color w:val="242424"/>
                    <w:szCs w:val="24"/>
                  </w:rPr>
                </w:pPr>
              </w:p>
              <w:p w:rsidR="000363B9" w:rsidRDefault="00E82DB0">
                <w:pPr>
                  <w:jc w:val="both"/>
                  <w:rPr>
                    <w:color w:val="242424"/>
                    <w:szCs w:val="24"/>
                  </w:rPr>
                </w:pPr>
                <w:r>
                  <w:rPr>
                    <w:color w:val="242424"/>
                    <w:szCs w:val="24"/>
                  </w:rPr>
                  <w:t xml:space="preserve">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w:t>
                </w:r>
                <w:r>
                  <w:rPr>
                    <w:color w:val="242424"/>
                    <w:szCs w:val="24"/>
                  </w:rPr>
                  <w:lastRenderedPageBreak/>
                  <w:t>lyčių lygybės, vienodo požiūrio ir lygių galimybių, nediskriminavimo ir neįgaliųjų teisių; vaiko teisių; gero administravimo, veiksmingo teisinės gynybos, teisingumo; solidarumo ir darbuotojų teisių; aplinkos apsaugos reikalavimų.</w:t>
                </w:r>
              </w:p>
              <w:p w:rsidR="000363B9" w:rsidRDefault="000363B9">
                <w:pPr>
                  <w:jc w:val="both"/>
                  <w:rPr>
                    <w:szCs w:val="24"/>
                  </w:rPr>
                </w:pPr>
              </w:p>
            </w:tc>
          </w:tr>
          <w:tr w:rsidR="000363B9">
            <w:tc>
              <w:tcPr>
                <w:tcW w:w="14709" w:type="dxa"/>
              </w:tcPr>
              <w:p w:rsidR="000363B9" w:rsidRDefault="00E82DB0">
                <w:pPr>
                  <w:rPr>
                    <w:b/>
                    <w:bCs/>
                    <w:szCs w:val="24"/>
                  </w:rPr>
                </w:pPr>
                <w:r>
                  <w:rPr>
                    <w:b/>
                    <w:bCs/>
                    <w:szCs w:val="24"/>
                  </w:rPr>
                  <w:lastRenderedPageBreak/>
                  <w:t>4. Apskritis, kurioje gali būti įgyvendinami projektai</w:t>
                </w:r>
              </w:p>
            </w:tc>
          </w:tr>
          <w:tr w:rsidR="000363B9">
            <w:tc>
              <w:tcPr>
                <w:tcW w:w="14709" w:type="dxa"/>
              </w:tcPr>
              <w:p w:rsidR="000363B9" w:rsidRDefault="000363B9">
                <w:pPr>
                  <w:jc w:val="both"/>
                  <w:rPr>
                    <w:i/>
                    <w:iCs/>
                    <w:szCs w:val="24"/>
                  </w:rPr>
                </w:pPr>
              </w:p>
              <w:p w:rsidR="000363B9" w:rsidRDefault="00E82DB0">
                <w:pPr>
                  <w:ind w:firstLine="62"/>
                  <w:jc w:val="both"/>
                  <w:rPr>
                    <w:szCs w:val="24"/>
                  </w:rPr>
                </w:pPr>
                <w:r>
                  <w:rPr>
                    <w:szCs w:val="24"/>
                  </w:rPr>
                  <w:t>Netaikoma.</w:t>
                </w:r>
              </w:p>
              <w:p w:rsidR="000363B9" w:rsidRDefault="000363B9">
                <w:pPr>
                  <w:jc w:val="both"/>
                  <w:rPr>
                    <w:szCs w:val="24"/>
                  </w:rPr>
                </w:pPr>
              </w:p>
            </w:tc>
          </w:tr>
          <w:tr w:rsidR="000363B9">
            <w:tc>
              <w:tcPr>
                <w:tcW w:w="14709" w:type="dxa"/>
              </w:tcPr>
              <w:p w:rsidR="000363B9" w:rsidRDefault="00E82DB0">
                <w:pPr>
                  <w:jc w:val="both"/>
                  <w:rPr>
                    <w:b/>
                    <w:bCs/>
                    <w:szCs w:val="24"/>
                  </w:rPr>
                </w:pPr>
                <w:r>
                  <w:rPr>
                    <w:b/>
                    <w:bCs/>
                    <w:szCs w:val="24"/>
                  </w:rPr>
                  <w:t xml:space="preserve">5. Reikalavimai valstybės pagalbai </w:t>
                </w:r>
              </w:p>
            </w:tc>
          </w:tr>
          <w:tr w:rsidR="000363B9">
            <w:tc>
              <w:tcPr>
                <w:tcW w:w="14709" w:type="dxa"/>
              </w:tcPr>
              <w:p w:rsidR="000363B9" w:rsidRDefault="000363B9">
                <w:pPr>
                  <w:jc w:val="both"/>
                  <w:rPr>
                    <w:color w:val="000000"/>
                  </w:rPr>
                </w:pPr>
              </w:p>
              <w:p w:rsidR="000363B9" w:rsidRDefault="00E82DB0">
                <w:pPr>
                  <w:jc w:val="both"/>
                  <w:rPr>
                    <w:color w:val="000000"/>
                  </w:rPr>
                </w:pPr>
                <w:r>
                  <w:rPr>
                    <w:color w:val="000000"/>
                  </w:rPr>
                  <w:t xml:space="preserve">5.1. Valstybės pagalba ar </w:t>
                </w:r>
                <w:r>
                  <w:rPr>
                    <w:i/>
                    <w:iCs/>
                    <w:color w:val="000000"/>
                  </w:rPr>
                  <w:t xml:space="preserve">de </w:t>
                </w:r>
                <w:proofErr w:type="spellStart"/>
                <w:r>
                  <w:rPr>
                    <w:i/>
                    <w:iCs/>
                    <w:color w:val="000000"/>
                  </w:rPr>
                  <w:t>minimis</w:t>
                </w:r>
                <w:proofErr w:type="spellEnd"/>
                <w:r>
                  <w:rPr>
                    <w:i/>
                    <w:iCs/>
                    <w:color w:val="000000"/>
                  </w:rPr>
                  <w:t xml:space="preserve"> </w:t>
                </w:r>
                <w:r>
                  <w:rPr>
                    <w:color w:val="000000"/>
                  </w:rPr>
                  <w:t>pagalba</w:t>
                </w:r>
                <w:r>
                  <w:rPr>
                    <w:i/>
                    <w:iCs/>
                    <w:color w:val="000000"/>
                  </w:rPr>
                  <w:t xml:space="preserve"> </w:t>
                </w:r>
                <w:r>
                  <w:rPr>
                    <w:color w:val="000000"/>
                  </w:rPr>
                  <w:t>projekto vykdytojui ir projekto partneriams neteikiama, jeigu projekto vykdytojas ir (ar) projekto partneriai pagrindžia, kad visa nauda, kuri bus gauta vykdant Dotacijos sutartyje nurodytas veiklas, bus perduota Aprašo 2.4 papunktyje nurodytiems galutiniams naudos gavėjams, ir projekto vykdytojas bei projekto partneriai, kaip tarpininkai, negaus jokios naudos.</w:t>
                </w:r>
              </w:p>
              <w:p w:rsidR="000363B9" w:rsidRDefault="00E82DB0">
                <w:pPr>
                  <w:jc w:val="both"/>
                  <w:rPr>
                    <w:color w:val="000000"/>
                  </w:rPr>
                </w:pPr>
                <w:r>
                  <w:rPr>
                    <w:color w:val="000000"/>
                  </w:rPr>
                  <w:t xml:space="preserve">5.2. Jei projekto vykdytojas ir (ar) projekto partneriai nepagrindžia, kad nauda, kurią jie gavo vykdant Dotacijos sutartyje nurodytas veiklas, buvo perduota Aprašo 2.4 papunktyje nurodytiems galutiniams naudos gavėjams, projekto vykdytojo arba projekto partnerių vykdomoms arba įvykdytoms veikloms gali būti teikiama valstybės pagalba taikant Reglamento </w:t>
                </w:r>
                <w:r>
                  <w:rPr>
                    <w:color w:val="0563C1"/>
                    <w:u w:val="single"/>
                  </w:rPr>
                  <w:t>(ES) Nr. 651/2014</w:t>
                </w:r>
                <w:r>
                  <w:rPr>
                    <w:color w:val="000000"/>
                  </w:rPr>
                  <w:t xml:space="preserve"> I skyriaus ir 27 straipsnio 1 ir 8 dalies nuostatas. Priešingu atveju, projekto veikloms, nurodytoms Dotacijos sutartyje, skirtas finansavimas, kurį panaudojus gauta nauda nebuvo perduota Aprašo 2.4 papunktyje nurodytiems galutiniams naudos gavėjams ir kuris apskaičiuojamas iš projektui suteikto finansavimo atėmus Aprašo 2.4 papunktyje nurodytiems galutiniams naudos gavėjams suteiktų nuolaidų sumą, kartu su teisės aktų nustatyta tvarka apskaičiuotais delspinigiais projekto vykdytojas privalo grąžinti į valstybės biudžetą.</w:t>
                </w:r>
              </w:p>
              <w:p w:rsidR="000363B9" w:rsidRDefault="00E82DB0">
                <w:pPr>
                  <w:jc w:val="both"/>
                  <w:rPr>
                    <w:color w:val="000000"/>
                  </w:rPr>
                </w:pPr>
                <w:r>
                  <w:rPr>
                    <w:color w:val="000000"/>
                  </w:rPr>
                  <w:t xml:space="preserve">5.3. Valstybės pagalba Aprašo 2.4.1 papunktyje nurodytiems galutiniams naudos gavėjams labai mažoms, mažoms ir vidutinėms įmonėms teikiama vadovaujantis Reglamento </w:t>
                </w:r>
                <w:r>
                  <w:rPr>
                    <w:color w:val="0563C1"/>
                    <w:u w:val="single"/>
                  </w:rPr>
                  <w:t>(ES) Nr. 651/2014</w:t>
                </w:r>
                <w:r>
                  <w:rPr>
                    <w:color w:val="000000"/>
                  </w:rPr>
                  <w:t xml:space="preserve"> I skyriaus ir 28 straipsnio nuostatomis.</w:t>
                </w:r>
                <w:r>
                  <w:t xml:space="preserve"> </w:t>
                </w:r>
                <w:r>
                  <w:rPr>
                    <w:color w:val="000000"/>
                  </w:rPr>
                  <w:t xml:space="preserve">Tinkamoms finansuoti išlaidoms: priskiriamos patentų ir kito nematerialiojo turto gavimo, tvirtinimo ir apsaugos išlaidos, mokslinių tyrimų ir žinių sklaidos organizacijos arba didelės įmonės aukštos kvalifikacijos darbuotojų, kurie atlikdami naujai sukurtas pareigas pagalbą gaunančioje įmonėje vykdo mokslinių tyrimų, technologinės plėtros ir inovacijų veiklą, bet nepakeičia kitų darbuotojų, komandiravimo išlaidos ir (ar) inovacijų konsultacinių paslaugų ir paramos paslaugų išlaidos. Bendra pagalbos suma inovacijų konsultacinėms paslaugoms ir paramos paslaugoms negali būti didesnė kaip 200 000  (du šimtai tūkstančių) </w:t>
                </w:r>
                <w:proofErr w:type="spellStart"/>
                <w:r>
                  <w:rPr>
                    <w:color w:val="000000"/>
                  </w:rPr>
                  <w:t>Eur</w:t>
                </w:r>
                <w:proofErr w:type="spellEnd"/>
                <w:r>
                  <w:rPr>
                    <w:color w:val="000000"/>
                  </w:rPr>
                  <w:t xml:space="preserve"> vienai įmonei per trejus finansinius metus. Tuo atveju, jei Aprašo 2.4.1 papunktyje nurodytiems galutiniams naudos gavėjams labai mažoms, mažoms ir vidutinėms įmonėms konsultacinės paslaugos buvo suteiktos iki šio Aprašo patvirtinimo, laikoma, kad buvo suteikta </w:t>
                </w:r>
                <w:r>
                  <w:rPr>
                    <w:i/>
                    <w:iCs/>
                    <w:color w:val="000000"/>
                  </w:rPr>
                  <w:t xml:space="preserve">de </w:t>
                </w:r>
                <w:proofErr w:type="spellStart"/>
                <w:r>
                  <w:rPr>
                    <w:i/>
                    <w:iCs/>
                    <w:color w:val="000000"/>
                  </w:rPr>
                  <w:t>minimis</w:t>
                </w:r>
                <w:proofErr w:type="spellEnd"/>
                <w:r>
                  <w:rPr>
                    <w:i/>
                    <w:iCs/>
                    <w:color w:val="000000"/>
                  </w:rPr>
                  <w:t xml:space="preserve"> </w:t>
                </w:r>
                <w:r>
                  <w:rPr>
                    <w:color w:val="000000"/>
                  </w:rPr>
                  <w:t>pagalba.</w:t>
                </w:r>
              </w:p>
              <w:p w:rsidR="000363B9" w:rsidRDefault="00E82DB0">
                <w:pPr>
                  <w:jc w:val="both"/>
                  <w:rPr>
                    <w:color w:val="000000"/>
                  </w:rPr>
                </w:pPr>
                <w:r>
                  <w:rPr>
                    <w:color w:val="000000"/>
                  </w:rPr>
                  <w:t xml:space="preserve">5.4. </w:t>
                </w:r>
                <w:r>
                  <w:rPr>
                    <w:i/>
                    <w:iCs/>
                    <w:color w:val="000000"/>
                  </w:rPr>
                  <w:t xml:space="preserve">De </w:t>
                </w:r>
                <w:proofErr w:type="spellStart"/>
                <w:r>
                  <w:rPr>
                    <w:i/>
                    <w:iCs/>
                    <w:color w:val="000000"/>
                  </w:rPr>
                  <w:t>minimis</w:t>
                </w:r>
                <w:proofErr w:type="spellEnd"/>
                <w:r>
                  <w:rPr>
                    <w:i/>
                    <w:iCs/>
                    <w:color w:val="000000"/>
                  </w:rPr>
                  <w:t xml:space="preserve"> </w:t>
                </w:r>
                <w:r>
                  <w:rPr>
                    <w:color w:val="000000"/>
                  </w:rPr>
                  <w:t xml:space="preserve">pagalba Aprašo 2.4.1 papunktyje nurodytiems galutiniams naudos gavėjams didelėms įmonėms teikiama vadovaujantis Reglamento </w:t>
                </w:r>
                <w:r>
                  <w:rPr>
                    <w:color w:val="0563C1"/>
                    <w:u w:val="single"/>
                  </w:rPr>
                  <w:t>(ES) Nr. 1407/2013</w:t>
                </w:r>
                <w:r>
                  <w:rPr>
                    <w:color w:val="000000"/>
                  </w:rPr>
                  <w:t xml:space="preserve"> nuostatomis. Didžiausia </w:t>
                </w:r>
                <w:r>
                  <w:rPr>
                    <w:i/>
                    <w:iCs/>
                    <w:color w:val="000000"/>
                  </w:rPr>
                  <w:t xml:space="preserve">de </w:t>
                </w:r>
                <w:proofErr w:type="spellStart"/>
                <w:r>
                  <w:rPr>
                    <w:i/>
                    <w:iCs/>
                    <w:color w:val="000000"/>
                  </w:rPr>
                  <w:t>minimis</w:t>
                </w:r>
                <w:proofErr w:type="spellEnd"/>
                <w:r>
                  <w:rPr>
                    <w:color w:val="000000"/>
                  </w:rPr>
                  <w:t xml:space="preserve"> pagalbos suma vienai įmonei, atitinkančiai vienos įmonės apibrėžtį pagal Reglamento Nr. 1407/2013 2 straipsnio 2 dalį, negali būti didesnė kaip 200 000 </w:t>
                </w:r>
                <w:proofErr w:type="spellStart"/>
                <w:r>
                  <w:rPr>
                    <w:color w:val="000000"/>
                  </w:rPr>
                  <w:t>Eur</w:t>
                </w:r>
                <w:proofErr w:type="spellEnd"/>
                <w:r>
                  <w:rPr>
                    <w:color w:val="000000"/>
                  </w:rPr>
                  <w:t xml:space="preserve"> (du šimtai tūkstančių eurų) per 3 (trejus) finansinius metus.</w:t>
                </w:r>
              </w:p>
              <w:p w:rsidR="000363B9" w:rsidRDefault="00E82DB0">
                <w:pPr>
                  <w:jc w:val="both"/>
                  <w:rPr>
                    <w:color w:val="000000"/>
                  </w:rPr>
                </w:pPr>
                <w:r>
                  <w:rPr>
                    <w:color w:val="000000"/>
                  </w:rPr>
                  <w:t xml:space="preserve">5.5. Valstybės pagalba neteikiama Reglamento </w:t>
                </w:r>
                <w:r>
                  <w:rPr>
                    <w:color w:val="0563C1"/>
                    <w:u w:val="single"/>
                  </w:rPr>
                  <w:t>(ES) Nr. 651/2014</w:t>
                </w:r>
                <w:r>
                  <w:rPr>
                    <w:color w:val="000000"/>
                  </w:rPr>
                  <w:t xml:space="preserve"> 1 straipsnio 4 dalyje nustatytoms įmonėms, kurioms išduotas vykdomasis raštas sumoms išieškoti pagal ankstesnį Europos Komisijos sprendimą, kuriame tos pačios valstybės narės suteikta valstybės pagalba skelbiama neteisėta ir nesuderinama su vidaus rinka, taip pat sunkumų patiriančioms įmonėms, kurios susiduria su bent viena iš aplinkybių, nurodytų Reglamento </w:t>
                </w:r>
                <w:r>
                  <w:rPr>
                    <w:color w:val="0563C1"/>
                    <w:u w:val="single"/>
                  </w:rPr>
                  <w:t>(ES) Nr. 651/2014</w:t>
                </w:r>
                <w:r>
                  <w:rPr>
                    <w:color w:val="000000"/>
                  </w:rPr>
                  <w:t xml:space="preserve"> 2 straipsnio 18 punkte, išskyrus pagalbos schemas, skirtas tam tikrų gaivalinių nelaimių padarytai žalai atitaisyti, verslo pradžios pagalbos </w:t>
                </w:r>
                <w:r>
                  <w:rPr>
                    <w:color w:val="000000"/>
                  </w:rPr>
                  <w:lastRenderedPageBreak/>
                  <w:t xml:space="preserve">schemas ir regioninės veiklos pagalbos schemas su sąlyga, kad tokiomis schemomis sunkumų patiriančioms įmonėms nesudaromos palankesnės sąlygos nei kitoms įmonėms. </w:t>
                </w:r>
              </w:p>
              <w:p w:rsidR="000363B9" w:rsidRDefault="00E82DB0">
                <w:pPr>
                  <w:jc w:val="both"/>
                </w:pPr>
                <w:r>
                  <w:rPr>
                    <w:color w:val="000000"/>
                  </w:rPr>
                  <w:t xml:space="preserve">5.6. Valstybės pagalba arba  </w:t>
                </w:r>
                <w:r>
                  <w:rPr>
                    <w:i/>
                    <w:iCs/>
                    <w:color w:val="000000"/>
                  </w:rPr>
                  <w:t xml:space="preserve">de </w:t>
                </w:r>
                <w:proofErr w:type="spellStart"/>
                <w:r>
                  <w:rPr>
                    <w:i/>
                    <w:iCs/>
                    <w:color w:val="000000"/>
                  </w:rPr>
                  <w:t>minimis</w:t>
                </w:r>
                <w:proofErr w:type="spellEnd"/>
                <w:r>
                  <w:rPr>
                    <w:color w:val="000000"/>
                  </w:rPr>
                  <w:t xml:space="preserve"> pagalba Aprašo 2.4.2 papunktyje nurodytiems galutiniams naudos gavėjams neteikiama, jei jų vykdoma veikla nėra laikytina ūkine veikla. Jeigu konsultacinės paslaugos teikiamos viešojo sektoriaus įstaigoms, kurių vykdoma veikla laikytina </w:t>
                </w:r>
                <w:r>
                  <w:t>ekonomine veikla, neatsižvelgiant į tai, kad jos pelnas yra panaudojamas išimtinai neekonominėms veikloms plėtoti, šioms paslaugoms taikomos valstybės pagalbos taisyklės, nurodytos Aprašo 5.3–5.5 ir 5.7–5.14 papunkčiuose.</w:t>
                </w:r>
              </w:p>
              <w:p w:rsidR="000363B9" w:rsidRDefault="00E82DB0">
                <w:pPr>
                  <w:jc w:val="both"/>
                  <w:rPr>
                    <w:color w:val="000000"/>
                  </w:rPr>
                </w:pPr>
                <w:r>
                  <w:rPr>
                    <w:color w:val="000000"/>
                  </w:rPr>
                  <w:t xml:space="preserve">5.7. Valstybės pagalbą arba </w:t>
                </w:r>
                <w:r>
                  <w:rPr>
                    <w:i/>
                    <w:iCs/>
                    <w:color w:val="000000"/>
                  </w:rPr>
                  <w:t xml:space="preserve">de </w:t>
                </w:r>
                <w:proofErr w:type="spellStart"/>
                <w:r>
                  <w:rPr>
                    <w:i/>
                    <w:iCs/>
                    <w:color w:val="000000"/>
                  </w:rPr>
                  <w:t>minimis</w:t>
                </w:r>
                <w:proofErr w:type="spellEnd"/>
                <w:r>
                  <w:rPr>
                    <w:i/>
                    <w:iCs/>
                    <w:color w:val="000000"/>
                  </w:rPr>
                  <w:t xml:space="preserve"> </w:t>
                </w:r>
                <w:r>
                  <w:rPr>
                    <w:color w:val="000000"/>
                  </w:rPr>
                  <w:t xml:space="preserve">pagalbą Aprašo 2.4 papunktyje nurodytiems galutiniams naudos gavėjams perduoda projekto partneriai, </w:t>
                </w:r>
                <w:r>
                  <w:t xml:space="preserve">teikdami konsultavimo paslaugas mažesnėmis nei rinkos kainomis. Projekto partneriai turi parengti ir patvirtinti teikiamų konsultavimo paslaugų kainoraštį, pagrįstą rinkos kainomis, jei tokios yra nustatytos, ir nurodyti galimas nuolaidas, kurias ji planuoja pasiūlyti </w:t>
                </w:r>
                <w:r>
                  <w:rPr>
                    <w:color w:val="000000"/>
                  </w:rPr>
                  <w:t>Aprašo 2.4 papunktyje nurodytiems galutiniams naudos gavėjams</w:t>
                </w:r>
                <w:r>
                  <w:t>. Jei rinkos kainų nėra, tada kainos turėtų būti pagrįstos projekto partnerių patirtais kaštais teikiant konsultavimo paslaugas ir pagrįstu pelnu.</w:t>
                </w:r>
              </w:p>
              <w:p w:rsidR="000363B9" w:rsidRDefault="00E82DB0">
                <w:pPr>
                  <w:jc w:val="both"/>
                  <w:rPr>
                    <w:color w:val="000000"/>
                  </w:rPr>
                </w:pPr>
                <w:r>
                  <w:rPr>
                    <w:color w:val="000000"/>
                  </w:rPr>
                  <w:t xml:space="preserve">5.8. Vykdydami konsultacinę veiklą projekto partneriai turi vadovautis savo patvirtintomis ir su Lietuvos Respublikos konkurencijos taryba suderintomis projekto partnerių valstybės pagalbos ir (arba) </w:t>
                </w:r>
                <w:r>
                  <w:rPr>
                    <w:i/>
                    <w:iCs/>
                    <w:color w:val="000000"/>
                  </w:rPr>
                  <w:t xml:space="preserve">de </w:t>
                </w:r>
                <w:proofErr w:type="spellStart"/>
                <w:r>
                  <w:rPr>
                    <w:i/>
                    <w:iCs/>
                    <w:color w:val="000000"/>
                  </w:rPr>
                  <w:t>minimis</w:t>
                </w:r>
                <w:proofErr w:type="spellEnd"/>
                <w:r>
                  <w:rPr>
                    <w:color w:val="000000"/>
                  </w:rPr>
                  <w:t xml:space="preserve"> pagalbos teikimo galutinio naudos gavėjo taisyklėmis, kuriose turi būti numatyta, kad prieš konsultacijos suteikimą įmonei turi būti užpildytas Atitikties </w:t>
                </w:r>
                <w:r>
                  <w:rPr>
                    <w:i/>
                    <w:iCs/>
                    <w:color w:val="000000"/>
                  </w:rPr>
                  <w:t xml:space="preserve">de </w:t>
                </w:r>
                <w:proofErr w:type="spellStart"/>
                <w:r>
                  <w:rPr>
                    <w:i/>
                    <w:iCs/>
                    <w:color w:val="000000"/>
                  </w:rPr>
                  <w:t>minimis</w:t>
                </w:r>
                <w:proofErr w:type="spellEnd"/>
                <w:r>
                  <w:rPr>
                    <w:color w:val="000000"/>
                  </w:rPr>
                  <w:t xml:space="preserve"> pagalbos taisyklėms patikros lapas arba Atitikties valstybės pagalbos taisyklėms patikros lapas (Aprašo 3 ir 4 priedai).</w:t>
                </w:r>
              </w:p>
              <w:p w:rsidR="000363B9" w:rsidRDefault="00E82DB0">
                <w:pPr>
                  <w:jc w:val="both"/>
                  <w:rPr>
                    <w:color w:val="000000"/>
                  </w:rPr>
                </w:pPr>
                <w:r>
                  <w:rPr>
                    <w:color w:val="000000"/>
                  </w:rPr>
                  <w:t>5.9. Projekto partneriai turi užtikrinti, kad jų apskaitos dokumentuose būtų aiškiai atskirtos valstybės pagalbos lėšos, panaudotos jų pačių veiklai remti (jei buvo taikoma), ir lėšos, kurios buvo perduotos Aprašo 2.4 papunktyje nurodytiems galutiniams naudos gavėjams sumažintomis kainomis.</w:t>
                </w:r>
              </w:p>
              <w:p w:rsidR="000363B9" w:rsidRDefault="00E82DB0">
                <w:pPr>
                  <w:jc w:val="both"/>
                  <w:rPr>
                    <w:color w:val="000000"/>
                  </w:rPr>
                </w:pPr>
                <w:r>
                  <w:rPr>
                    <w:color w:val="000000"/>
                  </w:rPr>
                  <w:t xml:space="preserve">5.10. Projekto vykdytojas turi užtikrinti, kad projekto partneriai valstybės pagalbą ir (ar) </w:t>
                </w:r>
                <w:r>
                  <w:rPr>
                    <w:i/>
                    <w:iCs/>
                    <w:color w:val="000000"/>
                  </w:rPr>
                  <w:t xml:space="preserve">de </w:t>
                </w:r>
                <w:proofErr w:type="spellStart"/>
                <w:r>
                  <w:rPr>
                    <w:i/>
                    <w:iCs/>
                    <w:color w:val="000000"/>
                  </w:rPr>
                  <w:t>minimis</w:t>
                </w:r>
                <w:proofErr w:type="spellEnd"/>
                <w:r>
                  <w:rPr>
                    <w:i/>
                    <w:iCs/>
                    <w:color w:val="000000"/>
                  </w:rPr>
                  <w:t xml:space="preserve"> pagalbą</w:t>
                </w:r>
                <w:r>
                  <w:rPr>
                    <w:color w:val="000000"/>
                  </w:rPr>
                  <w:t xml:space="preserve"> teiktų vadovaudamiesi Aprašo 5.8 papunktyje nurodytomis ir su administruojančia institucija suderintomis taisyklėmis.</w:t>
                </w:r>
              </w:p>
              <w:p w:rsidR="000363B9" w:rsidRDefault="00E82DB0">
                <w:pPr>
                  <w:jc w:val="both"/>
                  <w:rPr>
                    <w:color w:val="000000"/>
                  </w:rPr>
                </w:pPr>
                <w:r>
                  <w:rPr>
                    <w:color w:val="000000"/>
                  </w:rPr>
                  <w:t xml:space="preserve">5.11. Projekto partneriai yra atsakingi už suteiktos valstybės pagalbos ir </w:t>
                </w:r>
                <w:r>
                  <w:rPr>
                    <w:i/>
                    <w:iCs/>
                    <w:color w:val="000000"/>
                  </w:rPr>
                  <w:t xml:space="preserve">de </w:t>
                </w:r>
                <w:proofErr w:type="spellStart"/>
                <w:r>
                  <w:rPr>
                    <w:i/>
                    <w:iCs/>
                    <w:color w:val="000000"/>
                  </w:rPr>
                  <w:t>minimis</w:t>
                </w:r>
                <w:proofErr w:type="spellEnd"/>
                <w:r>
                  <w:rPr>
                    <w:color w:val="000000"/>
                  </w:rPr>
                  <w:t xml:space="preserve"> pagalbos registravimą Suteiktos valstybės pagalbos ir nereikšmingos (</w:t>
                </w:r>
                <w:r>
                  <w:rPr>
                    <w:i/>
                    <w:iCs/>
                    <w:color w:val="000000"/>
                  </w:rPr>
                  <w:t xml:space="preserve">de </w:t>
                </w:r>
                <w:proofErr w:type="spellStart"/>
                <w:r>
                  <w:rPr>
                    <w:i/>
                    <w:iCs/>
                    <w:color w:val="000000"/>
                  </w:rPr>
                  <w:t>minimis</w:t>
                </w:r>
                <w:proofErr w:type="spellEnd"/>
                <w:r>
                  <w:rPr>
                    <w:color w:val="000000"/>
                  </w:rPr>
                  <w:t>) pagalbos registre (toliau – Registras), vadovaujantis Suteiktos valstybės pagalbos ir nereikšmingos (</w:t>
                </w:r>
                <w:r>
                  <w:rPr>
                    <w:i/>
                    <w:iCs/>
                    <w:color w:val="000000"/>
                  </w:rPr>
                  <w:t xml:space="preserve">de </w:t>
                </w:r>
                <w:proofErr w:type="spellStart"/>
                <w:r>
                  <w:rPr>
                    <w:i/>
                    <w:iCs/>
                    <w:color w:val="000000"/>
                  </w:rPr>
                  <w:t>minimis</w:t>
                </w:r>
                <w:proofErr w:type="spellEnd"/>
                <w:r>
                  <w:rPr>
                    <w:color w:val="000000"/>
                  </w:rPr>
                  <w:t xml:space="preserve">) pagalbos registro nuostatais, patvirtintais Lietuvos Respublikos Vyriausybės 2005 m. sausio 19 d. nutarimu Nr. 35 „Dėl Suteiktos valstybės pagalbos ir nereikšmingos (de </w:t>
                </w:r>
                <w:proofErr w:type="spellStart"/>
                <w:r>
                  <w:rPr>
                    <w:color w:val="000000"/>
                  </w:rPr>
                  <w:t>minimis</w:t>
                </w:r>
                <w:proofErr w:type="spellEnd"/>
                <w:r>
                  <w:rPr>
                    <w:color w:val="000000"/>
                  </w:rPr>
                  <w:t>) pagalbos registro nuostatų patvirtinimo“.</w:t>
                </w:r>
              </w:p>
              <w:p w:rsidR="000363B9" w:rsidRDefault="00E82DB0">
                <w:pPr>
                  <w:jc w:val="both"/>
                  <w:rPr>
                    <w:color w:val="000000"/>
                  </w:rPr>
                </w:pPr>
                <w:r>
                  <w:rPr>
                    <w:color w:val="000000"/>
                  </w:rPr>
                  <w:t xml:space="preserve">5.12. Projekto pareiškėjas projektų partnerius konsultuoja dėl valstybės pagalbos ir </w:t>
                </w:r>
                <w:r>
                  <w:rPr>
                    <w:i/>
                    <w:iCs/>
                    <w:color w:val="000000"/>
                  </w:rPr>
                  <w:t xml:space="preserve">de </w:t>
                </w:r>
                <w:proofErr w:type="spellStart"/>
                <w:r>
                  <w:rPr>
                    <w:i/>
                    <w:iCs/>
                    <w:color w:val="000000"/>
                  </w:rPr>
                  <w:t>minimis</w:t>
                </w:r>
                <w:proofErr w:type="spellEnd"/>
                <w:r>
                  <w:rPr>
                    <w:i/>
                    <w:iCs/>
                    <w:color w:val="000000"/>
                  </w:rPr>
                  <w:t xml:space="preserve"> </w:t>
                </w:r>
                <w:r>
                  <w:rPr>
                    <w:color w:val="000000"/>
                  </w:rPr>
                  <w:t>pagalbos registravimo Registre.</w:t>
                </w:r>
              </w:p>
              <w:p w:rsidR="000363B9" w:rsidRDefault="00E82DB0">
                <w:pPr>
                  <w:jc w:val="both"/>
                  <w:rPr>
                    <w:color w:val="000000"/>
                  </w:rPr>
                </w:pPr>
                <w:r>
                  <w:rPr>
                    <w:color w:val="000000"/>
                  </w:rPr>
                  <w:t xml:space="preserve">5.13. Švietimo, mokslo ir sporto ministerija informaciją apie skirtą valstybės pagalbą, viršijančią Reglamento </w:t>
                </w:r>
                <w:r>
                  <w:rPr>
                    <w:color w:val="0563C1"/>
                    <w:u w:val="single"/>
                  </w:rPr>
                  <w:t>(ES) Nr. 651/2014</w:t>
                </w:r>
                <w:r>
                  <w:rPr>
                    <w:color w:val="000000"/>
                  </w:rPr>
                  <w:t xml:space="preserve"> 9 straipsnio 1 dalies c punkte nustatytas ribas, turi pateikti į Europos Komisijos valstybės pagalbos skaidrumo viešos paieškos svetainę https://webgate.ec.europa.eu/competition/transparency/ ne vėliau kaip per 6 mėnesius nuo valstybės pagalbos skyrimo dienos, remdamasi projekto partnerių pateikta informacija.</w:t>
                </w:r>
              </w:p>
              <w:p w:rsidR="000363B9" w:rsidRDefault="00E82DB0">
                <w:pPr>
                  <w:jc w:val="both"/>
                  <w:rPr>
                    <w:color w:val="000000"/>
                  </w:rPr>
                </w:pPr>
                <w:r>
                  <w:rPr>
                    <w:color w:val="000000"/>
                  </w:rPr>
                  <w:t xml:space="preserve">5.14. Valstybės pagalba, kurios tinkamas finansuoti išlaidas galima nustatyti ir kuriai pagal Reglamentą </w:t>
                </w:r>
                <w:r>
                  <w:rPr>
                    <w:color w:val="0563C1"/>
                    <w:u w:val="single"/>
                  </w:rPr>
                  <w:t>(ES) Nr. 651/2014</w:t>
                </w:r>
                <w:r>
                  <w:rPr>
                    <w:color w:val="000000"/>
                  </w:rPr>
                  <w:t xml:space="preserve"> taikoma išimtis, gali būti sumuojama su:</w:t>
                </w:r>
              </w:p>
              <w:p w:rsidR="000363B9" w:rsidRDefault="00E82DB0">
                <w:pPr>
                  <w:jc w:val="both"/>
                  <w:rPr>
                    <w:color w:val="000000"/>
                  </w:rPr>
                </w:pPr>
                <w:r>
                  <w:rPr>
                    <w:color w:val="000000"/>
                  </w:rPr>
                  <w:t>5.14.1. bet kokia kita valstybės pagalba, jei tos priemonės yra susijusios su skirtingomis tinkamomis finansuoti išlaidomis, kurias galima nustatyti;</w:t>
                </w:r>
              </w:p>
              <w:p w:rsidR="000363B9" w:rsidRDefault="00E82DB0">
                <w:pPr>
                  <w:tabs>
                    <w:tab w:val="left" w:pos="1581"/>
                  </w:tabs>
                  <w:jc w:val="both"/>
                  <w:rPr>
                    <w:color w:val="000000"/>
                  </w:rPr>
                </w:pPr>
                <w:r>
                  <w:rPr>
                    <w:color w:val="000000"/>
                  </w:rPr>
                  <w:t>5.14.2. bet kokia kita valstybės pagalba, susijusia su tomis pačiomis tinkamomis finansuoti išlaidomis, kurios iš dalies arba visiškai sutampa, tik jeigu taip susumavus neviršijamas didžiausias pagalbos intensyvumas ar pagalbos suma, pagal šį reglamentą taikoma tai pagalbai.</w:t>
                </w:r>
              </w:p>
              <w:p w:rsidR="000363B9" w:rsidRDefault="00E82DB0">
                <w:pPr>
                  <w:tabs>
                    <w:tab w:val="left" w:pos="1581"/>
                  </w:tabs>
                  <w:jc w:val="both"/>
                  <w:rPr>
                    <w:color w:val="000000"/>
                  </w:rPr>
                </w:pPr>
                <w:r>
                  <w:rPr>
                    <w:color w:val="000000"/>
                  </w:rPr>
                  <w:t xml:space="preserve">5.15. Valstybės pagalba neteikiama, jei ji neturi skatinamojo poveikio, numatyto Reglamento </w:t>
                </w:r>
                <w:r>
                  <w:rPr>
                    <w:color w:val="0563C1"/>
                    <w:u w:val="single"/>
                  </w:rPr>
                  <w:t>(ES) Nr. 651/2014</w:t>
                </w:r>
                <w:r>
                  <w:rPr>
                    <w:color w:val="000000"/>
                  </w:rPr>
                  <w:t xml:space="preserve"> 6 straipsnyje.</w:t>
                </w:r>
              </w:p>
              <w:p w:rsidR="000363B9" w:rsidRDefault="00E82DB0">
                <w:pPr>
                  <w:tabs>
                    <w:tab w:val="left" w:pos="1581"/>
                  </w:tabs>
                  <w:jc w:val="both"/>
                </w:pPr>
                <w:r>
                  <w:rPr>
                    <w:color w:val="000000"/>
                  </w:rPr>
                  <w:lastRenderedPageBreak/>
                  <w:t xml:space="preserve">5.16. </w:t>
                </w:r>
                <w:r>
                  <w:t>Visi su finansavimu pagal Aprašą susiję teisės aktai, dokumentai, informacija ir duomenys tvarkomi ir saugomi 10 (dešimt) metų nuo paskutinės pagalbos pagal schemą suteikimo dienos Lietuvos Respublikos dokumentų ir archyvų įstatymo bei Reglamento</w:t>
                </w:r>
                <w:r>
                  <w:rPr>
                    <w:rFonts w:eastAsia="Calibri"/>
                  </w:rPr>
                  <w:t xml:space="preserve"> </w:t>
                </w:r>
                <w:r>
                  <w:rPr>
                    <w:color w:val="0563C1"/>
                    <w:u w:val="single"/>
                  </w:rPr>
                  <w:t>(ES)</w:t>
                </w:r>
                <w:r>
                  <w:rPr>
                    <w:rFonts w:eastAsia="Calibri"/>
                    <w:color w:val="0563C1"/>
                    <w:u w:val="single"/>
                  </w:rPr>
                  <w:t xml:space="preserve"> </w:t>
                </w:r>
                <w:r>
                  <w:rPr>
                    <w:color w:val="0563C1"/>
                    <w:u w:val="single"/>
                  </w:rPr>
                  <w:t>Nr. 651/2014</w:t>
                </w:r>
                <w:r>
                  <w:t xml:space="preserve"> 12 straipsnio 1 punkte ar Reglamento </w:t>
                </w:r>
                <w:r>
                  <w:rPr>
                    <w:color w:val="0563C1"/>
                    <w:u w:val="single"/>
                  </w:rPr>
                  <w:t>(ES) Nr. 1407/2013</w:t>
                </w:r>
                <w:r>
                  <w:t xml:space="preserve"> 6 straipsnio 4 punkte nustatyta tvarka.</w:t>
                </w:r>
              </w:p>
              <w:p w:rsidR="000363B9" w:rsidRDefault="00E82DB0">
                <w:pPr>
                  <w:tabs>
                    <w:tab w:val="left" w:pos="1581"/>
                  </w:tabs>
                  <w:jc w:val="both"/>
                  <w:rPr>
                    <w:color w:val="000000"/>
                  </w:rPr>
                </w:pPr>
                <w:r>
                  <w:t xml:space="preserve">5.17. Finansavimas projektams, skiriamas kaip valstybės pagalba, teikiamas per </w:t>
                </w:r>
                <w:r>
                  <w:rPr>
                    <w:rFonts w:eastAsia="Calibri"/>
                    <w:color w:val="000000"/>
                    <w:szCs w:val="24"/>
                  </w:rPr>
                  <w:t xml:space="preserve">Reglamento </w:t>
                </w:r>
                <w:r>
                  <w:rPr>
                    <w:rFonts w:eastAsia="Calibri"/>
                    <w:color w:val="0563C1"/>
                    <w:szCs w:val="24"/>
                    <w:u w:val="single"/>
                  </w:rPr>
                  <w:t xml:space="preserve">(ES) Nr. 651/2014 </w:t>
                </w:r>
                <w:r>
                  <w:t>taikymo laikotarpį arba jo taikymo laikotarpio pratęsimą.</w:t>
                </w:r>
              </w:p>
              <w:p w:rsidR="000363B9" w:rsidRDefault="000363B9">
                <w:pPr>
                  <w:jc w:val="both"/>
                  <w:rPr>
                    <w:szCs w:val="24"/>
                  </w:rPr>
                </w:pPr>
              </w:p>
            </w:tc>
          </w:tr>
          <w:tr w:rsidR="000363B9">
            <w:tc>
              <w:tcPr>
                <w:tcW w:w="14709" w:type="dxa"/>
              </w:tcPr>
              <w:p w:rsidR="000363B9" w:rsidRDefault="00E82DB0">
                <w:pPr>
                  <w:ind w:left="426" w:hanging="426"/>
                  <w:jc w:val="both"/>
                  <w:rPr>
                    <w:i/>
                    <w:iCs/>
                    <w:szCs w:val="24"/>
                  </w:rPr>
                </w:pPr>
                <w:r>
                  <w:rPr>
                    <w:b/>
                    <w:bCs/>
                    <w:szCs w:val="24"/>
                  </w:rPr>
                  <w:lastRenderedPageBreak/>
                  <w:t>6. Projektų atrankos kriterijai</w:t>
                </w:r>
              </w:p>
            </w:tc>
          </w:tr>
          <w:tr w:rsidR="000363B9">
            <w:trPr>
              <w:trHeight w:val="676"/>
            </w:trPr>
            <w:tc>
              <w:tcPr>
                <w:tcW w:w="14709" w:type="dxa"/>
              </w:tcPr>
              <w:p w:rsidR="000363B9" w:rsidRDefault="000363B9">
                <w:pPr>
                  <w:jc w:val="both"/>
                  <w:rPr>
                    <w:i/>
                    <w:iCs/>
                    <w:szCs w:val="24"/>
                  </w:rPr>
                </w:pPr>
              </w:p>
              <w:p w:rsidR="000363B9" w:rsidRDefault="00E82DB0">
                <w:pPr>
                  <w:jc w:val="both"/>
                  <w:rPr>
                    <w:szCs w:val="24"/>
                  </w:rPr>
                </w:pPr>
                <w:r>
                  <w:rPr>
                    <w:color w:val="000000"/>
                    <w:szCs w:val="24"/>
                    <w:shd w:val="clear" w:color="auto" w:fill="FFFFFF"/>
                  </w:rPr>
                  <w:t xml:space="preserve">Projekto atranka vykdoma planavimo būdu, todėl </w:t>
                </w:r>
                <w:r>
                  <w:rPr>
                    <w:szCs w:val="24"/>
                  </w:rPr>
                  <w:t>specialieji ir prioritetiniai projektų atrankos kriterijai nėra nustatomi.</w:t>
                </w:r>
              </w:p>
              <w:p w:rsidR="000363B9" w:rsidRDefault="000363B9">
                <w:pPr>
                  <w:jc w:val="both"/>
                  <w:rPr>
                    <w:color w:val="000000"/>
                    <w:szCs w:val="24"/>
                    <w:shd w:val="clear" w:color="auto" w:fill="FFFFFF"/>
                  </w:rPr>
                </w:pPr>
              </w:p>
            </w:tc>
          </w:tr>
          <w:tr w:rsidR="000363B9">
            <w:tc>
              <w:tcPr>
                <w:tcW w:w="14709" w:type="dxa"/>
              </w:tcPr>
              <w:p w:rsidR="000363B9" w:rsidRDefault="00E82DB0">
                <w:pPr>
                  <w:rPr>
                    <w:b/>
                    <w:bCs/>
                    <w:szCs w:val="24"/>
                  </w:rPr>
                </w:pPr>
                <w:r>
                  <w:rPr>
                    <w:b/>
                    <w:bCs/>
                    <w:szCs w:val="24"/>
                  </w:rPr>
                  <w:t xml:space="preserve">7. Reikalavimai įgyvendinus projektų veiklas </w:t>
                </w:r>
              </w:p>
            </w:tc>
          </w:tr>
          <w:tr w:rsidR="000363B9">
            <w:tc>
              <w:tcPr>
                <w:tcW w:w="14709" w:type="dxa"/>
              </w:tcPr>
              <w:p w:rsidR="000363B9" w:rsidRDefault="000363B9">
                <w:pPr>
                  <w:rPr>
                    <w:szCs w:val="24"/>
                  </w:rPr>
                </w:pPr>
              </w:p>
              <w:p w:rsidR="000363B9" w:rsidRDefault="00E82DB0">
                <w:pPr>
                  <w:rPr>
                    <w:szCs w:val="24"/>
                  </w:rPr>
                </w:pPr>
                <w:r>
                  <w:rPr>
                    <w:szCs w:val="24"/>
                  </w:rPr>
                  <w:t>Papildomi reikalavimai, nei nustatyti PAFT, netaikomi.</w:t>
                </w:r>
              </w:p>
              <w:p w:rsidR="000363B9" w:rsidRDefault="000363B9">
                <w:pPr>
                  <w:rPr>
                    <w:szCs w:val="24"/>
                  </w:rPr>
                </w:pPr>
              </w:p>
            </w:tc>
          </w:tr>
          <w:tr w:rsidR="000363B9">
            <w:tc>
              <w:tcPr>
                <w:tcW w:w="14709" w:type="dxa"/>
              </w:tcPr>
              <w:p w:rsidR="000363B9" w:rsidRDefault="00E82DB0">
                <w:pPr>
                  <w:rPr>
                    <w:b/>
                    <w:bCs/>
                    <w:szCs w:val="24"/>
                  </w:rPr>
                </w:pPr>
                <w:r>
                  <w:rPr>
                    <w:b/>
                    <w:bCs/>
                    <w:szCs w:val="24"/>
                  </w:rPr>
                  <w:t>8. Kiti reikalavimai</w:t>
                </w:r>
              </w:p>
            </w:tc>
          </w:tr>
          <w:tr w:rsidR="000363B9">
            <w:tc>
              <w:tcPr>
                <w:tcW w:w="14709" w:type="dxa"/>
              </w:tcPr>
              <w:p w:rsidR="000363B9" w:rsidRDefault="000363B9">
                <w:pPr>
                  <w:tabs>
                    <w:tab w:val="left" w:pos="1134"/>
                  </w:tabs>
                  <w:jc w:val="both"/>
                  <w:rPr>
                    <w:szCs w:val="24"/>
                  </w:rPr>
                </w:pPr>
              </w:p>
              <w:p w:rsidR="000363B9" w:rsidRDefault="00E82DB0">
                <w:pPr>
                  <w:tabs>
                    <w:tab w:val="left" w:pos="1134"/>
                  </w:tabs>
                  <w:ind w:firstLine="62"/>
                  <w:jc w:val="both"/>
                  <w:rPr>
                    <w:szCs w:val="24"/>
                  </w:rPr>
                </w:pPr>
                <w:r>
                  <w:rPr>
                    <w:szCs w:val="24"/>
                  </w:rPr>
                  <w:t>Aprašas gali būti keičiamas PAFT nustatyta tvarka.</w:t>
                </w:r>
              </w:p>
              <w:p w:rsidR="000363B9" w:rsidRDefault="000363B9">
                <w:pPr>
                  <w:tabs>
                    <w:tab w:val="left" w:pos="1134"/>
                  </w:tabs>
                  <w:jc w:val="both"/>
                  <w:rPr>
                    <w:szCs w:val="24"/>
                  </w:rPr>
                </w:pPr>
              </w:p>
            </w:tc>
          </w:tr>
          <w:tr w:rsidR="000363B9">
            <w:tc>
              <w:tcPr>
                <w:tcW w:w="14709" w:type="dxa"/>
              </w:tcPr>
              <w:p w:rsidR="000363B9" w:rsidRDefault="00E82DB0">
                <w:pPr>
                  <w:rPr>
                    <w:b/>
                    <w:bCs/>
                    <w:szCs w:val="24"/>
                  </w:rPr>
                </w:pPr>
                <w:r>
                  <w:rPr>
                    <w:b/>
                    <w:bCs/>
                    <w:szCs w:val="24"/>
                  </w:rPr>
                  <w:t>IŠLAIDŲ TINKAMUMO FINANSUOTI REIKALAVIMAI</w:t>
                </w:r>
              </w:p>
            </w:tc>
          </w:tr>
          <w:tr w:rsidR="000363B9">
            <w:tc>
              <w:tcPr>
                <w:tcW w:w="14709" w:type="dxa"/>
              </w:tcPr>
              <w:p w:rsidR="000363B9" w:rsidRDefault="00E82DB0">
                <w:pPr>
                  <w:jc w:val="both"/>
                  <w:rPr>
                    <w:b/>
                    <w:bCs/>
                    <w:szCs w:val="24"/>
                  </w:rPr>
                </w:pPr>
                <w:r>
                  <w:rPr>
                    <w:b/>
                    <w:bCs/>
                    <w:szCs w:val="24"/>
                  </w:rPr>
                  <w:t>9. Išlaidų tinkamumo finansuoti reikalavimai</w:t>
                </w:r>
              </w:p>
            </w:tc>
          </w:tr>
          <w:tr w:rsidR="000363B9">
            <w:tc>
              <w:tcPr>
                <w:tcW w:w="14709" w:type="dxa"/>
              </w:tcPr>
              <w:p w:rsidR="000363B9" w:rsidRDefault="000363B9">
                <w:pPr>
                  <w:jc w:val="both"/>
                  <w:rPr>
                    <w:i/>
                    <w:iCs/>
                    <w:szCs w:val="24"/>
                  </w:rPr>
                </w:pPr>
              </w:p>
              <w:p w:rsidR="000363B9" w:rsidRDefault="00E82DB0">
                <w:pPr>
                  <w:jc w:val="both"/>
                  <w:rPr>
                    <w:szCs w:val="24"/>
                  </w:rPr>
                </w:pPr>
                <w:r>
                  <w:rPr>
                    <w:szCs w:val="24"/>
                  </w:rPr>
                  <w:t>9.1. Tinkamos finansuoti išlaidos, būtinos Dotacijos sutartyje numatytoms veikloms įgyvendinti. Išlaidos turi atitikti PAFT VII skyriuje išdėstytus projektų išlaidoms taikomus reikalavimus.</w:t>
                </w:r>
              </w:p>
              <w:p w:rsidR="000363B9" w:rsidRDefault="00E82DB0">
                <w:pPr>
                  <w:jc w:val="both"/>
                  <w:rPr>
                    <w:szCs w:val="24"/>
                  </w:rPr>
                </w:pPr>
                <w:r>
                  <w:rPr>
                    <w:szCs w:val="24"/>
                  </w:rPr>
                  <w:t>9.2. PĮP parengimo išlaidos nėra finansuojamos (išskyrus investicijų projekto parengimo išlaidas).</w:t>
                </w:r>
              </w:p>
              <w:p w:rsidR="000363B9" w:rsidRDefault="00E82DB0">
                <w:pPr>
                  <w:jc w:val="both"/>
                  <w:rPr>
                    <w:szCs w:val="24"/>
                  </w:rPr>
                </w:pPr>
                <w:r>
                  <w:rPr>
                    <w:szCs w:val="24"/>
                  </w:rPr>
                  <w:t>9.3. PVM gali būti finansuojamas valstybės biudžeto lėšomis vadovaujantis PAFT VII skyriaus ketvirtajame skirsnyje nustatyta tvarka.</w:t>
                </w:r>
              </w:p>
              <w:p w:rsidR="000363B9" w:rsidRDefault="00E82DB0">
                <w:pPr>
                  <w:rPr>
                    <w:szCs w:val="24"/>
                  </w:rPr>
                </w:pPr>
                <w:r>
                  <w:rPr>
                    <w:szCs w:val="24"/>
                  </w:rPr>
                  <w:t>9.4.</w:t>
                </w:r>
                <w:r>
                  <w:rPr>
                    <w:color w:val="000000"/>
                    <w:szCs w:val="24"/>
                  </w:rPr>
                  <w:t xml:space="preserve"> Finansavimo intensyvumas, kai teikiamas finansavimas nėra valstybės pagalba, gali sudaryti iki 50 proc. tinkamų finansuoti išlaidų. </w:t>
                </w:r>
              </w:p>
              <w:p w:rsidR="000363B9" w:rsidRDefault="00E82DB0">
                <w:pPr>
                  <w:tabs>
                    <w:tab w:val="left" w:pos="459"/>
                  </w:tabs>
                  <w:spacing w:line="256" w:lineRule="auto"/>
                  <w:jc w:val="both"/>
                  <w:rPr>
                    <w:szCs w:val="24"/>
                  </w:rPr>
                </w:pPr>
                <w:r>
                  <w:rPr>
                    <w:szCs w:val="24"/>
                  </w:rPr>
                  <w:t>9.5. Projekto vykdytojas ar partneriai savo iniciatyva ir savo ir (arba) kitų šaltinių lėšomis gali prisidėti prie projekto įgyvendinimo.</w:t>
                </w:r>
              </w:p>
              <w:p w:rsidR="000363B9" w:rsidRDefault="00E82DB0">
                <w:pPr>
                  <w:tabs>
                    <w:tab w:val="left" w:pos="459"/>
                    <w:tab w:val="left" w:pos="596"/>
                  </w:tabs>
                  <w:spacing w:line="256" w:lineRule="auto"/>
                  <w:jc w:val="both"/>
                  <w:rPr>
                    <w:szCs w:val="24"/>
                  </w:rPr>
                </w:pPr>
                <w:r>
                  <w:rPr>
                    <w:szCs w:val="24"/>
                  </w:rPr>
                  <w:t xml:space="preserve">9.6. Projekto tinkamų finansuoti išlaidų dalis, kurios nepadengia projektui skiriamo finansavimo lėšos, turi būti finansuojama iš projekto vykdytojo ar partnerių lėšų. </w:t>
                </w:r>
              </w:p>
              <w:p w:rsidR="000363B9" w:rsidRDefault="00E82DB0">
                <w:pPr>
                  <w:jc w:val="both"/>
                  <w:rPr>
                    <w:szCs w:val="24"/>
                  </w:rPr>
                </w:pPr>
                <w:r>
                  <w:rPr>
                    <w:szCs w:val="24"/>
                  </w:rPr>
                  <w:t>9.7. Projekto vykdytojui gali būti mokamas avansas, vadovaujantis PAFT numatytomis avanso mokėjimo sąlygomis.</w:t>
                </w:r>
              </w:p>
              <w:p w:rsidR="000363B9" w:rsidRDefault="00E82DB0">
                <w:pPr>
                  <w:jc w:val="both"/>
                  <w:rPr>
                    <w:szCs w:val="24"/>
                  </w:rPr>
                </w:pPr>
                <w:r>
                  <w:rPr>
                    <w:szCs w:val="24"/>
                  </w:rPr>
                  <w:t>9.8. Kryžminis finansavimas netaikomas.</w:t>
                </w:r>
              </w:p>
              <w:p w:rsidR="000363B9" w:rsidRDefault="00E82DB0">
                <w:pPr>
                  <w:jc w:val="both"/>
                  <w:textAlignment w:val="baseline"/>
                  <w:rPr>
                    <w:i/>
                    <w:iCs/>
                    <w:szCs w:val="24"/>
                  </w:rPr>
                </w:pPr>
                <w:r>
                  <w:rPr>
                    <w:szCs w:val="24"/>
                  </w:rPr>
                  <w:t xml:space="preserve">9.9. Pagal Aprašą tinkamos finansuoti išlaidos yra privalomos projekto matomumo ir informavimo apie projektą priemonės. </w:t>
                </w:r>
                <w:r>
                  <w:rPr>
                    <w:szCs w:val="24"/>
                    <w:lang w:eastAsia="lt-LT"/>
                  </w:rPr>
                  <w:t>Netiesioginės projekto išlaidos apmokamos taikant fiksuotąją normą (7 proc. nuo tinkamų finansuoti projekto tiesioginių išlaidų).</w:t>
                </w:r>
              </w:p>
              <w:p w:rsidR="000363B9" w:rsidRDefault="000363B9">
                <w:pPr>
                  <w:jc w:val="both"/>
                  <w:rPr>
                    <w:szCs w:val="24"/>
                  </w:rPr>
                </w:pPr>
              </w:p>
              <w:p w:rsidR="000363B9" w:rsidRDefault="00E82DB0">
                <w:pPr>
                  <w:jc w:val="both"/>
                  <w:rPr>
                    <w:szCs w:val="24"/>
                  </w:rPr>
                </w:pPr>
                <w:r>
                  <w:rPr>
                    <w:szCs w:val="24"/>
                  </w:rPr>
                  <w:lastRenderedPageBreak/>
                  <w:t xml:space="preserve">9.10.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jos būtų pripažintos tinkamomis finansuoti ir (arba) apmokėtos daugiau nei vieną kartą.   </w:t>
                </w:r>
              </w:p>
              <w:p w:rsidR="000363B9" w:rsidRDefault="000363B9">
                <w:pPr>
                  <w:jc w:val="both"/>
                  <w:rPr>
                    <w:b/>
                    <w:bCs/>
                    <w:szCs w:val="24"/>
                  </w:rPr>
                </w:pPr>
              </w:p>
            </w:tc>
          </w:tr>
          <w:tr w:rsidR="000363B9">
            <w:trPr>
              <w:trHeight w:val="349"/>
            </w:trPr>
            <w:tc>
              <w:tcPr>
                <w:tcW w:w="14709" w:type="dxa"/>
              </w:tcPr>
              <w:p w:rsidR="000363B9" w:rsidRDefault="00E82DB0">
                <w:pPr>
                  <w:jc w:val="both"/>
                  <w:rPr>
                    <w:szCs w:val="24"/>
                  </w:rPr>
                </w:pPr>
                <w:r>
                  <w:rPr>
                    <w:b/>
                    <w:szCs w:val="24"/>
                  </w:rPr>
                  <w:lastRenderedPageBreak/>
                  <w:t>10. Projektų veiklų ir jungtinio projekto projektų įgyvendinimui taikomi supaprastintai apmokamų išlaidų dydžiai</w:t>
                </w:r>
              </w:p>
            </w:tc>
          </w:tr>
          <w:tr w:rsidR="000363B9">
            <w:tc>
              <w:tcPr>
                <w:tcW w:w="14709" w:type="dxa"/>
              </w:tcPr>
              <w:p w:rsidR="000363B9" w:rsidRDefault="000363B9">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363B9">
                  <w:tc>
                    <w:tcPr>
                      <w:tcW w:w="14449" w:type="dxa"/>
                      <w:gridSpan w:val="5"/>
                      <w:tcBorders>
                        <w:top w:val="single" w:sz="8" w:space="0" w:color="auto"/>
                        <w:left w:val="single" w:sz="8" w:space="0" w:color="auto"/>
                        <w:bottom w:val="single" w:sz="8" w:space="0" w:color="auto"/>
                        <w:right w:val="single" w:sz="8" w:space="0" w:color="auto"/>
                      </w:tcBorders>
                    </w:tcPr>
                    <w:p w:rsidR="000363B9" w:rsidRDefault="00E82DB0">
                      <w:pPr>
                        <w:jc w:val="both"/>
                        <w:rPr>
                          <w:b/>
                          <w:bCs/>
                          <w:szCs w:val="24"/>
                        </w:rPr>
                      </w:pPr>
                      <w:r>
                        <w:rPr>
                          <w:rFonts w:ascii="MS Gothic" w:eastAsia="MS Gothic" w:hAnsi="MS Gothic" w:cs="MS Gothic"/>
                          <w:b/>
                          <w:bCs/>
                          <w:szCs w:val="24"/>
                        </w:rPr>
                        <w:t>☐</w:t>
                      </w:r>
                      <w:r>
                        <w:rPr>
                          <w:b/>
                          <w:bCs/>
                          <w:szCs w:val="24"/>
                        </w:rPr>
                        <w:t xml:space="preserve"> Indeksuojama</w:t>
                      </w:r>
                    </w:p>
                    <w:p w:rsidR="000363B9" w:rsidRDefault="00E82DB0">
                      <w:pPr>
                        <w:jc w:val="both"/>
                        <w:rPr>
                          <w:b/>
                          <w:bCs/>
                          <w:szCs w:val="24"/>
                        </w:rPr>
                      </w:pPr>
                      <w:r>
                        <w:rPr>
                          <w:rFonts w:ascii="MS Gothic" w:eastAsia="MS Gothic" w:hAnsi="MS Gothic" w:cs="MS Gothic"/>
                          <w:b/>
                          <w:bCs/>
                          <w:szCs w:val="24"/>
                        </w:rPr>
                        <w:t xml:space="preserve">X </w:t>
                      </w:r>
                      <w:r>
                        <w:rPr>
                          <w:b/>
                          <w:bCs/>
                          <w:szCs w:val="24"/>
                        </w:rPr>
                        <w:t>Neindeksuojama</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szCs w:val="24"/>
                        </w:rPr>
                      </w:pPr>
                      <w:r>
                        <w:rPr>
                          <w:b/>
                          <w:bCs/>
                          <w:szCs w:val="24"/>
                        </w:rPr>
                        <w:t>Papildoma informacija</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E82DB0">
                      <w:pPr>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szCs w:val="24"/>
                        </w:rPr>
                        <w:t>Netiesioginės išlaidos sudaro iki 7 proc. tinkamų finansuoti tiesioginių projekto išlaidų.</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E82DB0">
                      <w:pPr>
                        <w:jc w:val="both"/>
                        <w:rPr>
                          <w:szCs w:val="24"/>
                        </w:rPr>
                      </w:pPr>
                      <w:r>
                        <w:rPr>
                          <w:szCs w:val="24"/>
                        </w:rPr>
                        <w:t>Privalomos projektų matomumo ir informavimo apie projektus priemonės.</w:t>
                      </w:r>
                    </w:p>
                    <w:p w:rsidR="000363B9" w:rsidRDefault="000363B9">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i/>
                          <w:iCs/>
                          <w:szCs w:val="24"/>
                        </w:rPr>
                        <w:t>-</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E82DB0">
                      <w:pPr>
                        <w:jc w:val="both"/>
                        <w:rPr>
                          <w:szCs w:val="24"/>
                        </w:rPr>
                      </w:pPr>
                      <w:r>
                        <w:rPr>
                          <w:szCs w:val="24"/>
                        </w:rPr>
                        <w:t>Privalomos projektų matomumo ir informavimo apie projektus priemonės.</w:t>
                      </w:r>
                    </w:p>
                    <w:p w:rsidR="000363B9" w:rsidRDefault="000363B9">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i/>
                          <w:iCs/>
                          <w:szCs w:val="24"/>
                        </w:rPr>
                        <w:t>-</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0363B9">
                      <w:pPr>
                        <w:rPr>
                          <w:sz w:val="8"/>
                          <w:szCs w:val="8"/>
                        </w:rPr>
                      </w:pPr>
                    </w:p>
                    <w:p w:rsidR="000363B9" w:rsidRDefault="00E82DB0">
                      <w:pPr>
                        <w:jc w:val="both"/>
                        <w:rPr>
                          <w:szCs w:val="24"/>
                        </w:rPr>
                      </w:pPr>
                      <w:r>
                        <w:rPr>
                          <w:szCs w:val="24"/>
                        </w:rPr>
                        <w:t>Privalomos projektų matomumo ir informavimo apie projektus priemonės.</w:t>
                      </w:r>
                    </w:p>
                    <w:p w:rsidR="000363B9" w:rsidRDefault="000363B9">
                      <w:pPr>
                        <w:rPr>
                          <w:sz w:val="8"/>
                          <w:szCs w:val="8"/>
                        </w:rPr>
                      </w:pP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 xml:space="preserve">Įgyvendintų privalomų matomumo ir informavimo priemonių apie ES fondų investicijų veiklas </w:t>
                      </w:r>
                      <w:r>
                        <w:rPr>
                          <w:szCs w:val="24"/>
                        </w:rPr>
                        <w:lastRenderedPageBreak/>
                        <w:t>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i/>
                          <w:iCs/>
                          <w:szCs w:val="24"/>
                        </w:rPr>
                        <w:lastRenderedPageBreak/>
                        <w:t>-</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0363B9">
                      <w:pPr>
                        <w:rPr>
                          <w:sz w:val="8"/>
                          <w:szCs w:val="8"/>
                        </w:rPr>
                      </w:pPr>
                    </w:p>
                    <w:p w:rsidR="000363B9" w:rsidRDefault="00E82DB0">
                      <w:pPr>
                        <w:jc w:val="both"/>
                        <w:rPr>
                          <w:szCs w:val="24"/>
                        </w:rPr>
                      </w:pPr>
                      <w:r>
                        <w:rPr>
                          <w:szCs w:val="24"/>
                        </w:rPr>
                        <w:t>Privalomos projektų matomumo ir informavimo apie projektus priemonės.</w:t>
                      </w:r>
                    </w:p>
                    <w:p w:rsidR="000363B9" w:rsidRDefault="000363B9">
                      <w:pPr>
                        <w:rPr>
                          <w:sz w:val="8"/>
                          <w:szCs w:val="8"/>
                        </w:rPr>
                      </w:pP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i/>
                          <w:iCs/>
                          <w:szCs w:val="24"/>
                        </w:rPr>
                        <w:t>-</w:t>
                      </w: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8,63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20 darbo dienų (toliau – d. d.) (jeigu dirbama 5 d. d. per savaitę) arba 24 d. d. (jeigu dirbama 6 d. d. per savaitę) kasmetinės atostogos.</w:t>
                      </w:r>
                    </w:p>
                    <w:p w:rsidR="000363B9" w:rsidRDefault="000363B9">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10,44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 xml:space="preserve">Projektą vykdančio personalo darbo užmokesčio išlaidų dalis per mėnesį, skirta kasmetinėms atostogoms, </w:t>
                      </w:r>
                      <w:r>
                        <w:rPr>
                          <w:szCs w:val="24"/>
                        </w:rPr>
                        <w:lastRenderedPageBreak/>
                        <w:t>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lastRenderedPageBreak/>
                        <w:t>FN-05-03</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12,35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rPr>
                          <w:szCs w:val="24"/>
                        </w:rPr>
                      </w:pPr>
                      <w:r>
                        <w:rPr>
                          <w:szCs w:val="24"/>
                        </w:rPr>
                        <w:t xml:space="preserve">Fiksuotoji norma, taikoma, kai priklauso nuo 26 iki 30 d. d. (jeigu dirbama 5 d. d. per savaitę) arba nuo 31 iki 36 d. d. (jeigu dirbama 6 d. </w:t>
                      </w:r>
                      <w:r>
                        <w:rPr>
                          <w:szCs w:val="24"/>
                        </w:rPr>
                        <w:lastRenderedPageBreak/>
                        <w:t>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14,99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15,25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 xml:space="preserve">Projektą vykdančio personalo darbo užmokesčio išlaidų dalis per mėnesį, skirta kasmetinėms atostogoms, kuri apskaičiuojama nuo tinkamų finansuoti faktiškai </w:t>
                      </w:r>
                      <w:r>
                        <w:rPr>
                          <w:szCs w:val="24"/>
                        </w:rPr>
                        <w:lastRenderedPageBreak/>
                        <w:t>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lastRenderedPageBreak/>
                        <w:t>FN-05-06</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18,89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20,02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bl>
              <w:p w:rsidR="000363B9" w:rsidRDefault="000363B9">
                <w:pPr>
                  <w:jc w:val="both"/>
                  <w:rPr>
                    <w:i/>
                    <w:iCs/>
                    <w:szCs w:val="24"/>
                  </w:rPr>
                </w:pPr>
              </w:p>
            </w:tc>
          </w:tr>
        </w:tbl>
        <w:p w:rsidR="000363B9" w:rsidRDefault="000363B9">
          <w:pPr>
            <w:spacing w:line="276" w:lineRule="auto"/>
            <w:jc w:val="center"/>
            <w:rPr>
              <w:rFonts w:eastAsia="Calibri"/>
              <w:szCs w:val="24"/>
            </w:rPr>
          </w:pPr>
        </w:p>
        <w:sdt>
          <w:sdtPr>
            <w:rPr>
              <w:rFonts w:eastAsia="Calibri"/>
              <w:szCs w:val="24"/>
            </w:rPr>
            <w:alias w:val="pabaiga"/>
            <w:tag w:val="part_d6cbcb79fe8c4b9ca5fe0a02a927964f"/>
            <w:id w:val="-247959566"/>
            <w:lock w:val="sdtLocked"/>
            <w:placeholder>
              <w:docPart w:val="DefaultPlaceholder_-1854013440"/>
            </w:placeholder>
          </w:sdtPr>
          <w:sdtEndPr/>
          <w:sdtContent>
            <w:p w:rsidR="000363B9" w:rsidRDefault="00E82DB0">
              <w:pPr>
                <w:spacing w:line="276" w:lineRule="auto"/>
                <w:jc w:val="center"/>
                <w:rPr>
                  <w:rFonts w:eastAsia="Calibri"/>
                  <w:szCs w:val="24"/>
                </w:rPr>
              </w:pPr>
              <w:r>
                <w:rPr>
                  <w:rFonts w:eastAsia="Calibri"/>
                  <w:szCs w:val="24"/>
                </w:rPr>
                <w:t>________________</w:t>
              </w:r>
            </w:p>
            <w:p w:rsidR="00E82DB0" w:rsidRDefault="00565853">
              <w:pPr>
                <w:spacing w:line="276" w:lineRule="auto"/>
                <w:jc w:val="center"/>
                <w:rPr>
                  <w:rFonts w:eastAsia="Calibri"/>
                  <w:szCs w:val="24"/>
                </w:rPr>
              </w:pPr>
            </w:p>
          </w:sdtContent>
        </w:sdt>
      </w:sdtContent>
    </w:sdt>
    <w:sdt>
      <w:sdtPr>
        <w:rPr>
          <w:rFonts w:eastAsia="Calibri"/>
          <w:szCs w:val="24"/>
        </w:rPr>
        <w:alias w:val="1 pr."/>
        <w:tag w:val="part_37d8e86688be4709b1810584310e7df8"/>
        <w:id w:val="1612790118"/>
        <w:lock w:val="sdtLocked"/>
        <w:placeholder>
          <w:docPart w:val="DefaultPlaceholder_-1854013440"/>
        </w:placeholder>
      </w:sdtPr>
      <w:sdtEndPr>
        <w:rPr>
          <w:rFonts w:ascii="Calibri" w:hAnsi="Calibri"/>
        </w:rPr>
      </w:sdtEndPr>
      <w:sdtContent>
        <w:p w:rsidR="00E82DB0" w:rsidRDefault="00E82DB0">
          <w:pPr>
            <w:spacing w:line="276" w:lineRule="auto"/>
            <w:jc w:val="center"/>
            <w:rPr>
              <w:rFonts w:eastAsia="Calibri"/>
              <w:szCs w:val="24"/>
            </w:rPr>
            <w:sectPr w:rsidR="00E82DB0">
              <w:headerReference w:type="even" r:id="rId11"/>
              <w:headerReference w:type="default" r:id="rId12"/>
              <w:footerReference w:type="even" r:id="rId13"/>
              <w:footerReference w:type="default" r:id="rId14"/>
              <w:headerReference w:type="first" r:id="rId15"/>
              <w:footerReference w:type="first" r:id="rId16"/>
              <w:pgSz w:w="16838" w:h="11906" w:orient="landscape"/>
              <w:pgMar w:top="426" w:right="1134" w:bottom="567" w:left="1134" w:header="567" w:footer="567" w:gutter="0"/>
              <w:pgNumType w:start="1"/>
              <w:cols w:space="1296"/>
              <w:titlePg/>
              <w:docGrid w:linePitch="360"/>
            </w:sectPr>
          </w:pPr>
        </w:p>
        <w:p w:rsidR="00E82DB0" w:rsidRDefault="00E82DB0" w:rsidP="00E82DB0">
          <w:pPr>
            <w:ind w:left="9639"/>
            <w:rPr>
              <w:szCs w:val="24"/>
            </w:rPr>
          </w:pPr>
          <w:r>
            <w:rPr>
              <w:szCs w:val="24"/>
            </w:rPr>
            <w:lastRenderedPageBreak/>
            <w:t xml:space="preserve">7 priedo „2021–2030 m. plėtros programos </w:t>
          </w:r>
        </w:p>
        <w:p w:rsidR="00E82DB0" w:rsidRDefault="00E82DB0" w:rsidP="00E82DB0">
          <w:pPr>
            <w:ind w:left="9639"/>
            <w:rPr>
              <w:szCs w:val="24"/>
            </w:rPr>
          </w:pPr>
          <w:r>
            <w:rPr>
              <w:szCs w:val="24"/>
            </w:rPr>
            <w:t xml:space="preserve">valdytojos Lietuvos Respublikos švietimo, mokslo </w:t>
          </w:r>
        </w:p>
        <w:p w:rsidR="00E82DB0" w:rsidRDefault="00E82DB0" w:rsidP="00E82DB0">
          <w:pPr>
            <w:ind w:left="9639"/>
            <w:rPr>
              <w:szCs w:val="24"/>
            </w:rPr>
          </w:pPr>
          <w:r>
            <w:rPr>
              <w:szCs w:val="24"/>
            </w:rPr>
            <w:t xml:space="preserve">ir sporto ministerijos mokslo plėtros programos </w:t>
          </w:r>
        </w:p>
        <w:p w:rsidR="00E82DB0" w:rsidRDefault="00E82DB0" w:rsidP="00E82DB0">
          <w:pPr>
            <w:ind w:left="9639"/>
            <w:rPr>
              <w:szCs w:val="24"/>
            </w:rPr>
          </w:pPr>
          <w:r>
            <w:rPr>
              <w:szCs w:val="24"/>
            </w:rPr>
            <w:t xml:space="preserve">pažangos priemonės Nr. 12-001-01-02-01 „Stiprinti </w:t>
          </w:r>
        </w:p>
        <w:p w:rsidR="00E82DB0" w:rsidRDefault="00E82DB0" w:rsidP="00E82DB0">
          <w:pPr>
            <w:ind w:left="9639"/>
            <w:rPr>
              <w:szCs w:val="24"/>
            </w:rPr>
          </w:pPr>
          <w:r>
            <w:rPr>
              <w:szCs w:val="24"/>
            </w:rPr>
            <w:t xml:space="preserve">inovacijų ekosistemas mokslo centruose“ projektų </w:t>
          </w:r>
        </w:p>
        <w:p w:rsidR="000363B9" w:rsidRDefault="00E82DB0" w:rsidP="00E82DB0">
          <w:pPr>
            <w:ind w:left="9639"/>
            <w:rPr>
              <w:szCs w:val="24"/>
            </w:rPr>
          </w:pPr>
          <w:r>
            <w:rPr>
              <w:szCs w:val="24"/>
            </w:rPr>
            <w:t>finansavimo sąlygų aprašo Nr. 7“</w:t>
          </w:r>
        </w:p>
        <w:p w:rsidR="000363B9" w:rsidRDefault="00E82DB0" w:rsidP="00E82DB0">
          <w:pPr>
            <w:ind w:left="9639"/>
            <w:rPr>
              <w:szCs w:val="24"/>
            </w:rPr>
          </w:pPr>
          <w:r>
            <w:rPr>
              <w:szCs w:val="24"/>
            </w:rPr>
            <w:t>1 priedas</w:t>
          </w:r>
        </w:p>
        <w:p w:rsidR="000363B9" w:rsidRDefault="000363B9">
          <w:pPr>
            <w:jc w:val="center"/>
            <w:rPr>
              <w:b/>
              <w:bCs/>
              <w:szCs w:val="24"/>
            </w:rPr>
          </w:pPr>
        </w:p>
        <w:p w:rsidR="000363B9" w:rsidRDefault="000363B9">
          <w:pPr>
            <w:jc w:val="center"/>
            <w:rPr>
              <w:b/>
              <w:bCs/>
              <w:szCs w:val="24"/>
            </w:rPr>
          </w:pPr>
        </w:p>
        <w:p w:rsidR="000363B9" w:rsidRDefault="000363B9">
          <w:pPr>
            <w:jc w:val="center"/>
            <w:rPr>
              <w:rFonts w:eastAsia="Calibri"/>
              <w:b/>
              <w:bCs/>
              <w:szCs w:val="24"/>
            </w:rPr>
          </w:pPr>
        </w:p>
        <w:p w:rsidR="000363B9" w:rsidRDefault="00E82DB0">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0363B9" w:rsidRDefault="000363B9">
          <w:pPr>
            <w:jc w:val="center"/>
            <w:rPr>
              <w:rFonts w:eastAsia="Calibri"/>
              <w:b/>
              <w:bCs/>
              <w:szCs w:val="24"/>
            </w:rPr>
          </w:pPr>
        </w:p>
        <w:p w:rsidR="000363B9" w:rsidRDefault="00E82DB0">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rsidR="000363B9" w:rsidRDefault="00E82DB0">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rsidR="000363B9" w:rsidRDefault="00E82DB0">
          <w:pPr>
            <w:spacing w:line="276" w:lineRule="auto"/>
            <w:jc w:val="both"/>
            <w:rPr>
              <w:rFonts w:eastAsia="Calibri"/>
              <w:szCs w:val="24"/>
            </w:rPr>
          </w:pPr>
          <w:r>
            <w:rPr>
              <w:szCs w:val="24"/>
            </w:rPr>
            <w:t>× Europos Sąjungos fondų i</w:t>
          </w:r>
          <w:r>
            <w:rPr>
              <w:rFonts w:eastAsia="Calibri"/>
              <w:szCs w:val="24"/>
            </w:rPr>
            <w:t>nvesticijų programa (toliau – ESIP)</w:t>
          </w:r>
        </w:p>
        <w:p w:rsidR="000363B9" w:rsidRDefault="000363B9">
          <w:pPr>
            <w:spacing w:line="276" w:lineRule="auto"/>
            <w:jc w:val="both"/>
            <w:rPr>
              <w:rFonts w:eastAsia="Calibri"/>
              <w:szCs w:val="24"/>
            </w:rPr>
          </w:pPr>
        </w:p>
        <w:p w:rsidR="000363B9" w:rsidRDefault="000363B9">
          <w:pPr>
            <w:spacing w:line="276" w:lineRule="auto"/>
            <w:jc w:val="center"/>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0363B9">
            <w:tc>
              <w:tcPr>
                <w:tcW w:w="4885" w:type="dxa"/>
              </w:tcPr>
              <w:p w:rsidR="000363B9" w:rsidRDefault="00E82DB0">
                <w:pPr>
                  <w:jc w:val="center"/>
                  <w:rPr>
                    <w:rFonts w:eastAsia="Calibri"/>
                    <w:b/>
                    <w:szCs w:val="24"/>
                  </w:rPr>
                </w:pPr>
                <w:r>
                  <w:rPr>
                    <w:rFonts w:eastAsia="Calibri"/>
                    <w:b/>
                    <w:szCs w:val="24"/>
                  </w:rPr>
                  <w:t>Aplinkos tikslai</w:t>
                </w:r>
              </w:p>
              <w:p w:rsidR="000363B9" w:rsidRDefault="00E82DB0">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3" w:type="dxa"/>
              </w:tcPr>
              <w:p w:rsidR="000363B9" w:rsidRDefault="00E82DB0">
                <w:pPr>
                  <w:jc w:val="center"/>
                  <w:rPr>
                    <w:rFonts w:eastAsia="Calibri"/>
                    <w:b/>
                    <w:szCs w:val="24"/>
                  </w:rPr>
                </w:pPr>
                <w:r>
                  <w:rPr>
                    <w:rFonts w:eastAsia="Calibri"/>
                    <w:b/>
                    <w:szCs w:val="24"/>
                  </w:rPr>
                  <w:t>Pagrindimas</w:t>
                </w:r>
              </w:p>
              <w:p w:rsidR="000363B9" w:rsidRDefault="00E82DB0">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rsidR="000363B9" w:rsidRDefault="00E82DB0">
                <w:pPr>
                  <w:jc w:val="center"/>
                  <w:rPr>
                    <w:rFonts w:eastAsia="Calibri"/>
                    <w:i/>
                    <w:sz w:val="20"/>
                  </w:rPr>
                </w:pPr>
                <w:r>
                  <w:rPr>
                    <w:rFonts w:eastAsia="Calibri"/>
                    <w:b/>
                    <w:szCs w:val="24"/>
                  </w:rPr>
                  <w:t>Pagrindimo dokumentai</w:t>
                </w:r>
              </w:p>
              <w:p w:rsidR="000363B9" w:rsidRDefault="00E82DB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0363B9" w:rsidRDefault="00E82DB0">
                <w:pPr>
                  <w:spacing w:line="259" w:lineRule="auto"/>
                  <w:jc w:val="both"/>
                  <w:rPr>
                    <w:rFonts w:eastAsia="Calibri"/>
                    <w:bCs/>
                    <w:iCs/>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Cs/>
                    <w:sz w:val="22"/>
                    <w:szCs w:val="22"/>
                  </w:rPr>
                  <w:t xml:space="preserve">nes nebus investicijų, skirtų infrastruktūrai atnaujinti. </w:t>
                </w:r>
              </w:p>
              <w:p w:rsidR="000363B9" w:rsidRDefault="000363B9">
                <w:pPr>
                  <w:rPr>
                    <w:sz w:val="14"/>
                    <w:szCs w:val="14"/>
                  </w:rPr>
                </w:pPr>
              </w:p>
              <w:p w:rsidR="000363B9" w:rsidRDefault="000363B9">
                <w:pPr>
                  <w:jc w:val="both"/>
                  <w:rPr>
                    <w:rFonts w:eastAsia="Calibri"/>
                    <w:bCs/>
                    <w:i/>
                    <w:sz w:val="20"/>
                  </w:rPr>
                </w:pPr>
              </w:p>
            </w:tc>
            <w:tc>
              <w:tcPr>
                <w:tcW w:w="5331" w:type="dxa"/>
              </w:tcPr>
              <w:p w:rsidR="000363B9" w:rsidRDefault="000363B9">
                <w:pPr>
                  <w:tabs>
                    <w:tab w:val="left" w:pos="589"/>
                  </w:tabs>
                  <w:jc w:val="both"/>
                  <w:rPr>
                    <w:rFonts w:eastAsia="Calibri"/>
                    <w:szCs w:val="22"/>
                  </w:rPr>
                </w:pPr>
              </w:p>
              <w:p w:rsidR="000363B9" w:rsidRDefault="00E82DB0">
                <w:pPr>
                  <w:tabs>
                    <w:tab w:val="left" w:pos="589"/>
                  </w:tabs>
                  <w:jc w:val="both"/>
                  <w:rPr>
                    <w:rFonts w:eastAsia="Calibri"/>
                    <w:szCs w:val="22"/>
                  </w:rPr>
                </w:pPr>
                <w:r>
                  <w:rPr>
                    <w:rFonts w:eastAsia="Calibri"/>
                    <w:sz w:val="22"/>
                    <w:szCs w:val="22"/>
                  </w:rPr>
                  <w:t>Projekto vykdytojo deklaracija.</w:t>
                </w:r>
              </w:p>
              <w:p w:rsidR="000363B9" w:rsidRDefault="000363B9">
                <w:pPr>
                  <w:tabs>
                    <w:tab w:val="left" w:pos="589"/>
                  </w:tabs>
                  <w:jc w:val="both"/>
                  <w:rPr>
                    <w:rFonts w:eastAsia="Calibri"/>
                    <w:i/>
                    <w:sz w:val="20"/>
                  </w:rPr>
                </w:pP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0363B9" w:rsidRDefault="00E82DB0">
                <w:pPr>
                  <w:jc w:val="both"/>
                  <w:rPr>
                    <w:rFonts w:eastAsia="Calibri"/>
                    <w:bCs/>
                    <w:szCs w:val="24"/>
                  </w:rPr>
                </w:pPr>
                <w:r>
                  <w:rPr>
                    <w:rFonts w:eastAsia="Calibri"/>
                    <w:bCs/>
                    <w:sz w:val="22"/>
                    <w:szCs w:val="22"/>
                  </w:rPr>
                  <w:t xml:space="preserve">Nenumatoma, kad planuojamos įgyvendinti veiklos turės neigiamos įtakos prisitaikymui prie klimato kaitos, kadangi nebus investicijų, skirtų infrastruktūrai atnaujinti. </w:t>
                </w:r>
              </w:p>
            </w:tc>
            <w:tc>
              <w:tcPr>
                <w:tcW w:w="5331" w:type="dxa"/>
              </w:tcPr>
              <w:p w:rsidR="000363B9" w:rsidRDefault="00E82DB0">
                <w:pPr>
                  <w:jc w:val="both"/>
                  <w:rPr>
                    <w:rFonts w:eastAsia="Calibri"/>
                    <w:b/>
                    <w:szCs w:val="24"/>
                  </w:rPr>
                </w:pPr>
                <w:r>
                  <w:rPr>
                    <w:rFonts w:eastAsia="Calibri"/>
                    <w:sz w:val="22"/>
                    <w:szCs w:val="22"/>
                  </w:rPr>
                  <w:t>Projekto vykdytojo deklaracija.</w:t>
                </w: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0363B9" w:rsidRDefault="00E82DB0">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rsidR="000363B9" w:rsidRDefault="00E82DB0">
                <w:pPr>
                  <w:jc w:val="both"/>
                  <w:rPr>
                    <w:rFonts w:eastAsia="Calibri"/>
                    <w:bCs/>
                    <w:szCs w:val="24"/>
                  </w:rPr>
                </w:pPr>
                <w:r>
                  <w:rPr>
                    <w:rFonts w:eastAsia="Calibri"/>
                    <w:bCs/>
                    <w:sz w:val="22"/>
                    <w:szCs w:val="22"/>
                  </w:rPr>
                  <w:t>Projekto vykdytojo deklaracija.</w:t>
                </w: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0363B9" w:rsidRDefault="00E82DB0">
                <w:pPr>
                  <w:spacing w:line="259" w:lineRule="auto"/>
                  <w:jc w:val="both"/>
                  <w:rPr>
                    <w:rFonts w:eastAsia="Calibri"/>
                    <w:bCs/>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w:t>
                </w:r>
              </w:p>
              <w:p w:rsidR="000363B9" w:rsidRDefault="000363B9">
                <w:pPr>
                  <w:rPr>
                    <w:sz w:val="14"/>
                    <w:szCs w:val="14"/>
                  </w:rPr>
                </w:pPr>
              </w:p>
              <w:p w:rsidR="000363B9" w:rsidRDefault="000363B9">
                <w:pPr>
                  <w:jc w:val="both"/>
                  <w:rPr>
                    <w:rFonts w:eastAsia="Calibri"/>
                    <w:bCs/>
                    <w:szCs w:val="24"/>
                  </w:rPr>
                </w:pPr>
              </w:p>
            </w:tc>
            <w:tc>
              <w:tcPr>
                <w:tcW w:w="5331" w:type="dxa"/>
              </w:tcPr>
              <w:p w:rsidR="000363B9" w:rsidRDefault="00E82DB0">
                <w:pPr>
                  <w:jc w:val="both"/>
                  <w:rPr>
                    <w:rFonts w:eastAsia="Calibri"/>
                    <w:szCs w:val="24"/>
                  </w:rPr>
                </w:pPr>
                <w:r>
                  <w:rPr>
                    <w:rFonts w:eastAsia="Calibri"/>
                    <w:sz w:val="22"/>
                    <w:szCs w:val="22"/>
                  </w:rPr>
                  <w:t>Projekto vykdytojo deklaracija.</w:t>
                </w: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0363B9" w:rsidRDefault="00E82DB0">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rsidR="000363B9" w:rsidRDefault="000363B9">
                <w:pPr>
                  <w:rPr>
                    <w:sz w:val="14"/>
                    <w:szCs w:val="14"/>
                  </w:rPr>
                </w:pPr>
              </w:p>
              <w:p w:rsidR="000363B9" w:rsidRDefault="000363B9">
                <w:pPr>
                  <w:rPr>
                    <w:sz w:val="14"/>
                    <w:szCs w:val="14"/>
                  </w:rPr>
                </w:pPr>
              </w:p>
              <w:p w:rsidR="000363B9" w:rsidRDefault="00E82DB0">
                <w:pPr>
                  <w:spacing w:line="259" w:lineRule="auto"/>
                  <w:jc w:val="both"/>
                  <w:rPr>
                    <w:rFonts w:eastAsia="Calibri"/>
                    <w:szCs w:val="22"/>
                  </w:rPr>
                </w:pPr>
                <w:r>
                  <w:rPr>
                    <w:rFonts w:eastAsia="Calibri"/>
                    <w:sz w:val="22"/>
                    <w:szCs w:val="22"/>
                  </w:rPr>
                  <w:lastRenderedPageBreak/>
                  <w:t>Vertinama, kad investicijos atitinka tausaus vandens ir jūrų išteklių naudojimo ir apsaugos tikslą, nes įgyvendinant veiklas, nenumatoma, kad bus daroma žala vandens ir jūrų ištekliams.</w:t>
                </w:r>
              </w:p>
              <w:p w:rsidR="000363B9" w:rsidRDefault="000363B9">
                <w:pPr>
                  <w:rPr>
                    <w:sz w:val="14"/>
                    <w:szCs w:val="14"/>
                  </w:rPr>
                </w:pPr>
              </w:p>
              <w:p w:rsidR="000363B9" w:rsidRDefault="000363B9">
                <w:pPr>
                  <w:jc w:val="center"/>
                  <w:rPr>
                    <w:rFonts w:eastAsia="Calibri"/>
                    <w:b/>
                    <w:szCs w:val="24"/>
                  </w:rPr>
                </w:pPr>
              </w:p>
            </w:tc>
            <w:tc>
              <w:tcPr>
                <w:tcW w:w="5331" w:type="dxa"/>
              </w:tcPr>
              <w:p w:rsidR="000363B9" w:rsidRDefault="00E82DB0">
                <w:pPr>
                  <w:jc w:val="both"/>
                  <w:rPr>
                    <w:rFonts w:eastAsia="Calibri"/>
                    <w:szCs w:val="24"/>
                  </w:rPr>
                </w:pPr>
                <w:r>
                  <w:rPr>
                    <w:rFonts w:eastAsia="Calibri"/>
                    <w:sz w:val="22"/>
                    <w:szCs w:val="22"/>
                  </w:rPr>
                  <w:lastRenderedPageBreak/>
                  <w:t>Projekto vykdytojo deklaracija.</w:t>
                </w:r>
              </w:p>
            </w:tc>
          </w:tr>
          <w:tr w:rsidR="000363B9">
            <w:tc>
              <w:tcPr>
                <w:tcW w:w="4885" w:type="dxa"/>
              </w:tcPr>
              <w:p w:rsidR="000363B9" w:rsidRDefault="00E82DB0">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0363B9" w:rsidRDefault="00E82DB0">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rsidR="000363B9" w:rsidRDefault="000363B9">
                <w:pPr>
                  <w:jc w:val="both"/>
                  <w:rPr>
                    <w:sz w:val="14"/>
                    <w:szCs w:val="14"/>
                  </w:rPr>
                </w:pPr>
              </w:p>
              <w:p w:rsidR="000363B9" w:rsidRDefault="00E82DB0">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rsidR="000363B9" w:rsidRDefault="00E82DB0">
                <w:pPr>
                  <w:jc w:val="both"/>
                  <w:rPr>
                    <w:rFonts w:eastAsia="Calibri"/>
                    <w:szCs w:val="24"/>
                  </w:rPr>
                </w:pPr>
                <w:r>
                  <w:rPr>
                    <w:rFonts w:eastAsia="Calibri"/>
                    <w:sz w:val="22"/>
                    <w:szCs w:val="22"/>
                  </w:rPr>
                  <w:t>Projekto vykdytojo deklaracija.</w:t>
                </w:r>
              </w:p>
            </w:tc>
          </w:tr>
        </w:tbl>
        <w:p w:rsidR="000363B9" w:rsidRDefault="000363B9">
          <w:pPr>
            <w:spacing w:line="276" w:lineRule="auto"/>
            <w:jc w:val="center"/>
            <w:rPr>
              <w:rFonts w:ascii="Calibri" w:eastAsia="Calibri" w:hAnsi="Calibri"/>
              <w:szCs w:val="24"/>
            </w:rPr>
          </w:pPr>
        </w:p>
        <w:sdt>
          <w:sdtPr>
            <w:rPr>
              <w:szCs w:val="24"/>
            </w:rPr>
            <w:alias w:val="pabaiga"/>
            <w:tag w:val="part_20415406380c4c8087beaf19aef6a6c5"/>
            <w:id w:val="-382952355"/>
            <w:lock w:val="sdtLocked"/>
            <w:placeholder>
              <w:docPart w:val="DefaultPlaceholder_-1854013440"/>
            </w:placeholder>
          </w:sdtPr>
          <w:sdtEndPr>
            <w:rPr>
              <w:rFonts w:ascii="Calibri" w:eastAsia="Calibri" w:hAnsi="Calibri"/>
            </w:rPr>
          </w:sdtEndPr>
          <w:sdtContent>
            <w:p w:rsidR="000363B9" w:rsidRDefault="00E82DB0">
              <w:pPr>
                <w:spacing w:line="276" w:lineRule="auto"/>
                <w:jc w:val="center"/>
                <w:rPr>
                  <w:rFonts w:ascii="Calibri" w:eastAsia="Calibri" w:hAnsi="Calibri"/>
                  <w:szCs w:val="24"/>
                </w:rPr>
              </w:pPr>
              <w:r>
                <w:rPr>
                  <w:szCs w:val="24"/>
                </w:rPr>
                <w:t>___________________________________</w:t>
              </w:r>
            </w:p>
            <w:p w:rsidR="00E82DB0" w:rsidRDefault="00565853">
              <w:pPr>
                <w:spacing w:line="276" w:lineRule="auto"/>
                <w:jc w:val="center"/>
                <w:rPr>
                  <w:rFonts w:ascii="Calibri" w:eastAsia="Calibri" w:hAnsi="Calibri"/>
                  <w:szCs w:val="24"/>
                </w:rPr>
              </w:pPr>
            </w:p>
          </w:sdtContent>
        </w:sdt>
      </w:sdtContent>
    </w:sdt>
    <w:sdt>
      <w:sdtPr>
        <w:rPr>
          <w:rFonts w:ascii="Calibri" w:eastAsia="Calibri" w:hAnsi="Calibri"/>
          <w:szCs w:val="24"/>
        </w:rPr>
        <w:alias w:val="2 pr."/>
        <w:tag w:val="part_be48617e922a443694fb72323eadab5b"/>
        <w:id w:val="-1703937589"/>
        <w:lock w:val="sdtLocked"/>
        <w:placeholder>
          <w:docPart w:val="DefaultPlaceholder_-1854013440"/>
        </w:placeholder>
      </w:sdtPr>
      <w:sdtEndPr/>
      <w:sdtContent>
        <w:p w:rsidR="00E82DB0" w:rsidRDefault="00E82DB0">
          <w:pPr>
            <w:spacing w:line="276" w:lineRule="auto"/>
            <w:jc w:val="center"/>
            <w:rPr>
              <w:rFonts w:ascii="Calibri" w:eastAsia="Calibri" w:hAnsi="Calibri"/>
              <w:szCs w:val="24"/>
            </w:rPr>
            <w:sectPr w:rsidR="00E82DB0">
              <w:headerReference w:type="first" r:id="rId17"/>
              <w:pgSz w:w="16838" w:h="11906" w:orient="landscape"/>
              <w:pgMar w:top="1701" w:right="567" w:bottom="1134" w:left="1134" w:header="567" w:footer="567" w:gutter="0"/>
              <w:pgNumType w:start="1"/>
              <w:cols w:space="1296"/>
              <w:titlePg/>
              <w:docGrid w:linePitch="360"/>
            </w:sectPr>
          </w:pPr>
        </w:p>
        <w:p w:rsidR="00E82DB0" w:rsidRDefault="00E82DB0" w:rsidP="00E82DB0">
          <w:pPr>
            <w:ind w:left="9639"/>
            <w:rPr>
              <w:szCs w:val="24"/>
            </w:rPr>
          </w:pPr>
          <w:r>
            <w:rPr>
              <w:szCs w:val="24"/>
            </w:rPr>
            <w:lastRenderedPageBreak/>
            <w:t xml:space="preserve">7 priedo „2021–2030 m. plėtros programos </w:t>
          </w:r>
        </w:p>
        <w:p w:rsidR="00E82DB0" w:rsidRDefault="00E82DB0" w:rsidP="00E82DB0">
          <w:pPr>
            <w:ind w:left="9639"/>
            <w:rPr>
              <w:szCs w:val="24"/>
            </w:rPr>
          </w:pPr>
          <w:r>
            <w:rPr>
              <w:szCs w:val="24"/>
            </w:rPr>
            <w:t xml:space="preserve">valdytojos Lietuvos Respublikos švietimo, mokslo </w:t>
          </w:r>
        </w:p>
        <w:p w:rsidR="00E82DB0" w:rsidRDefault="00E82DB0" w:rsidP="00E82DB0">
          <w:pPr>
            <w:ind w:left="9639"/>
            <w:rPr>
              <w:szCs w:val="24"/>
            </w:rPr>
          </w:pPr>
          <w:r>
            <w:rPr>
              <w:szCs w:val="24"/>
            </w:rPr>
            <w:t xml:space="preserve">ir sporto ministerijos mokslo plėtros programos </w:t>
          </w:r>
        </w:p>
        <w:p w:rsidR="00E82DB0" w:rsidRDefault="00E82DB0" w:rsidP="00E82DB0">
          <w:pPr>
            <w:ind w:left="9639"/>
            <w:rPr>
              <w:szCs w:val="24"/>
            </w:rPr>
          </w:pPr>
          <w:r>
            <w:rPr>
              <w:szCs w:val="24"/>
            </w:rPr>
            <w:t xml:space="preserve">pažangos priemonės Nr. 12-001-01-02-01 „Stiprinti </w:t>
          </w:r>
        </w:p>
        <w:p w:rsidR="00E82DB0" w:rsidRDefault="00E82DB0" w:rsidP="00E82DB0">
          <w:pPr>
            <w:ind w:left="9639"/>
            <w:rPr>
              <w:szCs w:val="24"/>
            </w:rPr>
          </w:pPr>
          <w:r>
            <w:rPr>
              <w:szCs w:val="24"/>
            </w:rPr>
            <w:t xml:space="preserve">inovacijų ekosistemas mokslo centruose“ projektų </w:t>
          </w:r>
        </w:p>
        <w:p w:rsidR="000363B9" w:rsidRDefault="00E82DB0" w:rsidP="00E82DB0">
          <w:pPr>
            <w:ind w:left="9639"/>
            <w:rPr>
              <w:szCs w:val="24"/>
            </w:rPr>
          </w:pPr>
          <w:r>
            <w:rPr>
              <w:szCs w:val="24"/>
            </w:rPr>
            <w:t>finansavimo sąlygų aprašo Nr. 7“</w:t>
          </w:r>
        </w:p>
        <w:p w:rsidR="000363B9" w:rsidRDefault="00E82DB0" w:rsidP="00E82DB0">
          <w:pPr>
            <w:ind w:left="9639"/>
            <w:rPr>
              <w:szCs w:val="24"/>
            </w:rPr>
          </w:pPr>
          <w:r>
            <w:rPr>
              <w:szCs w:val="24"/>
            </w:rPr>
            <w:t>2 priedas</w:t>
          </w:r>
        </w:p>
        <w:p w:rsidR="000363B9" w:rsidRDefault="000363B9">
          <w:pPr>
            <w:ind w:right="567"/>
            <w:jc w:val="both"/>
            <w:rPr>
              <w:b/>
              <w:szCs w:val="24"/>
              <w:lang w:eastAsia="lt-LT"/>
            </w:rPr>
          </w:pPr>
        </w:p>
        <w:p w:rsidR="000363B9" w:rsidRDefault="00E82DB0">
          <w:pPr>
            <w:ind w:right="567"/>
            <w:jc w:val="both"/>
            <w:rPr>
              <w:b/>
              <w:szCs w:val="24"/>
              <w:lang w:eastAsia="lt-LT"/>
            </w:rPr>
          </w:pPr>
          <w:r>
            <w:rPr>
              <w:b/>
              <w:szCs w:val="24"/>
              <w:lang w:eastAsia="lt-LT"/>
            </w:rPr>
            <w:t>INFORMACIJOS, REIKALINGOS PROJEKTO ATITIKČIAI SUMANIOSIOS SPECIALIZACIJOS KONCEPCIJAI ĮVERTINTI, FORMA</w:t>
          </w:r>
        </w:p>
        <w:p w:rsidR="000363B9" w:rsidRDefault="000363B9">
          <w:pPr>
            <w:ind w:right="567"/>
            <w:jc w:val="both"/>
            <w:rPr>
              <w:b/>
              <w:szCs w:val="24"/>
              <w:lang w:eastAsia="lt-LT"/>
            </w:rPr>
          </w:pPr>
        </w:p>
        <w:p w:rsidR="000363B9" w:rsidRDefault="000363B9">
          <w:pPr>
            <w:ind w:right="567"/>
            <w:jc w:val="both"/>
            <w:rPr>
              <w:b/>
              <w:szCs w:val="24"/>
              <w:lang w:eastAsia="lt-LT"/>
            </w:rPr>
          </w:pPr>
        </w:p>
        <w:p w:rsidR="000363B9" w:rsidRDefault="00E82DB0">
          <w:pPr>
            <w:ind w:right="567"/>
            <w:jc w:val="both"/>
            <w:rPr>
              <w:b/>
              <w:szCs w:val="24"/>
              <w:lang w:eastAsia="lt-LT"/>
            </w:rPr>
          </w:pPr>
          <w:r>
            <w:rPr>
              <w:b/>
              <w:szCs w:val="24"/>
              <w:lang w:eastAsia="lt-LT"/>
            </w:rPr>
            <w:t>1.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0363B9">
            <w:tc>
              <w:tcPr>
                <w:tcW w:w="2951" w:type="dxa"/>
                <w:gridSpan w:val="2"/>
                <w:shd w:val="clear" w:color="auto" w:fill="BFBFBF"/>
                <w:vAlign w:val="center"/>
              </w:tcPr>
              <w:p w:rsidR="000363B9" w:rsidRDefault="00E82DB0">
                <w:pPr>
                  <w:jc w:val="center"/>
                  <w:rPr>
                    <w:b/>
                    <w:szCs w:val="24"/>
                    <w:lang w:eastAsia="lt-LT"/>
                  </w:rPr>
                </w:pPr>
                <w:r>
                  <w:rPr>
                    <w:b/>
                    <w:szCs w:val="24"/>
                    <w:lang w:eastAsia="lt-LT"/>
                  </w:rPr>
                  <w:t>Mokslinių tyrimų, eksperimentinės plėtros ir inovacijų prioritetas</w:t>
                </w:r>
              </w:p>
              <w:p w:rsidR="000363B9" w:rsidRDefault="000363B9">
                <w:pPr>
                  <w:jc w:val="center"/>
                  <w:rPr>
                    <w:szCs w:val="24"/>
                    <w:lang w:eastAsia="lt-LT"/>
                  </w:rPr>
                </w:pPr>
              </w:p>
            </w:tc>
            <w:tc>
              <w:tcPr>
                <w:tcW w:w="11503" w:type="dxa"/>
                <w:gridSpan w:val="2"/>
                <w:shd w:val="clear" w:color="auto" w:fill="BFBFBF"/>
                <w:vAlign w:val="center"/>
              </w:tcPr>
              <w:p w:rsidR="000363B9" w:rsidRDefault="00E82DB0">
                <w:pPr>
                  <w:jc w:val="center"/>
                  <w:rPr>
                    <w:b/>
                    <w:szCs w:val="24"/>
                    <w:lang w:eastAsia="lt-LT"/>
                  </w:rPr>
                </w:pPr>
                <w:r>
                  <w:rPr>
                    <w:b/>
                    <w:szCs w:val="24"/>
                    <w:lang w:eastAsia="lt-LT"/>
                  </w:rPr>
                  <w:t xml:space="preserve">Prioriteto tematika </w:t>
                </w:r>
              </w:p>
              <w:p w:rsidR="000363B9" w:rsidRDefault="000363B9">
                <w:pPr>
                  <w:jc w:val="center"/>
                  <w:rPr>
                    <w:b/>
                    <w:szCs w:val="24"/>
                    <w:lang w:eastAsia="lt-LT"/>
                  </w:rPr>
                </w:pPr>
              </w:p>
            </w:tc>
          </w:tr>
          <w:tr w:rsidR="000363B9">
            <w:tc>
              <w:tcPr>
                <w:tcW w:w="2252" w:type="dxa"/>
                <w:vMerge w:val="restart"/>
                <w:shd w:val="clear" w:color="auto" w:fill="BFBFBF"/>
                <w:vAlign w:val="center"/>
              </w:tcPr>
              <w:p w:rsidR="000363B9" w:rsidRDefault="00E82DB0">
                <w:pPr>
                  <w:rPr>
                    <w:b/>
                    <w:szCs w:val="24"/>
                    <w:lang w:eastAsia="lt-LT"/>
                  </w:rPr>
                </w:pPr>
                <w:r>
                  <w:rPr>
                    <w:b/>
                    <w:szCs w:val="24"/>
                  </w:rPr>
                  <w:t>2.1. Sveikatos technologijos ir biotechnologijos</w:t>
                </w:r>
              </w:p>
            </w:tc>
            <w:tc>
              <w:tcPr>
                <w:tcW w:w="699" w:type="dxa"/>
                <w:vMerge w:val="restart"/>
                <w:vAlign w:val="center"/>
              </w:tcPr>
              <w:p w:rsidR="000363B9" w:rsidRDefault="00E82DB0">
                <w:pPr>
                  <w:jc w:val="center"/>
                  <w:rPr>
                    <w:szCs w:val="24"/>
                  </w:rPr>
                </w:pPr>
                <w:r>
                  <w:rPr>
                    <w:szCs w:val="24"/>
                  </w:rPr>
                  <w:t>□</w:t>
                </w:r>
              </w:p>
            </w:tc>
            <w:tc>
              <w:tcPr>
                <w:tcW w:w="6542" w:type="dxa"/>
              </w:tcPr>
              <w:p w:rsidR="000363B9" w:rsidRDefault="00E82DB0">
                <w:pPr>
                  <w:jc w:val="both"/>
                  <w:rPr>
                    <w:b/>
                    <w:szCs w:val="24"/>
                    <w:lang w:eastAsia="lt-LT"/>
                  </w:rPr>
                </w:pPr>
                <w:r>
                  <w:rPr>
                    <w:szCs w:val="24"/>
                  </w:rPr>
                  <w:t xml:space="preserve">2.1.1. Molekulinės technologijos medicinai ir </w:t>
                </w:r>
                <w:proofErr w:type="spellStart"/>
                <w:r>
                  <w:rPr>
                    <w:szCs w:val="24"/>
                  </w:rPr>
                  <w:t>biofarmacijai</w:t>
                </w:r>
                <w:proofErr w:type="spellEnd"/>
              </w:p>
            </w:tc>
            <w:tc>
              <w:tcPr>
                <w:tcW w:w="4961" w:type="dxa"/>
              </w:tcPr>
              <w:p w:rsidR="000363B9" w:rsidRDefault="00E82DB0">
                <w:pPr>
                  <w:jc w:val="both"/>
                  <w:rPr>
                    <w:b/>
                    <w:szCs w:val="24"/>
                    <w:lang w:eastAsia="lt-LT"/>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b/>
                    <w:szCs w:val="24"/>
                    <w:lang w:eastAsia="lt-LT"/>
                  </w:rPr>
                </w:pPr>
                <w:r>
                  <w:rPr>
                    <w:szCs w:val="24"/>
                  </w:rPr>
                  <w:t>2.1.2. Pažangios taikomosios technologijos asmens ir visuomenės sveikatai</w:t>
                </w:r>
              </w:p>
            </w:tc>
            <w:tc>
              <w:tcPr>
                <w:tcW w:w="4961" w:type="dxa"/>
              </w:tcPr>
              <w:p w:rsidR="000363B9" w:rsidRDefault="00E82DB0">
                <w:pPr>
                  <w:jc w:val="both"/>
                  <w:rPr>
                    <w:b/>
                    <w:szCs w:val="24"/>
                    <w:lang w:eastAsia="lt-LT"/>
                  </w:rPr>
                </w:pPr>
                <w:r>
                  <w:rPr>
                    <w:sz w:val="36"/>
                    <w:szCs w:val="36"/>
                  </w:rPr>
                  <w:t>□</w:t>
                </w:r>
              </w:p>
            </w:tc>
          </w:tr>
          <w:tr w:rsidR="000363B9">
            <w:trPr>
              <w:trHeight w:val="585"/>
            </w:trPr>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b/>
                    <w:szCs w:val="24"/>
                    <w:lang w:eastAsia="lt-LT"/>
                  </w:rPr>
                </w:pPr>
                <w:r>
                  <w:rPr>
                    <w:szCs w:val="24"/>
                  </w:rPr>
                  <w:t>2.1.3. Pažangi medicinos inžinerija ankstyvai diagnostikai ir gydymui</w:t>
                </w:r>
              </w:p>
            </w:tc>
            <w:tc>
              <w:tcPr>
                <w:tcW w:w="4961" w:type="dxa"/>
              </w:tcPr>
              <w:p w:rsidR="000363B9" w:rsidRDefault="00E82DB0">
                <w:pPr>
                  <w:jc w:val="both"/>
                  <w:rPr>
                    <w:b/>
                    <w:szCs w:val="24"/>
                    <w:lang w:eastAsia="lt-LT"/>
                  </w:rPr>
                </w:pPr>
                <w:r>
                  <w:rPr>
                    <w:sz w:val="36"/>
                    <w:szCs w:val="36"/>
                  </w:rPr>
                  <w:t>□</w:t>
                </w:r>
              </w:p>
            </w:tc>
          </w:tr>
          <w:tr w:rsidR="000363B9">
            <w:trPr>
              <w:trHeight w:val="410"/>
            </w:trPr>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rsidR="000363B9" w:rsidRDefault="00E82DB0">
                <w:pPr>
                  <w:jc w:val="both"/>
                  <w:rPr>
                    <w:sz w:val="36"/>
                    <w:szCs w:val="36"/>
                  </w:rPr>
                </w:pPr>
                <w:r>
                  <w:rPr>
                    <w:sz w:val="36"/>
                    <w:szCs w:val="36"/>
                  </w:rPr>
                  <w:t>□</w:t>
                </w:r>
              </w:p>
            </w:tc>
          </w:tr>
          <w:tr w:rsidR="000363B9">
            <w:tc>
              <w:tcPr>
                <w:tcW w:w="2252" w:type="dxa"/>
                <w:vMerge w:val="restart"/>
                <w:shd w:val="clear" w:color="auto" w:fill="BFBFBF"/>
                <w:vAlign w:val="center"/>
              </w:tcPr>
              <w:p w:rsidR="000363B9" w:rsidRDefault="00E82DB0">
                <w:pPr>
                  <w:rPr>
                    <w:b/>
                    <w:szCs w:val="24"/>
                    <w:lang w:eastAsia="lt-LT"/>
                  </w:rPr>
                </w:pPr>
                <w:r>
                  <w:rPr>
                    <w:b/>
                    <w:szCs w:val="24"/>
                    <w:lang w:eastAsia="lt-LT"/>
                  </w:rPr>
                  <w:t xml:space="preserve">2.2. </w:t>
                </w:r>
                <w:r>
                  <w:rPr>
                    <w:b/>
                    <w:szCs w:val="24"/>
                  </w:rPr>
                  <w:t>Nauji gamybos procesai, medžiagos ir technologijos</w:t>
                </w:r>
              </w:p>
            </w:tc>
            <w:tc>
              <w:tcPr>
                <w:tcW w:w="699" w:type="dxa"/>
                <w:vMerge w:val="restart"/>
                <w:vAlign w:val="center"/>
              </w:tcPr>
              <w:p w:rsidR="000363B9" w:rsidRDefault="00E82DB0">
                <w:pPr>
                  <w:jc w:val="center"/>
                  <w:rPr>
                    <w:b/>
                    <w:szCs w:val="24"/>
                    <w:lang w:eastAsia="lt-LT"/>
                  </w:rPr>
                </w:pPr>
                <w:r>
                  <w:rPr>
                    <w:szCs w:val="24"/>
                  </w:rPr>
                  <w:t>□</w:t>
                </w:r>
              </w:p>
            </w:tc>
            <w:tc>
              <w:tcPr>
                <w:tcW w:w="6542" w:type="dxa"/>
              </w:tcPr>
              <w:p w:rsidR="000363B9" w:rsidRDefault="00E82DB0">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rsidR="000363B9" w:rsidRDefault="00E82DB0">
                <w:pPr>
                  <w:jc w:val="both"/>
                  <w:rPr>
                    <w:b/>
                    <w:szCs w:val="24"/>
                    <w:lang w:eastAsia="lt-LT"/>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b/>
                    <w:szCs w:val="24"/>
                    <w:lang w:eastAsia="lt-LT"/>
                  </w:rPr>
                </w:pPr>
                <w:r>
                  <w:rPr>
                    <w:szCs w:val="24"/>
                    <w:lang w:eastAsia="lt-LT"/>
                  </w:rPr>
                  <w:t>2.2.2. P</w:t>
                </w:r>
                <w:r>
                  <w:rPr>
                    <w:szCs w:val="24"/>
                  </w:rPr>
                  <w:t xml:space="preserve">ažangiosios medžiagos ir konstrukcijos </w:t>
                </w:r>
              </w:p>
            </w:tc>
            <w:tc>
              <w:tcPr>
                <w:tcW w:w="4961" w:type="dxa"/>
              </w:tcPr>
              <w:p w:rsidR="000363B9" w:rsidRDefault="00E82DB0">
                <w:pPr>
                  <w:jc w:val="both"/>
                  <w:rPr>
                    <w:b/>
                    <w:szCs w:val="24"/>
                    <w:lang w:eastAsia="lt-LT"/>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0363B9" w:rsidRDefault="00E82DB0">
                <w:pPr>
                  <w:jc w:val="both"/>
                  <w:rPr>
                    <w:b/>
                    <w:szCs w:val="24"/>
                    <w:lang w:eastAsia="lt-LT"/>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2.2.4. Energijos vartojimo efektyvumas, išmanumas</w:t>
                </w:r>
              </w:p>
            </w:tc>
            <w:tc>
              <w:tcPr>
                <w:tcW w:w="4961" w:type="dxa"/>
              </w:tcPr>
              <w:p w:rsidR="000363B9" w:rsidRDefault="00E82DB0">
                <w:pPr>
                  <w:jc w:val="both"/>
                  <w:rPr>
                    <w:sz w:val="36"/>
                    <w:szCs w:val="36"/>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2.2.5. Atsinaujinantys energijos ištekliai</w:t>
                </w:r>
              </w:p>
            </w:tc>
            <w:tc>
              <w:tcPr>
                <w:tcW w:w="4961" w:type="dxa"/>
              </w:tcPr>
              <w:p w:rsidR="000363B9" w:rsidRDefault="00E82DB0">
                <w:pPr>
                  <w:jc w:val="both"/>
                  <w:rPr>
                    <w:sz w:val="36"/>
                    <w:szCs w:val="36"/>
                  </w:rPr>
                </w:pPr>
                <w:r>
                  <w:rPr>
                    <w:sz w:val="36"/>
                    <w:szCs w:val="36"/>
                  </w:rPr>
                  <w:t>□</w:t>
                </w:r>
              </w:p>
            </w:tc>
          </w:tr>
          <w:tr w:rsidR="000363B9">
            <w:tc>
              <w:tcPr>
                <w:tcW w:w="2252" w:type="dxa"/>
                <w:vMerge w:val="restart"/>
                <w:shd w:val="clear" w:color="auto" w:fill="BFBFBF"/>
                <w:vAlign w:val="center"/>
              </w:tcPr>
              <w:p w:rsidR="000363B9" w:rsidRDefault="00E82DB0">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rsidR="000363B9" w:rsidRDefault="00E82DB0">
                <w:pPr>
                  <w:jc w:val="center"/>
                  <w:rPr>
                    <w:szCs w:val="24"/>
                  </w:rPr>
                </w:pPr>
                <w:r>
                  <w:rPr>
                    <w:szCs w:val="24"/>
                  </w:rPr>
                  <w:t>□</w:t>
                </w:r>
              </w:p>
            </w:tc>
            <w:tc>
              <w:tcPr>
                <w:tcW w:w="6542" w:type="dxa"/>
              </w:tcPr>
              <w:p w:rsidR="000363B9" w:rsidRDefault="00E82DB0">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0363B9" w:rsidRDefault="00E82DB0">
                <w:pPr>
                  <w:jc w:val="both"/>
                  <w:rPr>
                    <w:sz w:val="36"/>
                    <w:szCs w:val="36"/>
                  </w:rPr>
                </w:pPr>
                <w:r>
                  <w:rPr>
                    <w:sz w:val="36"/>
                    <w:szCs w:val="36"/>
                  </w:rPr>
                  <w:t>□</w:t>
                </w:r>
              </w:p>
            </w:tc>
          </w:tr>
          <w:tr w:rsidR="000363B9">
            <w:tc>
              <w:tcPr>
                <w:tcW w:w="2252" w:type="dxa"/>
                <w:vMerge/>
                <w:shd w:val="clear" w:color="auto" w:fill="BFBFBF"/>
                <w:vAlign w:val="center"/>
              </w:tcPr>
              <w:p w:rsidR="000363B9" w:rsidRDefault="000363B9">
                <w:pPr>
                  <w:rPr>
                    <w:b/>
                    <w:szCs w:val="24"/>
                    <w:lang w:eastAsia="lt-LT"/>
                  </w:rPr>
                </w:pPr>
              </w:p>
            </w:tc>
            <w:tc>
              <w:tcPr>
                <w:tcW w:w="699" w:type="dxa"/>
                <w:vMerge/>
                <w:vAlign w:val="center"/>
              </w:tcPr>
              <w:p w:rsidR="000363B9" w:rsidRDefault="000363B9">
                <w:pPr>
                  <w:jc w:val="center"/>
                  <w:rPr>
                    <w:szCs w:val="24"/>
                  </w:rPr>
                </w:pPr>
              </w:p>
            </w:tc>
            <w:tc>
              <w:tcPr>
                <w:tcW w:w="6542" w:type="dxa"/>
              </w:tcPr>
              <w:p w:rsidR="000363B9" w:rsidRDefault="00E82DB0">
                <w:pPr>
                  <w:jc w:val="both"/>
                  <w:rPr>
                    <w:szCs w:val="24"/>
                    <w:lang w:eastAsia="lt-LT"/>
                  </w:rPr>
                </w:pPr>
                <w:r>
                  <w:rPr>
                    <w:szCs w:val="24"/>
                    <w:lang w:eastAsia="lt-LT"/>
                  </w:rPr>
                  <w:t>2.3.2. D</w:t>
                </w:r>
                <w:r>
                  <w:rPr>
                    <w:szCs w:val="24"/>
                  </w:rPr>
                  <w:t>aiktų internetas</w:t>
                </w:r>
              </w:p>
            </w:tc>
            <w:tc>
              <w:tcPr>
                <w:tcW w:w="4961" w:type="dxa"/>
              </w:tcPr>
              <w:p w:rsidR="000363B9" w:rsidRDefault="00E82DB0">
                <w:pPr>
                  <w:jc w:val="both"/>
                  <w:rPr>
                    <w:sz w:val="36"/>
                    <w:szCs w:val="36"/>
                  </w:rPr>
                </w:pPr>
                <w:r>
                  <w:rPr>
                    <w:sz w:val="36"/>
                    <w:szCs w:val="36"/>
                  </w:rPr>
                  <w:t>□</w:t>
                </w:r>
              </w:p>
            </w:tc>
          </w:tr>
          <w:tr w:rsidR="000363B9">
            <w:tc>
              <w:tcPr>
                <w:tcW w:w="2252" w:type="dxa"/>
                <w:vMerge/>
                <w:shd w:val="clear" w:color="auto" w:fill="BFBFBF"/>
                <w:vAlign w:val="center"/>
              </w:tcPr>
              <w:p w:rsidR="000363B9" w:rsidRDefault="000363B9">
                <w:pPr>
                  <w:rPr>
                    <w:b/>
                    <w:szCs w:val="24"/>
                    <w:lang w:eastAsia="lt-LT"/>
                  </w:rPr>
                </w:pPr>
              </w:p>
            </w:tc>
            <w:tc>
              <w:tcPr>
                <w:tcW w:w="699" w:type="dxa"/>
                <w:vMerge/>
                <w:vAlign w:val="center"/>
              </w:tcPr>
              <w:p w:rsidR="000363B9" w:rsidRDefault="000363B9">
                <w:pPr>
                  <w:jc w:val="center"/>
                  <w:rPr>
                    <w:szCs w:val="24"/>
                  </w:rPr>
                </w:pPr>
              </w:p>
            </w:tc>
            <w:tc>
              <w:tcPr>
                <w:tcW w:w="6542" w:type="dxa"/>
              </w:tcPr>
              <w:p w:rsidR="000363B9" w:rsidRDefault="00E82DB0">
                <w:pPr>
                  <w:jc w:val="both"/>
                  <w:rPr>
                    <w:szCs w:val="24"/>
                    <w:lang w:eastAsia="lt-LT"/>
                  </w:rPr>
                </w:pPr>
                <w:r>
                  <w:rPr>
                    <w:szCs w:val="24"/>
                    <w:lang w:eastAsia="lt-LT"/>
                  </w:rPr>
                  <w:t>2.3.3. K</w:t>
                </w:r>
                <w:r>
                  <w:rPr>
                    <w:szCs w:val="24"/>
                  </w:rPr>
                  <w:t>ibernetinis saugumas</w:t>
                </w:r>
              </w:p>
            </w:tc>
            <w:tc>
              <w:tcPr>
                <w:tcW w:w="4961" w:type="dxa"/>
              </w:tcPr>
              <w:p w:rsidR="000363B9" w:rsidRDefault="00E82DB0">
                <w:pPr>
                  <w:jc w:val="both"/>
                  <w:rPr>
                    <w:sz w:val="36"/>
                    <w:szCs w:val="36"/>
                  </w:rPr>
                </w:pPr>
                <w:r>
                  <w:rPr>
                    <w:sz w:val="36"/>
                    <w:szCs w:val="36"/>
                  </w:rPr>
                  <w:t>□</w:t>
                </w:r>
              </w:p>
            </w:tc>
          </w:tr>
          <w:tr w:rsidR="000363B9">
            <w:tc>
              <w:tcPr>
                <w:tcW w:w="2252" w:type="dxa"/>
                <w:vMerge/>
                <w:shd w:val="clear" w:color="auto" w:fill="BFBFBF"/>
                <w:vAlign w:val="center"/>
              </w:tcPr>
              <w:p w:rsidR="000363B9" w:rsidRDefault="000363B9">
                <w:pPr>
                  <w:rPr>
                    <w:b/>
                    <w:szCs w:val="24"/>
                    <w:lang w:eastAsia="lt-LT"/>
                  </w:rPr>
                </w:pPr>
              </w:p>
            </w:tc>
            <w:tc>
              <w:tcPr>
                <w:tcW w:w="699" w:type="dxa"/>
                <w:vMerge/>
                <w:vAlign w:val="center"/>
              </w:tcPr>
              <w:p w:rsidR="000363B9" w:rsidRDefault="000363B9">
                <w:pPr>
                  <w:jc w:val="center"/>
                  <w:rPr>
                    <w:szCs w:val="24"/>
                  </w:rPr>
                </w:pPr>
              </w:p>
            </w:tc>
            <w:tc>
              <w:tcPr>
                <w:tcW w:w="6542" w:type="dxa"/>
              </w:tcPr>
              <w:p w:rsidR="000363B9" w:rsidRDefault="00E82DB0">
                <w:pPr>
                  <w:jc w:val="both"/>
                  <w:rPr>
                    <w:szCs w:val="24"/>
                    <w:lang w:eastAsia="lt-LT"/>
                  </w:rPr>
                </w:pPr>
                <w:r>
                  <w:rPr>
                    <w:szCs w:val="24"/>
                    <w:lang w:eastAsia="lt-LT"/>
                  </w:rPr>
                  <w:t xml:space="preserve">2.3.4. </w:t>
                </w:r>
                <w:r>
                  <w:rPr>
                    <w:szCs w:val="24"/>
                  </w:rPr>
                  <w:t>Finansinės technologijos ir blokų grandinės</w:t>
                </w:r>
              </w:p>
            </w:tc>
            <w:tc>
              <w:tcPr>
                <w:tcW w:w="4961" w:type="dxa"/>
              </w:tcPr>
              <w:p w:rsidR="000363B9" w:rsidRDefault="00E82DB0">
                <w:pPr>
                  <w:jc w:val="both"/>
                  <w:rPr>
                    <w:sz w:val="36"/>
                    <w:szCs w:val="36"/>
                  </w:rPr>
                </w:pPr>
                <w:r>
                  <w:rPr>
                    <w:sz w:val="36"/>
                    <w:szCs w:val="36"/>
                  </w:rPr>
                  <w:t>□</w:t>
                </w:r>
              </w:p>
            </w:tc>
          </w:tr>
          <w:tr w:rsidR="000363B9">
            <w:trPr>
              <w:trHeight w:val="624"/>
            </w:trPr>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2.3.5. Audiovizualinių medijų technologijos ir socialinės inovacijos</w:t>
                </w:r>
              </w:p>
            </w:tc>
            <w:tc>
              <w:tcPr>
                <w:tcW w:w="4961" w:type="dxa"/>
              </w:tcPr>
              <w:p w:rsidR="000363B9" w:rsidRDefault="00E82DB0">
                <w:pPr>
                  <w:jc w:val="both"/>
                  <w:rPr>
                    <w:b/>
                    <w:szCs w:val="24"/>
                    <w:lang w:eastAsia="lt-LT"/>
                  </w:rPr>
                </w:pPr>
                <w:r>
                  <w:rPr>
                    <w:sz w:val="36"/>
                    <w:szCs w:val="36"/>
                  </w:rPr>
                  <w:t>□</w:t>
                </w:r>
              </w:p>
            </w:tc>
          </w:tr>
          <w:tr w:rsidR="000363B9">
            <w:trPr>
              <w:trHeight w:val="370"/>
            </w:trPr>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2.3.6. Išmaniosios transporto sistemos</w:t>
                </w:r>
              </w:p>
            </w:tc>
            <w:tc>
              <w:tcPr>
                <w:tcW w:w="4961" w:type="dxa"/>
              </w:tcPr>
              <w:p w:rsidR="000363B9" w:rsidRDefault="00E82DB0">
                <w:pPr>
                  <w:jc w:val="both"/>
                  <w:rPr>
                    <w:sz w:val="36"/>
                    <w:szCs w:val="36"/>
                  </w:rPr>
                </w:pPr>
                <w:r>
                  <w:rPr>
                    <w:sz w:val="36"/>
                    <w:szCs w:val="36"/>
                  </w:rPr>
                  <w:t>□</w:t>
                </w:r>
              </w:p>
            </w:tc>
          </w:tr>
        </w:tbl>
        <w:sdt>
          <w:sdtPr>
            <w:rPr>
              <w:szCs w:val="24"/>
            </w:rPr>
            <w:alias w:val="pabaiga"/>
            <w:tag w:val="part_191ea64f998f4255970fba5ed916294d"/>
            <w:id w:val="1010873364"/>
            <w:lock w:val="sdtLocked"/>
            <w:placeholder>
              <w:docPart w:val="DefaultPlaceholder_-1854013440"/>
            </w:placeholder>
          </w:sdtPr>
          <w:sdtEndPr>
            <w:rPr>
              <w:rFonts w:ascii="Calibri" w:eastAsia="Calibri" w:hAnsi="Calibri"/>
            </w:rPr>
          </w:sdtEndPr>
          <w:sdtContent>
            <w:p w:rsidR="000363B9" w:rsidRDefault="00E82DB0">
              <w:pPr>
                <w:spacing w:line="276" w:lineRule="auto"/>
                <w:jc w:val="center"/>
                <w:rPr>
                  <w:rFonts w:ascii="Calibri" w:eastAsia="Calibri" w:hAnsi="Calibri"/>
                  <w:szCs w:val="24"/>
                </w:rPr>
              </w:pPr>
              <w:r>
                <w:rPr>
                  <w:szCs w:val="24"/>
                </w:rPr>
                <w:t>___________________________________</w:t>
              </w:r>
            </w:p>
            <w:p w:rsidR="000363B9" w:rsidRDefault="00565853">
              <w:pPr>
                <w:spacing w:line="276" w:lineRule="auto"/>
                <w:jc w:val="center"/>
                <w:rPr>
                  <w:rFonts w:ascii="Calibri" w:eastAsia="Calibri" w:hAnsi="Calibri"/>
                  <w:szCs w:val="24"/>
                </w:rPr>
              </w:pPr>
            </w:p>
          </w:sdtContent>
        </w:sdt>
      </w:sdtContent>
    </w:sdt>
    <w:sdt>
      <w:sdtPr>
        <w:rPr>
          <w:rFonts w:ascii="Calibri" w:eastAsia="Calibri" w:hAnsi="Calibri"/>
          <w:szCs w:val="24"/>
        </w:rPr>
        <w:alias w:val="3 pr."/>
        <w:tag w:val="part_057e0a673f48467b82c6b1010b252873"/>
        <w:id w:val="-143742668"/>
        <w:lock w:val="sdtLocked"/>
        <w:placeholder>
          <w:docPart w:val="DefaultPlaceholder_-1854013440"/>
        </w:placeholder>
      </w:sdtPr>
      <w:sdtEndPr>
        <w:rPr>
          <w:rFonts w:ascii="Times New Roman" w:eastAsia="Times New Roman" w:hAnsi="Times New Roman"/>
        </w:rPr>
      </w:sdtEndPr>
      <w:sdtContent>
        <w:p w:rsidR="000363B9" w:rsidRDefault="000363B9">
          <w:pPr>
            <w:spacing w:line="276" w:lineRule="auto"/>
            <w:rPr>
              <w:rFonts w:ascii="Calibri" w:eastAsia="Calibri" w:hAnsi="Calibri"/>
              <w:szCs w:val="24"/>
            </w:rPr>
            <w:sectPr w:rsidR="000363B9">
              <w:pgSz w:w="16838" w:h="11906" w:orient="landscape"/>
              <w:pgMar w:top="1701" w:right="567" w:bottom="1134" w:left="1134" w:header="567" w:footer="567" w:gutter="0"/>
              <w:pgNumType w:start="1"/>
              <w:cols w:space="1296"/>
              <w:titlePg/>
              <w:docGrid w:linePitch="360"/>
            </w:sectPr>
          </w:pPr>
        </w:p>
        <w:p w:rsidR="00E82DB0" w:rsidRDefault="00E82DB0" w:rsidP="00E82DB0">
          <w:pPr>
            <w:ind w:left="9639"/>
            <w:rPr>
              <w:szCs w:val="24"/>
            </w:rPr>
          </w:pPr>
          <w:r>
            <w:rPr>
              <w:szCs w:val="24"/>
            </w:rPr>
            <w:lastRenderedPageBreak/>
            <w:t xml:space="preserve">7 priedo „2021–2030 m. plėtros programos </w:t>
          </w:r>
        </w:p>
        <w:p w:rsidR="00E82DB0" w:rsidRDefault="00E82DB0" w:rsidP="00E82DB0">
          <w:pPr>
            <w:ind w:left="9639"/>
            <w:rPr>
              <w:szCs w:val="24"/>
            </w:rPr>
          </w:pPr>
          <w:r>
            <w:rPr>
              <w:szCs w:val="24"/>
            </w:rPr>
            <w:t xml:space="preserve">valdytojos Lietuvos Respublikos švietimo, </w:t>
          </w:r>
        </w:p>
        <w:p w:rsidR="00E82DB0" w:rsidRDefault="00E82DB0" w:rsidP="00E82DB0">
          <w:pPr>
            <w:ind w:left="9639"/>
            <w:rPr>
              <w:szCs w:val="24"/>
            </w:rPr>
          </w:pPr>
          <w:r>
            <w:rPr>
              <w:szCs w:val="24"/>
            </w:rPr>
            <w:t xml:space="preserve">mokslo ir sporto ministerijos mokslo plėtros </w:t>
          </w:r>
        </w:p>
        <w:p w:rsidR="00E82DB0" w:rsidRDefault="00E82DB0" w:rsidP="00E82DB0">
          <w:pPr>
            <w:ind w:left="9639"/>
            <w:rPr>
              <w:szCs w:val="24"/>
            </w:rPr>
          </w:pPr>
          <w:r>
            <w:rPr>
              <w:szCs w:val="24"/>
            </w:rPr>
            <w:t>programos pažangos priemonės Nr. 12-001-</w:t>
          </w:r>
        </w:p>
        <w:p w:rsidR="00E82DB0" w:rsidRDefault="00E82DB0" w:rsidP="00E82DB0">
          <w:pPr>
            <w:ind w:left="9639"/>
            <w:rPr>
              <w:szCs w:val="24"/>
            </w:rPr>
          </w:pPr>
          <w:r>
            <w:rPr>
              <w:szCs w:val="24"/>
            </w:rPr>
            <w:t xml:space="preserve">01-02-01 „Stiprinti inovacijų ekosistemas </w:t>
          </w:r>
        </w:p>
        <w:p w:rsidR="00E82DB0" w:rsidRDefault="00E82DB0" w:rsidP="00E82DB0">
          <w:pPr>
            <w:ind w:left="9639"/>
            <w:rPr>
              <w:szCs w:val="24"/>
            </w:rPr>
          </w:pPr>
          <w:r>
            <w:rPr>
              <w:szCs w:val="24"/>
            </w:rPr>
            <w:t xml:space="preserve">mokslo centruose“ projektų finansavimo </w:t>
          </w:r>
        </w:p>
        <w:p w:rsidR="000363B9" w:rsidRDefault="00E82DB0" w:rsidP="00E82DB0">
          <w:pPr>
            <w:ind w:left="9639"/>
            <w:rPr>
              <w:szCs w:val="24"/>
            </w:rPr>
          </w:pPr>
          <w:r>
            <w:rPr>
              <w:szCs w:val="24"/>
            </w:rPr>
            <w:t>sąlygų aprašo Nr. 7“</w:t>
          </w:r>
        </w:p>
        <w:p w:rsidR="000363B9" w:rsidRDefault="00E82DB0" w:rsidP="00E82DB0">
          <w:pPr>
            <w:ind w:left="9639"/>
            <w:rPr>
              <w:szCs w:val="24"/>
            </w:rPr>
          </w:pPr>
          <w:r>
            <w:rPr>
              <w:szCs w:val="24"/>
            </w:rPr>
            <w:t>3 priedas</w:t>
          </w:r>
        </w:p>
        <w:p w:rsidR="000363B9" w:rsidRDefault="000363B9">
          <w:pPr>
            <w:spacing w:line="276" w:lineRule="auto"/>
            <w:jc w:val="center"/>
            <w:rPr>
              <w:rFonts w:ascii="Calibri" w:eastAsia="Calibri" w:hAnsi="Calibri"/>
              <w:szCs w:val="24"/>
            </w:rPr>
          </w:pPr>
        </w:p>
        <w:p w:rsidR="000363B9" w:rsidRDefault="000363B9">
          <w:pPr>
            <w:spacing w:line="276" w:lineRule="auto"/>
            <w:jc w:val="center"/>
            <w:rPr>
              <w:rFonts w:ascii="Calibri" w:eastAsia="Calibri" w:hAnsi="Calibri"/>
              <w:szCs w:val="24"/>
            </w:rPr>
          </w:pPr>
        </w:p>
        <w:p w:rsidR="000363B9" w:rsidRDefault="00E82DB0">
          <w:pPr>
            <w:jc w:val="center"/>
            <w:textAlignment w:val="baseline"/>
            <w:rPr>
              <w:b/>
              <w:bCs/>
              <w:caps/>
              <w:szCs w:val="24"/>
              <w:lang w:eastAsia="lt-LT"/>
            </w:rPr>
          </w:pPr>
          <w:r>
            <w:rPr>
              <w:b/>
              <w:bCs/>
              <w:caps/>
              <w:szCs w:val="24"/>
              <w:lang w:eastAsia="lt-LT"/>
            </w:rPr>
            <w:t xml:space="preserve">ATITIKTIES </w:t>
          </w:r>
          <w:r>
            <w:rPr>
              <w:b/>
              <w:bCs/>
              <w:i/>
              <w:caps/>
              <w:szCs w:val="24"/>
              <w:lang w:eastAsia="lt-LT"/>
            </w:rPr>
            <w:t xml:space="preserve">de minimis </w:t>
          </w:r>
          <w:r>
            <w:rPr>
              <w:b/>
              <w:bCs/>
              <w:caps/>
              <w:szCs w:val="24"/>
              <w:lang w:eastAsia="lt-LT"/>
            </w:rPr>
            <w:t>PAGALBOS TAISYKLĖMS Patikros lapas</w:t>
          </w:r>
        </w:p>
        <w:p w:rsidR="000363B9" w:rsidRDefault="000363B9">
          <w:pPr>
            <w:jc w:val="center"/>
            <w:rPr>
              <w:b/>
              <w:bCs/>
              <w:caps/>
              <w:color w:val="000000"/>
              <w:szCs w:val="24"/>
            </w:rPr>
          </w:pPr>
        </w:p>
        <w:p w:rsidR="000363B9" w:rsidRDefault="000363B9">
          <w:pPr>
            <w:jc w:val="cente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1"/>
            <w:gridCol w:w="9699"/>
          </w:tblGrid>
          <w:tr w:rsidR="000363B9">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0363B9" w:rsidRDefault="00E82DB0">
                <w:pPr>
                  <w:ind w:firstLine="737"/>
                  <w:jc w:val="both"/>
                  <w:rPr>
                    <w:color w:val="000000"/>
                    <w:sz w:val="22"/>
                    <w:szCs w:val="22"/>
                  </w:rPr>
                </w:pPr>
                <w:r>
                  <w:rPr>
                    <w:b/>
                    <w:bCs/>
                    <w:color w:val="000000"/>
                    <w:sz w:val="22"/>
                    <w:szCs w:val="22"/>
                  </w:rPr>
                  <w:t xml:space="preserve">I. Duomenys apie paraišką/projektą </w:t>
                </w:r>
              </w:p>
            </w:tc>
          </w:tr>
          <w:tr w:rsidR="000363B9">
            <w:tc>
              <w:tcPr>
                <w:tcW w:w="4928" w:type="dxa"/>
                <w:tcBorders>
                  <w:top w:val="single" w:sz="4" w:space="0" w:color="auto"/>
                  <w:left w:val="single" w:sz="4" w:space="0" w:color="auto"/>
                  <w:bottom w:val="single" w:sz="4" w:space="0" w:color="auto"/>
                  <w:right w:val="single" w:sz="4" w:space="0" w:color="auto"/>
                </w:tcBorders>
                <w:hideMark/>
              </w:tcPr>
              <w:p w:rsidR="000363B9" w:rsidRDefault="00E82DB0">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rsidR="000363B9" w:rsidRDefault="000363B9">
                <w:pPr>
                  <w:jc w:val="both"/>
                  <w:rPr>
                    <w:color w:val="000000"/>
                    <w:sz w:val="22"/>
                    <w:szCs w:val="22"/>
                  </w:rPr>
                </w:pPr>
              </w:p>
            </w:tc>
          </w:tr>
          <w:tr w:rsidR="000363B9">
            <w:tc>
              <w:tcPr>
                <w:tcW w:w="4928" w:type="dxa"/>
                <w:tcBorders>
                  <w:top w:val="single" w:sz="4" w:space="0" w:color="auto"/>
                  <w:left w:val="single" w:sz="4" w:space="0" w:color="auto"/>
                  <w:bottom w:val="single" w:sz="4" w:space="0" w:color="auto"/>
                  <w:right w:val="single" w:sz="4" w:space="0" w:color="auto"/>
                </w:tcBorders>
                <w:hideMark/>
              </w:tcPr>
              <w:p w:rsidR="000363B9" w:rsidRDefault="00E82DB0">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rsidR="000363B9" w:rsidRDefault="000363B9">
                <w:pPr>
                  <w:jc w:val="both"/>
                  <w:rPr>
                    <w:color w:val="000000"/>
                    <w:sz w:val="22"/>
                    <w:szCs w:val="22"/>
                  </w:rPr>
                </w:pPr>
              </w:p>
            </w:tc>
          </w:tr>
          <w:tr w:rsidR="000363B9">
            <w:tc>
              <w:tcPr>
                <w:tcW w:w="4928" w:type="dxa"/>
                <w:tcBorders>
                  <w:top w:val="single" w:sz="4" w:space="0" w:color="auto"/>
                  <w:left w:val="single" w:sz="4" w:space="0" w:color="auto"/>
                  <w:bottom w:val="single" w:sz="4" w:space="0" w:color="auto"/>
                  <w:right w:val="single" w:sz="4" w:space="0" w:color="auto"/>
                </w:tcBorders>
                <w:hideMark/>
              </w:tcPr>
              <w:p w:rsidR="000363B9" w:rsidRDefault="00E82DB0">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rsidR="000363B9" w:rsidRDefault="000363B9">
                <w:pPr>
                  <w:jc w:val="both"/>
                  <w:rPr>
                    <w:b/>
                    <w:bCs/>
                    <w:color w:val="000000"/>
                    <w:sz w:val="22"/>
                    <w:szCs w:val="22"/>
                  </w:rPr>
                </w:pPr>
              </w:p>
            </w:tc>
          </w:tr>
        </w:tbl>
        <w:p w:rsidR="000363B9" w:rsidRDefault="000363B9">
          <w:pPr>
            <w:jc w:val="center"/>
            <w:rPr>
              <w:caps/>
              <w:sz w:val="22"/>
              <w:szCs w:val="22"/>
            </w:rPr>
          </w:pPr>
        </w:p>
        <w:p w:rsidR="000363B9" w:rsidRDefault="000363B9">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0363B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0363B9" w:rsidRDefault="000363B9">
                <w:pPr>
                  <w:ind w:firstLine="720"/>
                  <w:rPr>
                    <w:sz w:val="22"/>
                    <w:szCs w:val="22"/>
                    <w:lang w:eastAsia="lt-LT"/>
                  </w:rPr>
                </w:pPr>
              </w:p>
              <w:p w:rsidR="000363B9" w:rsidRDefault="00E82DB0">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vertinimas</w:t>
                </w:r>
              </w:p>
              <w:p w:rsidR="000363B9" w:rsidRDefault="000363B9">
                <w:pPr>
                  <w:ind w:firstLine="720"/>
                  <w:rPr>
                    <w:color w:val="000000"/>
                    <w:sz w:val="22"/>
                    <w:szCs w:val="22"/>
                    <w:lang w:eastAsia="lt-LT"/>
                  </w:rPr>
                </w:pPr>
              </w:p>
            </w:tc>
          </w:tr>
          <w:tr w:rsidR="000363B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0363B9" w:rsidRDefault="00E82DB0">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0363B9" w:rsidRDefault="00E82DB0">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b/>
                    <w:color w:val="000000"/>
                    <w:sz w:val="22"/>
                    <w:szCs w:val="22"/>
                    <w:lang w:eastAsia="lt-LT"/>
                  </w:rPr>
                </w:pPr>
                <w:r>
                  <w:rPr>
                    <w:b/>
                    <w:color w:val="000000"/>
                    <w:sz w:val="22"/>
                    <w:szCs w:val="22"/>
                    <w:lang w:eastAsia="lt-LT"/>
                  </w:rPr>
                  <w:t>Pasirinkimo pagrindimas</w:t>
                </w:r>
              </w:p>
            </w:tc>
          </w:tr>
          <w:tr w:rsidR="000363B9">
            <w:trPr>
              <w:trHeight w:val="451"/>
            </w:trPr>
            <w:tc>
              <w:tcPr>
                <w:tcW w:w="14850" w:type="dxa"/>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0363B9" w:rsidRDefault="00E82DB0">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0363B9" w:rsidRDefault="00E82DB0">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0363B9" w:rsidRDefault="00E82DB0">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b/>
                    <w:color w:val="000000"/>
                    <w:sz w:val="22"/>
                    <w:szCs w:val="22"/>
                    <w:lang w:eastAsia="lt-LT"/>
                  </w:rPr>
                </w:pPr>
              </w:p>
            </w:tc>
          </w:tr>
          <w:tr w:rsidR="000363B9">
            <w:trPr>
              <w:trHeight w:val="363"/>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color w:val="000000"/>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galutinis naudos gavėjas vykdo veiklą žuvininkystės ir akvakultūros sektoriuje, kuriam taikomas Tarybos (ES) reglamentas Nr. 1379/2013 ?</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val="pl-P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38"/>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38"/>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Ar galutinis naudos gavėjas veikia žemės ūkio produktų perdirbimo ir prekybos sektoriuje, kuriam pagalbos dydis nustatomas pagal iš </w:t>
                </w:r>
                <w:r>
                  <w:rPr>
                    <w:bCs/>
                    <w:color w:val="000000"/>
                    <w:sz w:val="22"/>
                    <w:szCs w:val="22"/>
                    <w:lang w:eastAsia="lt-LT"/>
                  </w:rPr>
                  <w:lastRenderedPageBreak/>
                  <w:t>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lastRenderedPageBreak/>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802"/>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275"/>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338"/>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rPr>
                    <w:bCs/>
                    <w:color w:val="000000"/>
                    <w:sz w:val="22"/>
                    <w:szCs w:val="22"/>
                    <w:lang w:eastAsia="lt-LT"/>
                  </w:rPr>
                </w:pPr>
                <w:r>
                  <w:rPr>
                    <w:bCs/>
                    <w:color w:val="000000"/>
                    <w:sz w:val="22"/>
                    <w:szCs w:val="22"/>
                    <w:lang w:eastAsia="lt-LT"/>
                  </w:rPr>
                  <w:t>Ar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903"/>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Jei galutinis naudos gavėjas vykdo veiklą 1–4 punktuose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651"/>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pagalba yra (bus)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026"/>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200 000 EUR (krovinių vežimo keliais veiklais100 000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jc w:val="both"/>
                  <w:rPr>
                    <w:i/>
                    <w:color w:val="000000"/>
                    <w:sz w:val="22"/>
                    <w:szCs w:val="22"/>
                    <w:lang w:eastAsia="lt-LT"/>
                  </w:rPr>
                </w:pPr>
              </w:p>
            </w:tc>
          </w:tr>
          <w:tr w:rsidR="000363B9">
            <w:trPr>
              <w:trHeight w:val="1779"/>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Jei įmonė (galutinis naudos gavėjas) vykdo krovinių vežimo keliais veiklą/</w:t>
                </w:r>
                <w:proofErr w:type="spellStart"/>
                <w:r>
                  <w:rPr>
                    <w:bCs/>
                    <w:color w:val="000000"/>
                    <w:sz w:val="22"/>
                    <w:szCs w:val="22"/>
                    <w:lang w:eastAsia="lt-LT"/>
                  </w:rPr>
                  <w:t>poveiklę</w:t>
                </w:r>
                <w:proofErr w:type="spellEnd"/>
                <w:r>
                  <w:rPr>
                    <w:bCs/>
                    <w:color w:val="000000"/>
                    <w:sz w:val="22"/>
                    <w:szCs w:val="22"/>
                    <w:lang w:eastAsia="lt-LT"/>
                  </w:rPr>
                  <w:t xml:space="preserve"> samdos pagrindais arba už atlygį ir taip pat kitą veiklą, kuriai taikoma 200 000 EUR viršutinė riba, ar užtikrinama, kad pagalba krovinių vežimo keliais veiklai neviršytų 100 000 EUR ir kad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nebūtų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275"/>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w:t>
                </w:r>
                <w:r>
                  <w:rPr>
                    <w:bCs/>
                    <w:color w:val="000000"/>
                    <w:sz w:val="22"/>
                    <w:szCs w:val="22"/>
                    <w:lang w:eastAsia="lt-LT"/>
                  </w:rPr>
                  <w:lastRenderedPageBreak/>
                  <w:t xml:space="preserve">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lastRenderedPageBreak/>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236"/>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698"/>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val="pl-PL"/>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34"/>
                  <w:jc w:val="both"/>
                  <w:rPr>
                    <w:color w:val="000000"/>
                    <w:sz w:val="22"/>
                    <w:szCs w:val="22"/>
                    <w:lang w:eastAsia="lt-LT"/>
                  </w:rPr>
                </w:pPr>
              </w:p>
            </w:tc>
          </w:tr>
          <w:tr w:rsidR="000363B9">
            <w:trPr>
              <w:trHeight w:val="520"/>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val="pl-PL"/>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i/>
                    <w:color w:val="000000"/>
                    <w:sz w:val="22"/>
                    <w:szCs w:val="22"/>
                    <w:lang w:eastAsia="lt-LT"/>
                  </w:rPr>
                </w:pPr>
              </w:p>
            </w:tc>
          </w:tr>
          <w:tr w:rsidR="000363B9">
            <w:trPr>
              <w:trHeight w:val="175"/>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15.</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565853">
                  <w:rPr>
                    <w:rFonts w:ascii="Arial" w:hAnsi="Arial" w:cs="Arial"/>
                    <w:color w:val="000000"/>
                    <w:sz w:val="20"/>
                    <w:lang w:eastAsia="lt-LT"/>
                  </w:rPr>
                </w:r>
                <w:r w:rsidR="0056585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bl>
        <w:p w:rsidR="000363B9" w:rsidRDefault="000363B9">
          <w:pPr>
            <w:rPr>
              <w:rFonts w:ascii="Arial" w:eastAsia="Calibri" w:hAnsi="Arial" w:cs="Arial"/>
              <w:sz w:val="20"/>
              <w:lang w:val="pl-P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5"/>
            <w:gridCol w:w="6286"/>
            <w:gridCol w:w="846"/>
            <w:gridCol w:w="702"/>
            <w:gridCol w:w="5986"/>
          </w:tblGrid>
          <w:tr w:rsidR="000363B9">
            <w:tc>
              <w:tcPr>
                <w:tcW w:w="14855" w:type="dxa"/>
                <w:gridSpan w:val="5"/>
                <w:tcBorders>
                  <w:top w:val="single" w:sz="4" w:space="0" w:color="auto"/>
                  <w:left w:val="single" w:sz="4" w:space="0" w:color="auto"/>
                  <w:bottom w:val="single" w:sz="4" w:space="0" w:color="auto"/>
                  <w:right w:val="single" w:sz="4" w:space="0" w:color="auto"/>
                </w:tcBorders>
                <w:shd w:val="clear" w:color="auto" w:fill="BFBFBF"/>
              </w:tcPr>
              <w:p w:rsidR="000363B9" w:rsidRDefault="00E82DB0">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rsidR="000363B9" w:rsidRDefault="000363B9">
                <w:pPr>
                  <w:ind w:firstLine="720"/>
                  <w:rPr>
                    <w:color w:val="000000"/>
                    <w:sz w:val="22"/>
                    <w:szCs w:val="22"/>
                    <w:lang w:eastAsia="lt-LT"/>
                  </w:rPr>
                </w:pPr>
              </w:p>
            </w:tc>
          </w:tr>
          <w:tr w:rsidR="000363B9">
            <w:trPr>
              <w:trHeight w:val="150"/>
            </w:trPr>
            <w:tc>
              <w:tcPr>
                <w:tcW w:w="753" w:type="dxa"/>
                <w:vMerge w:val="restart"/>
                <w:tcBorders>
                  <w:top w:val="single" w:sz="4" w:space="0" w:color="auto"/>
                  <w:left w:val="single" w:sz="4" w:space="0" w:color="auto"/>
                  <w:bottom w:val="single" w:sz="4" w:space="0" w:color="auto"/>
                  <w:right w:val="single" w:sz="4" w:space="0" w:color="auto"/>
                </w:tcBorders>
              </w:tcPr>
              <w:p w:rsidR="000363B9" w:rsidRDefault="000363B9">
                <w:pPr>
                  <w:ind w:right="-465"/>
                  <w:rPr>
                    <w:bCs/>
                    <w:color w:val="000000"/>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rsidR="000363B9" w:rsidRDefault="00E82DB0">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b/>
                    <w:bCs/>
                    <w:color w:val="000000"/>
                    <w:sz w:val="22"/>
                    <w:szCs w:val="22"/>
                    <w:lang w:eastAsia="lt-LT"/>
                  </w:rPr>
                </w:pPr>
                <w:r>
                  <w:rPr>
                    <w:b/>
                    <w:bCs/>
                    <w:color w:val="000000"/>
                    <w:sz w:val="22"/>
                    <w:szCs w:val="22"/>
                    <w:lang w:eastAsia="lt-LT"/>
                  </w:rPr>
                  <w:t>Rezultatas</w:t>
                </w:r>
              </w:p>
            </w:tc>
            <w:tc>
              <w:tcPr>
                <w:tcW w:w="6100" w:type="dxa"/>
                <w:vMerge w:val="restart"/>
                <w:tcBorders>
                  <w:top w:val="single" w:sz="4" w:space="0" w:color="auto"/>
                  <w:left w:val="single" w:sz="4" w:space="0" w:color="auto"/>
                  <w:bottom w:val="single" w:sz="4" w:space="0" w:color="auto"/>
                  <w:right w:val="single" w:sz="4" w:space="0" w:color="auto"/>
                </w:tcBorders>
                <w:hideMark/>
              </w:tcPr>
              <w:p w:rsidR="000363B9" w:rsidRDefault="00E82DB0">
                <w:pPr>
                  <w:ind w:firstLine="720"/>
                  <w:jc w:val="center"/>
                  <w:rPr>
                    <w:b/>
                    <w:bCs/>
                    <w:color w:val="000000"/>
                    <w:sz w:val="22"/>
                    <w:szCs w:val="22"/>
                    <w:lang w:eastAsia="lt-LT"/>
                  </w:rPr>
                </w:pPr>
                <w:r>
                  <w:rPr>
                    <w:b/>
                    <w:color w:val="000000"/>
                    <w:sz w:val="22"/>
                    <w:szCs w:val="22"/>
                    <w:lang w:eastAsia="lt-LT"/>
                  </w:rPr>
                  <w:t>Pasirinkimo pagrindimas/nustatytos rizikos</w:t>
                </w:r>
              </w:p>
            </w:tc>
          </w:tr>
          <w:tr w:rsidR="000363B9">
            <w:trPr>
              <w:trHeight w:val="195"/>
            </w:trPr>
            <w:tc>
              <w:tcPr>
                <w:tcW w:w="0" w:type="auto"/>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bCs/>
                    <w:color w:val="000000"/>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b/>
                    <w:bCs/>
                    <w:color w:val="000000"/>
                    <w:sz w:val="22"/>
                    <w:szCs w:val="22"/>
                    <w:lang w:eastAsia="lt-LT"/>
                  </w:rPr>
                </w:pPr>
              </w:p>
            </w:tc>
          </w:tr>
          <w:tr w:rsidR="000363B9">
            <w:trPr>
              <w:trHeight w:val="507"/>
            </w:trPr>
            <w:tc>
              <w:tcPr>
                <w:tcW w:w="753" w:type="dxa"/>
                <w:tcBorders>
                  <w:top w:val="single" w:sz="4" w:space="0" w:color="auto"/>
                  <w:left w:val="single" w:sz="4" w:space="0" w:color="auto"/>
                  <w:bottom w:val="single" w:sz="4" w:space="0" w:color="auto"/>
                  <w:right w:val="single" w:sz="4" w:space="0" w:color="auto"/>
                </w:tcBorders>
              </w:tcPr>
              <w:p w:rsidR="000363B9" w:rsidRDefault="00E82DB0">
                <w:pPr>
                  <w:ind w:right="-465"/>
                  <w:rPr>
                    <w:color w:val="000000"/>
                    <w:sz w:val="22"/>
                    <w:szCs w:val="22"/>
                    <w:lang w:eastAsia="lt-LT"/>
                  </w:rPr>
                </w:pPr>
                <w:r>
                  <w:rPr>
                    <w:bCs/>
                    <w:color w:val="000000"/>
                    <w:sz w:val="22"/>
                    <w:szCs w:val="22"/>
                    <w:lang w:eastAsia="lt-LT"/>
                  </w:rPr>
                  <w:t xml:space="preserve">16. </w:t>
                </w:r>
              </w:p>
              <w:p w:rsidR="000363B9" w:rsidRDefault="000363B9">
                <w:pPr>
                  <w:ind w:firstLine="720"/>
                  <w:jc w:val="both"/>
                  <w:rPr>
                    <w:color w:val="000000"/>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rsidR="000363B9" w:rsidRDefault="00E82DB0">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 xml:space="preserve">de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ind w:hanging="3"/>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sidR="00565853">
                  <w:rPr>
                    <w:rFonts w:ascii="Calibri" w:hAnsi="Calibri" w:cs="Calibri"/>
                    <w:color w:val="000000"/>
                    <w:sz w:val="20"/>
                    <w:lang w:eastAsia="lt-LT"/>
                  </w:rPr>
                </w:r>
                <w:r w:rsidR="00565853">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sidR="00565853">
                  <w:rPr>
                    <w:rFonts w:ascii="Calibri" w:hAnsi="Calibri" w:cs="Calibri"/>
                    <w:color w:val="000000"/>
                    <w:sz w:val="20"/>
                    <w:lang w:eastAsia="lt-LT"/>
                  </w:rPr>
                </w:r>
                <w:r w:rsidR="00565853">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6100"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bl>
        <w:p w:rsidR="000363B9" w:rsidRDefault="000363B9">
          <w:pPr>
            <w:tabs>
              <w:tab w:val="left" w:pos="6946"/>
            </w:tabs>
            <w:rPr>
              <w:rFonts w:cs="Arial"/>
              <w:szCs w:val="24"/>
            </w:rPr>
          </w:pPr>
        </w:p>
        <w:p w:rsidR="000363B9" w:rsidRDefault="000363B9">
          <w:pPr>
            <w:tabs>
              <w:tab w:val="left" w:pos="6946"/>
            </w:tabs>
            <w:rPr>
              <w:rFonts w:cs="Arial"/>
              <w:szCs w:val="24"/>
            </w:rPr>
          </w:pPr>
        </w:p>
        <w:p w:rsidR="000363B9" w:rsidRDefault="00E82DB0">
          <w:pPr>
            <w:tabs>
              <w:tab w:val="left" w:pos="6946"/>
            </w:tabs>
            <w:rPr>
              <w:szCs w:val="24"/>
            </w:rPr>
          </w:pPr>
          <w:r>
            <w:rPr>
              <w:szCs w:val="24"/>
            </w:rPr>
            <w:t xml:space="preserve">_____________________________________________ </w:t>
          </w:r>
          <w:r>
            <w:rPr>
              <w:szCs w:val="24"/>
            </w:rPr>
            <w:tab/>
          </w:r>
          <w:r>
            <w:rPr>
              <w:szCs w:val="24"/>
            </w:rPr>
            <w:tab/>
          </w:r>
          <w:r>
            <w:rPr>
              <w:szCs w:val="24"/>
            </w:rPr>
            <w:tab/>
          </w:r>
          <w:r>
            <w:rPr>
              <w:szCs w:val="24"/>
            </w:rPr>
            <w:tab/>
          </w:r>
          <w:r>
            <w:rPr>
              <w:szCs w:val="24"/>
            </w:rPr>
            <w:tab/>
            <w:t xml:space="preserve">        ____________________</w:t>
          </w:r>
        </w:p>
        <w:p w:rsidR="000363B9" w:rsidRDefault="00E82DB0">
          <w:pPr>
            <w:tabs>
              <w:tab w:val="left" w:pos="426"/>
              <w:tab w:val="left" w:pos="7797"/>
            </w:tabs>
            <w:ind w:firstLine="426"/>
            <w:rPr>
              <w:szCs w:val="24"/>
            </w:rPr>
          </w:pPr>
          <w:r>
            <w:rPr>
              <w:szCs w:val="24"/>
            </w:rPr>
            <w:t xml:space="preserve">(vertintojo pareigos, vardas, pavardė) </w:t>
          </w:r>
          <w:r>
            <w:rPr>
              <w:szCs w:val="24"/>
            </w:rPr>
            <w:tab/>
          </w:r>
          <w:r>
            <w:rPr>
              <w:szCs w:val="24"/>
            </w:rPr>
            <w:tab/>
          </w:r>
          <w:r>
            <w:rPr>
              <w:szCs w:val="24"/>
            </w:rPr>
            <w:tab/>
          </w:r>
          <w:r>
            <w:rPr>
              <w:szCs w:val="24"/>
            </w:rPr>
            <w:tab/>
          </w:r>
          <w:r>
            <w:rPr>
              <w:szCs w:val="24"/>
            </w:rPr>
            <w:tab/>
            <w:t>(parašas)</w:t>
          </w:r>
        </w:p>
        <w:sdt>
          <w:sdtPr>
            <w:rPr>
              <w:szCs w:val="24"/>
            </w:rPr>
            <w:alias w:val="pabaiga"/>
            <w:tag w:val="part_cdc605cba72b443a9bb09658ea31e705"/>
            <w:id w:val="-145901802"/>
            <w:lock w:val="sdtLocked"/>
            <w:placeholder>
              <w:docPart w:val="DefaultPlaceholder_-1854013440"/>
            </w:placeholder>
          </w:sdtPr>
          <w:sdtContent>
            <w:p w:rsidR="000363B9" w:rsidRDefault="00E82DB0">
              <w:pPr>
                <w:jc w:val="center"/>
                <w:rPr>
                  <w:szCs w:val="24"/>
                </w:rPr>
              </w:pPr>
              <w:r>
                <w:rPr>
                  <w:szCs w:val="24"/>
                </w:rPr>
                <w:t>__________________</w:t>
              </w:r>
            </w:p>
            <w:p w:rsidR="000363B9" w:rsidRDefault="00565853">
              <w:pPr>
                <w:rPr>
                  <w:szCs w:val="24"/>
                </w:rPr>
              </w:pPr>
            </w:p>
          </w:sdtContent>
        </w:sdt>
      </w:sdtContent>
    </w:sdt>
    <w:sdt>
      <w:sdtPr>
        <w:rPr>
          <w:szCs w:val="24"/>
        </w:rPr>
        <w:alias w:val="4 pr."/>
        <w:tag w:val="part_bdbc9b95c5b745acb06faea39c66b49c"/>
        <w:id w:val="1443493463"/>
        <w:lock w:val="sdtLocked"/>
        <w:placeholder>
          <w:docPart w:val="DefaultPlaceholder_-1854013440"/>
        </w:placeholder>
      </w:sdtPr>
      <w:sdtEndPr>
        <w:rPr>
          <w:rFonts w:ascii="Calibri" w:eastAsia="Calibri" w:hAnsi="Calibri"/>
        </w:rPr>
      </w:sdtEndPr>
      <w:sdtContent>
        <w:p w:rsidR="00565853" w:rsidRDefault="00565853">
          <w:pPr>
            <w:rPr>
              <w:szCs w:val="24"/>
            </w:rPr>
            <w:sectPr w:rsidR="00565853">
              <w:pgSz w:w="16838" w:h="11906" w:orient="landscape"/>
              <w:pgMar w:top="1701" w:right="567" w:bottom="1134" w:left="1701" w:header="567" w:footer="567" w:gutter="0"/>
              <w:pgNumType w:start="1"/>
              <w:cols w:space="1296"/>
              <w:titlePg/>
              <w:docGrid w:linePitch="360"/>
            </w:sectPr>
          </w:pPr>
        </w:p>
        <w:p w:rsidR="00565853" w:rsidRDefault="00E82DB0" w:rsidP="00565853">
          <w:pPr>
            <w:ind w:left="9639"/>
            <w:rPr>
              <w:szCs w:val="24"/>
            </w:rPr>
          </w:pPr>
          <w:r>
            <w:rPr>
              <w:szCs w:val="24"/>
            </w:rPr>
            <w:lastRenderedPageBreak/>
            <w:t xml:space="preserve">7 priedo „2021–2030 m. plėtros programos </w:t>
          </w:r>
        </w:p>
        <w:p w:rsidR="00565853" w:rsidRDefault="00E82DB0" w:rsidP="00565853">
          <w:pPr>
            <w:ind w:left="9639"/>
            <w:rPr>
              <w:szCs w:val="24"/>
            </w:rPr>
          </w:pPr>
          <w:r>
            <w:rPr>
              <w:szCs w:val="24"/>
            </w:rPr>
            <w:t xml:space="preserve">valdytojos Lietuvos Respublikos švietimo, </w:t>
          </w:r>
        </w:p>
        <w:p w:rsidR="00565853" w:rsidRDefault="00E82DB0" w:rsidP="00565853">
          <w:pPr>
            <w:ind w:left="9639"/>
            <w:rPr>
              <w:szCs w:val="24"/>
            </w:rPr>
          </w:pPr>
          <w:r>
            <w:rPr>
              <w:szCs w:val="24"/>
            </w:rPr>
            <w:t xml:space="preserve">mokslo ir sporto ministerijos mokslo plėtros </w:t>
          </w:r>
        </w:p>
        <w:p w:rsidR="00565853" w:rsidRDefault="00E82DB0" w:rsidP="00565853">
          <w:pPr>
            <w:ind w:left="9639"/>
            <w:rPr>
              <w:szCs w:val="24"/>
            </w:rPr>
          </w:pPr>
          <w:r>
            <w:rPr>
              <w:szCs w:val="24"/>
            </w:rPr>
            <w:t>programos pažangos priemonės Nr. 12-001-</w:t>
          </w:r>
        </w:p>
        <w:p w:rsidR="00565853" w:rsidRDefault="00E82DB0" w:rsidP="00565853">
          <w:pPr>
            <w:ind w:left="9639"/>
            <w:rPr>
              <w:szCs w:val="24"/>
            </w:rPr>
          </w:pPr>
          <w:r>
            <w:rPr>
              <w:szCs w:val="24"/>
            </w:rPr>
            <w:t xml:space="preserve">01-02-01 „Stiprinti inovacijų ekosistemas </w:t>
          </w:r>
        </w:p>
        <w:p w:rsidR="00565853" w:rsidRDefault="00E82DB0" w:rsidP="00565853">
          <w:pPr>
            <w:ind w:left="9639"/>
            <w:rPr>
              <w:szCs w:val="24"/>
            </w:rPr>
          </w:pPr>
          <w:r>
            <w:rPr>
              <w:szCs w:val="24"/>
            </w:rPr>
            <w:t xml:space="preserve">mokslo centruose“ projektų finansavimo </w:t>
          </w:r>
        </w:p>
        <w:p w:rsidR="000363B9" w:rsidRDefault="00E82DB0" w:rsidP="00565853">
          <w:pPr>
            <w:ind w:left="9639"/>
            <w:rPr>
              <w:szCs w:val="24"/>
            </w:rPr>
          </w:pPr>
          <w:r>
            <w:rPr>
              <w:szCs w:val="24"/>
            </w:rPr>
            <w:t>sąlygų aprašo Nr. 7“</w:t>
          </w:r>
        </w:p>
        <w:p w:rsidR="000363B9" w:rsidRDefault="00E82DB0" w:rsidP="00565853">
          <w:pPr>
            <w:ind w:left="9639"/>
            <w:rPr>
              <w:szCs w:val="24"/>
            </w:rPr>
          </w:pPr>
          <w:r>
            <w:rPr>
              <w:szCs w:val="24"/>
            </w:rPr>
            <w:t>4 priedas</w:t>
          </w:r>
        </w:p>
        <w:p w:rsidR="000363B9" w:rsidRDefault="000363B9">
          <w:pPr>
            <w:jc w:val="center"/>
            <w:rPr>
              <w:b/>
              <w:bCs/>
              <w:caps/>
              <w:color w:val="000000"/>
              <w:szCs w:val="24"/>
            </w:rPr>
          </w:pPr>
        </w:p>
        <w:p w:rsidR="000363B9" w:rsidRDefault="00E82DB0">
          <w:pPr>
            <w:jc w:val="center"/>
            <w:rPr>
              <w:b/>
              <w:bCs/>
              <w:caps/>
              <w:color w:val="000000"/>
              <w:szCs w:val="24"/>
            </w:rPr>
          </w:pPr>
          <w:r>
            <w:rPr>
              <w:b/>
              <w:bCs/>
              <w:caps/>
              <w:color w:val="000000"/>
              <w:szCs w:val="24"/>
            </w:rPr>
            <w:t>ATITIKTIES VALSTYBĖS PAGALBOS TAISYKLĖMS Patikros lapas</w:t>
          </w:r>
        </w:p>
        <w:p w:rsidR="000363B9" w:rsidRDefault="000363B9">
          <w:pPr>
            <w:rPr>
              <w:sz w:val="18"/>
              <w:szCs w:val="18"/>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rsidR="000363B9">
            <w:trPr>
              <w:trHeight w:val="309"/>
            </w:trPr>
            <w:tc>
              <w:tcPr>
                <w:tcW w:w="14576" w:type="dxa"/>
                <w:shd w:val="clear" w:color="auto" w:fill="D9D9D9"/>
                <w:hideMark/>
              </w:tcPr>
              <w:p w:rsidR="000363B9" w:rsidRDefault="00E82DB0">
                <w:pPr>
                  <w:jc w:val="both"/>
                  <w:rPr>
                    <w:szCs w:val="24"/>
                    <w:lang w:eastAsia="lt-LT"/>
                  </w:rPr>
                </w:pPr>
                <w:r>
                  <w:rPr>
                    <w:rFonts w:eastAsia="Calibri"/>
                    <w:b/>
                    <w:bCs/>
                    <w:szCs w:val="24"/>
                    <w:lang w:eastAsia="lt-LT"/>
                  </w:rPr>
                  <w:t>1. Priemonės teisinis pagrindas</w:t>
                </w:r>
              </w:p>
            </w:tc>
          </w:tr>
          <w:tr w:rsidR="000363B9">
            <w:trPr>
              <w:trHeight w:val="657"/>
            </w:trPr>
            <w:tc>
              <w:tcPr>
                <w:tcW w:w="14576" w:type="dxa"/>
              </w:tcPr>
              <w:p w:rsidR="000363B9" w:rsidRDefault="00E82DB0">
                <w:pPr>
                  <w:jc w:val="both"/>
                  <w:rPr>
                    <w:szCs w:val="24"/>
                    <w:lang w:eastAsia="lt-LT"/>
                  </w:rPr>
                </w:pPr>
                <w:r>
                  <w:rPr>
                    <w:rFonts w:eastAsia="Calibri"/>
                    <w:bCs/>
                    <w:szCs w:val="24"/>
                    <w:lang w:eastAsia="lt-LT"/>
                  </w:rPr>
                  <w:t xml:space="preserve">2014 m. birželio 17 d. Komisijos reglamento </w:t>
                </w:r>
                <w:r>
                  <w:rPr>
                    <w:rFonts w:eastAsia="Calibri"/>
                    <w:bCs/>
                    <w:color w:val="0563C1"/>
                    <w:szCs w:val="24"/>
                    <w:u w:val="single"/>
                    <w:lang w:eastAsia="lt-LT"/>
                  </w:rPr>
                  <w:t>(ES) Nr. 651/2014</w:t>
                </w:r>
                <w:r>
                  <w:rPr>
                    <w:rFonts w:eastAsia="Calibri"/>
                    <w:bCs/>
                    <w:szCs w:val="24"/>
                    <w:lang w:eastAsia="lt-LT"/>
                  </w:rPr>
                  <w:t>, kuriuo tam tikrų kategorijų pagalba skelbiama suderinama su vidaus rinka taikant Sutarties 107 ir 108 straipsnius,</w:t>
                </w:r>
                <w:r>
                  <w:rPr>
                    <w:bCs/>
                    <w:color w:val="000000"/>
                    <w:szCs w:val="24"/>
                    <w:lang w:eastAsia="lt-LT"/>
                  </w:rPr>
                  <w:t xml:space="preserve"> su visais pakeitimais</w:t>
                </w:r>
                <w:r>
                  <w:rPr>
                    <w:rFonts w:eastAsia="Calibri"/>
                    <w:szCs w:val="24"/>
                  </w:rPr>
                  <w:t xml:space="preserve"> </w:t>
                </w:r>
                <w:r>
                  <w:rPr>
                    <w:rFonts w:eastAsia="Calibri"/>
                    <w:bCs/>
                    <w:szCs w:val="24"/>
                    <w:lang w:eastAsia="lt-LT"/>
                  </w:rPr>
                  <w:t xml:space="preserve">(toliau – </w:t>
                </w:r>
                <w:r>
                  <w:rPr>
                    <w:rFonts w:eastAsia="Calibri"/>
                    <w:color w:val="000000"/>
                    <w:szCs w:val="24"/>
                  </w:rPr>
                  <w:t xml:space="preserve">Reglamentas </w:t>
                </w:r>
                <w:r>
                  <w:rPr>
                    <w:rFonts w:eastAsia="Calibri"/>
                    <w:color w:val="0563C1"/>
                    <w:szCs w:val="24"/>
                    <w:u w:val="single"/>
                  </w:rPr>
                  <w:t>(ES) Nr. 651/2014</w:t>
                </w:r>
                <w:r>
                  <w:rPr>
                    <w:rFonts w:eastAsia="Calibri"/>
                    <w:bCs/>
                    <w:szCs w:val="24"/>
                    <w:lang w:eastAsia="lt-LT"/>
                  </w:rPr>
                  <w:t>), I skyrius ir 28 straipsnis.</w:t>
                </w:r>
              </w:p>
            </w:tc>
          </w:tr>
        </w:tbl>
        <w:p w:rsidR="000363B9" w:rsidRDefault="000363B9">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1"/>
            <w:gridCol w:w="9749"/>
          </w:tblGrid>
          <w:tr w:rsidR="000363B9">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rsidR="000363B9" w:rsidRDefault="00E82DB0">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įgyvendinimo planą (toliau – PĮP)</w:t>
                </w:r>
                <w:r>
                  <w:rPr>
                    <w:rFonts w:eastAsia="Calibri"/>
                    <w:b/>
                    <w:bCs/>
                    <w:color w:val="000000"/>
                    <w:szCs w:val="24"/>
                    <w:lang w:eastAsia="lt-LT"/>
                  </w:rPr>
                  <w:t xml:space="preserve"> / projektą </w:t>
                </w:r>
              </w:p>
            </w:tc>
          </w:tr>
          <w:tr w:rsidR="000363B9">
            <w:trPr>
              <w:trHeight w:val="270"/>
            </w:trPr>
            <w:tc>
              <w:tcPr>
                <w:tcW w:w="4815" w:type="dxa"/>
                <w:tcBorders>
                  <w:top w:val="single" w:sz="4" w:space="0" w:color="auto"/>
                  <w:left w:val="single" w:sz="4" w:space="0" w:color="auto"/>
                  <w:bottom w:val="single" w:sz="4" w:space="0" w:color="auto"/>
                  <w:right w:val="single" w:sz="4" w:space="0" w:color="auto"/>
                </w:tcBorders>
                <w:hideMark/>
              </w:tcPr>
              <w:p w:rsidR="000363B9" w:rsidRDefault="00E82DB0">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rsidR="000363B9" w:rsidRDefault="000363B9">
                <w:pPr>
                  <w:jc w:val="both"/>
                  <w:rPr>
                    <w:color w:val="000000"/>
                    <w:szCs w:val="24"/>
                    <w:lang w:eastAsia="lt-LT"/>
                  </w:rPr>
                </w:pPr>
              </w:p>
            </w:tc>
          </w:tr>
          <w:tr w:rsidR="000363B9">
            <w:trPr>
              <w:trHeight w:val="305"/>
            </w:trPr>
            <w:tc>
              <w:tcPr>
                <w:tcW w:w="4815" w:type="dxa"/>
                <w:tcBorders>
                  <w:top w:val="single" w:sz="4" w:space="0" w:color="auto"/>
                  <w:left w:val="single" w:sz="4" w:space="0" w:color="auto"/>
                  <w:bottom w:val="single" w:sz="4" w:space="0" w:color="auto"/>
                  <w:right w:val="single" w:sz="4" w:space="0" w:color="auto"/>
                </w:tcBorders>
                <w:hideMark/>
              </w:tcPr>
              <w:p w:rsidR="000363B9" w:rsidRDefault="00E82DB0">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rsidR="000363B9" w:rsidRDefault="000363B9">
                <w:pPr>
                  <w:jc w:val="both"/>
                  <w:rPr>
                    <w:color w:val="000000"/>
                    <w:szCs w:val="24"/>
                    <w:lang w:eastAsia="lt-LT"/>
                  </w:rPr>
                </w:pPr>
              </w:p>
            </w:tc>
          </w:tr>
          <w:tr w:rsidR="000363B9">
            <w:trPr>
              <w:trHeight w:val="255"/>
            </w:trPr>
            <w:tc>
              <w:tcPr>
                <w:tcW w:w="4815" w:type="dxa"/>
                <w:tcBorders>
                  <w:top w:val="single" w:sz="4" w:space="0" w:color="auto"/>
                  <w:left w:val="single" w:sz="4" w:space="0" w:color="auto"/>
                  <w:bottom w:val="single" w:sz="4" w:space="0" w:color="auto"/>
                  <w:right w:val="single" w:sz="4" w:space="0" w:color="auto"/>
                </w:tcBorders>
                <w:hideMark/>
              </w:tcPr>
              <w:p w:rsidR="000363B9" w:rsidRDefault="00E82DB0">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rsidR="000363B9" w:rsidRDefault="000363B9">
                <w:pPr>
                  <w:jc w:val="both"/>
                  <w:rPr>
                    <w:b/>
                    <w:bCs/>
                    <w:color w:val="000000"/>
                    <w:szCs w:val="24"/>
                    <w:lang w:eastAsia="lt-LT"/>
                  </w:rPr>
                </w:pPr>
              </w:p>
            </w:tc>
          </w:tr>
        </w:tbl>
        <w:p w:rsidR="000363B9" w:rsidRDefault="000363B9">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rsidR="000363B9">
            <w:trPr>
              <w:trHeight w:val="272"/>
            </w:trPr>
            <w:tc>
              <w:tcPr>
                <w:tcW w:w="14513" w:type="dxa"/>
                <w:gridSpan w:val="5"/>
                <w:shd w:val="clear" w:color="auto" w:fill="D9D9D9"/>
              </w:tcPr>
              <w:p w:rsidR="000363B9" w:rsidRDefault="00E82DB0">
                <w:pPr>
                  <w:rPr>
                    <w:rFonts w:eastAsia="Calibri"/>
                    <w:szCs w:val="24"/>
                    <w:lang w:eastAsia="lt-LT"/>
                  </w:rPr>
                </w:pPr>
                <w:r>
                  <w:rPr>
                    <w:rFonts w:eastAsia="Calibri"/>
                    <w:b/>
                    <w:bCs/>
                    <w:szCs w:val="24"/>
                    <w:lang w:eastAsia="lt-LT"/>
                  </w:rPr>
                  <w:t xml:space="preserve">3. PĮP / projekto patikra dėl atitikties </w:t>
                </w:r>
                <w:r>
                  <w:rPr>
                    <w:rFonts w:eastAsia="Calibri"/>
                    <w:b/>
                    <w:color w:val="000000"/>
                    <w:szCs w:val="24"/>
                  </w:rPr>
                  <w:t xml:space="preserve">Reglamentui </w:t>
                </w:r>
                <w:r>
                  <w:rPr>
                    <w:rFonts w:eastAsia="Calibri"/>
                    <w:b/>
                    <w:color w:val="0563C1"/>
                    <w:szCs w:val="24"/>
                    <w:u w:val="single"/>
                  </w:rPr>
                  <w:t>(ES) Nr. 651/2014</w:t>
                </w:r>
                <w:r>
                  <w:rPr>
                    <w:rFonts w:eastAsia="Calibri"/>
                    <w:b/>
                    <w:bCs/>
                    <w:szCs w:val="24"/>
                    <w:lang w:eastAsia="lt-LT"/>
                  </w:rPr>
                  <w:t xml:space="preserve"> </w:t>
                </w:r>
              </w:p>
            </w:tc>
          </w:tr>
          <w:tr w:rsidR="000363B9">
            <w:trPr>
              <w:trHeight w:val="264"/>
            </w:trPr>
            <w:tc>
              <w:tcPr>
                <w:tcW w:w="988" w:type="dxa"/>
                <w:hideMark/>
              </w:tcPr>
              <w:p w:rsidR="000363B9" w:rsidRDefault="00E82DB0">
                <w:pPr>
                  <w:jc w:val="both"/>
                  <w:rPr>
                    <w:rFonts w:eastAsia="Calibri"/>
                    <w:b/>
                    <w:szCs w:val="24"/>
                    <w:lang w:eastAsia="lt-LT"/>
                  </w:rPr>
                </w:pPr>
                <w:r>
                  <w:rPr>
                    <w:rFonts w:eastAsia="Calibri"/>
                    <w:b/>
                    <w:szCs w:val="24"/>
                    <w:lang w:eastAsia="lt-LT"/>
                  </w:rPr>
                  <w:t xml:space="preserve">Eil. Nr. </w:t>
                </w:r>
              </w:p>
            </w:tc>
            <w:tc>
              <w:tcPr>
                <w:tcW w:w="6339" w:type="dxa"/>
                <w:hideMark/>
              </w:tcPr>
              <w:p w:rsidR="000363B9" w:rsidRDefault="00E82DB0">
                <w:pPr>
                  <w:ind w:firstLine="34"/>
                  <w:jc w:val="both"/>
                  <w:rPr>
                    <w:rFonts w:eastAsia="Calibri"/>
                    <w:b/>
                    <w:szCs w:val="24"/>
                    <w:lang w:eastAsia="lt-LT"/>
                  </w:rPr>
                </w:pPr>
                <w:r>
                  <w:rPr>
                    <w:rFonts w:eastAsia="Calibri"/>
                    <w:b/>
                    <w:szCs w:val="24"/>
                    <w:lang w:eastAsia="lt-LT"/>
                  </w:rPr>
                  <w:t>Klausimai</w:t>
                </w:r>
              </w:p>
            </w:tc>
            <w:tc>
              <w:tcPr>
                <w:tcW w:w="2449" w:type="dxa"/>
                <w:gridSpan w:val="2"/>
                <w:hideMark/>
              </w:tcPr>
              <w:p w:rsidR="000363B9" w:rsidRDefault="00E82DB0">
                <w:pPr>
                  <w:ind w:hanging="5"/>
                  <w:jc w:val="both"/>
                  <w:rPr>
                    <w:rFonts w:eastAsia="Calibri"/>
                    <w:b/>
                    <w:szCs w:val="24"/>
                    <w:lang w:eastAsia="lt-LT"/>
                  </w:rPr>
                </w:pPr>
                <w:r>
                  <w:rPr>
                    <w:rFonts w:eastAsia="Calibri"/>
                    <w:b/>
                    <w:szCs w:val="24"/>
                    <w:lang w:eastAsia="lt-LT"/>
                  </w:rPr>
                  <w:t>Rezultatas</w:t>
                </w:r>
              </w:p>
            </w:tc>
            <w:tc>
              <w:tcPr>
                <w:tcW w:w="4737" w:type="dxa"/>
                <w:hideMark/>
              </w:tcPr>
              <w:p w:rsidR="000363B9" w:rsidRDefault="00E82DB0">
                <w:pPr>
                  <w:jc w:val="both"/>
                  <w:rPr>
                    <w:rFonts w:eastAsia="Calibri"/>
                    <w:b/>
                    <w:szCs w:val="24"/>
                    <w:lang w:eastAsia="lt-LT"/>
                  </w:rPr>
                </w:pPr>
                <w:r>
                  <w:rPr>
                    <w:rFonts w:eastAsia="Calibri"/>
                    <w:b/>
                    <w:szCs w:val="24"/>
                    <w:lang w:eastAsia="lt-LT"/>
                  </w:rPr>
                  <w:t>Pastabos</w:t>
                </w:r>
              </w:p>
            </w:tc>
          </w:tr>
          <w:tr w:rsidR="000363B9">
            <w:trPr>
              <w:trHeight w:val="430"/>
            </w:trPr>
            <w:tc>
              <w:tcPr>
                <w:tcW w:w="988" w:type="dxa"/>
                <w:vMerge w:val="restart"/>
                <w:hideMark/>
              </w:tcPr>
              <w:p w:rsidR="000363B9" w:rsidRDefault="00E82DB0">
                <w:pPr>
                  <w:jc w:val="both"/>
                  <w:rPr>
                    <w:rFonts w:eastAsia="Calibri"/>
                    <w:szCs w:val="24"/>
                    <w:lang w:eastAsia="lt-LT"/>
                  </w:rPr>
                </w:pPr>
                <w:r>
                  <w:rPr>
                    <w:rFonts w:eastAsia="Calibri"/>
                    <w:szCs w:val="24"/>
                    <w:lang w:eastAsia="lt-LT"/>
                  </w:rPr>
                  <w:t>3.1.</w:t>
                </w:r>
              </w:p>
              <w:p w:rsidR="000363B9" w:rsidRDefault="000363B9">
                <w:pPr>
                  <w:jc w:val="both"/>
                  <w:rPr>
                    <w:rFonts w:eastAsia="Calibri"/>
                    <w:szCs w:val="24"/>
                    <w:lang w:eastAsia="lt-LT"/>
                  </w:rPr>
                </w:pPr>
              </w:p>
            </w:tc>
            <w:tc>
              <w:tcPr>
                <w:tcW w:w="6339" w:type="dxa"/>
                <w:hideMark/>
              </w:tcPr>
              <w:p w:rsidR="000363B9" w:rsidRDefault="00E82DB0">
                <w:pPr>
                  <w:jc w:val="both"/>
                  <w:rPr>
                    <w:rFonts w:eastAsia="Calibri"/>
                    <w:szCs w:val="24"/>
                    <w:lang w:eastAsia="lt-LT"/>
                  </w:rPr>
                </w:pPr>
                <w:r>
                  <w:rPr>
                    <w:rFonts w:eastAsia="Calibri"/>
                    <w:bCs/>
                    <w:szCs w:val="24"/>
                    <w:lang w:eastAsia="lt-LT"/>
                  </w:rPr>
                  <w:t>Kokiai kategorijai priskiriamas galutinis naudos gavėjas? (pasirinkti tik vieną variantą)</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246"/>
            </w:trPr>
            <w:tc>
              <w:tcPr>
                <w:tcW w:w="988" w:type="dxa"/>
                <w:vMerge/>
              </w:tcPr>
              <w:p w:rsidR="000363B9" w:rsidRDefault="000363B9">
                <w:pPr>
                  <w:jc w:val="both"/>
                  <w:rPr>
                    <w:rFonts w:eastAsia="Calibri"/>
                    <w:szCs w:val="24"/>
                    <w:lang w:eastAsia="lt-LT"/>
                  </w:rPr>
                </w:pPr>
              </w:p>
            </w:tc>
            <w:tc>
              <w:tcPr>
                <w:tcW w:w="6339" w:type="dxa"/>
                <w:hideMark/>
              </w:tcPr>
              <w:p w:rsidR="000363B9" w:rsidRDefault="00E82DB0">
                <w:pPr>
                  <w:ind w:left="155" w:hanging="142"/>
                  <w:jc w:val="both"/>
                  <w:rPr>
                    <w:rFonts w:eastAsia="Calibri"/>
                    <w:szCs w:val="24"/>
                    <w:lang w:eastAsia="lt-LT"/>
                  </w:rPr>
                </w:pPr>
                <w:r>
                  <w:rPr>
                    <w:rFonts w:eastAsia="Calibri"/>
                    <w:szCs w:val="24"/>
                    <w:lang w:eastAsia="lt-LT"/>
                  </w:rPr>
                  <w:t>-</w:t>
                </w:r>
                <w:r>
                  <w:rPr>
                    <w:rFonts w:eastAsia="Calibri"/>
                    <w:szCs w:val="24"/>
                    <w:lang w:eastAsia="lt-LT"/>
                  </w:rPr>
                  <w:tab/>
                  <w:t>labai maža įmonė</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251"/>
            </w:trPr>
            <w:tc>
              <w:tcPr>
                <w:tcW w:w="988" w:type="dxa"/>
                <w:vMerge/>
                <w:hideMark/>
              </w:tcPr>
              <w:p w:rsidR="000363B9" w:rsidRDefault="000363B9">
                <w:pPr>
                  <w:jc w:val="both"/>
                  <w:rPr>
                    <w:rFonts w:eastAsia="Calibri"/>
                    <w:szCs w:val="24"/>
                    <w:lang w:eastAsia="lt-LT"/>
                  </w:rPr>
                </w:pPr>
              </w:p>
            </w:tc>
            <w:tc>
              <w:tcPr>
                <w:tcW w:w="6339" w:type="dxa"/>
                <w:hideMark/>
              </w:tcPr>
              <w:p w:rsidR="000363B9" w:rsidRDefault="00E82DB0">
                <w:pPr>
                  <w:jc w:val="both"/>
                  <w:rPr>
                    <w:rFonts w:eastAsia="Calibri"/>
                    <w:szCs w:val="24"/>
                    <w:lang w:eastAsia="lt-LT"/>
                  </w:rPr>
                </w:pPr>
                <w:r>
                  <w:rPr>
                    <w:rFonts w:eastAsia="Calibri"/>
                    <w:szCs w:val="24"/>
                    <w:lang w:eastAsia="lt-LT"/>
                  </w:rPr>
                  <w:t xml:space="preserve">- maža įmonė </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240"/>
            </w:trPr>
            <w:tc>
              <w:tcPr>
                <w:tcW w:w="988" w:type="dxa"/>
                <w:vMerge/>
              </w:tcPr>
              <w:p w:rsidR="000363B9" w:rsidRDefault="000363B9">
                <w:pPr>
                  <w:jc w:val="both"/>
                  <w:rPr>
                    <w:rFonts w:eastAsia="Calibri"/>
                    <w:szCs w:val="24"/>
                    <w:lang w:eastAsia="lt-LT"/>
                  </w:rPr>
                </w:pPr>
              </w:p>
            </w:tc>
            <w:tc>
              <w:tcPr>
                <w:tcW w:w="6339" w:type="dxa"/>
              </w:tcPr>
              <w:p w:rsidR="000363B9" w:rsidRDefault="00E82DB0">
                <w:pPr>
                  <w:ind w:left="197" w:hanging="197"/>
                  <w:jc w:val="both"/>
                  <w:rPr>
                    <w:rFonts w:eastAsia="Calibri"/>
                    <w:szCs w:val="24"/>
                    <w:lang w:eastAsia="lt-LT"/>
                  </w:rPr>
                </w:pPr>
                <w:r>
                  <w:rPr>
                    <w:rFonts w:eastAsia="Calibri"/>
                    <w:szCs w:val="24"/>
                    <w:lang w:eastAsia="lt-LT"/>
                  </w:rPr>
                  <w:t>- vidutinė įmonė</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3.2.</w:t>
                </w:r>
              </w:p>
            </w:tc>
            <w:tc>
              <w:tcPr>
                <w:tcW w:w="6339" w:type="dxa"/>
              </w:tcPr>
              <w:p w:rsidR="000363B9" w:rsidRDefault="00E82DB0">
                <w:pPr>
                  <w:jc w:val="both"/>
                  <w:rPr>
                    <w:bCs/>
                    <w:szCs w:val="24"/>
                    <w:lang w:eastAsia="lt-LT"/>
                  </w:rPr>
                </w:pPr>
                <w:r>
                  <w:rPr>
                    <w:rFonts w:eastAsia="Calibri"/>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szCs w:val="24"/>
                  </w:rPr>
                  <w:t>1 straipsnio 2 dalies nuostatas?</w:t>
                </w:r>
              </w:p>
            </w:tc>
            <w:tc>
              <w:tcPr>
                <w:tcW w:w="1486"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3.3.</w:t>
                </w:r>
              </w:p>
            </w:tc>
            <w:tc>
              <w:tcPr>
                <w:tcW w:w="6339" w:type="dxa"/>
              </w:tcPr>
              <w:p w:rsidR="000363B9" w:rsidRDefault="00E82DB0">
                <w:pPr>
                  <w:jc w:val="both"/>
                  <w:rPr>
                    <w:rFonts w:eastAsia="Calibri"/>
                    <w:szCs w:val="24"/>
                  </w:rPr>
                </w:pPr>
                <w:r>
                  <w:rPr>
                    <w:rFonts w:eastAsia="Calibri"/>
                    <w:szCs w:val="24"/>
                  </w:rPr>
                  <w:t xml:space="preserve">Ar teikiama valstybės pagalba atitinka Reglamento </w:t>
                </w:r>
                <w:r>
                  <w:rPr>
                    <w:rFonts w:eastAsia="Calibri"/>
                    <w:color w:val="0563C1"/>
                    <w:szCs w:val="24"/>
                    <w:u w:val="single"/>
                  </w:rPr>
                  <w:t>(ES) Nr. 651/2014</w:t>
                </w:r>
                <w:r>
                  <w:rPr>
                    <w:rFonts w:eastAsia="Calibri"/>
                    <w:b/>
                    <w:bCs/>
                    <w:szCs w:val="24"/>
                  </w:rPr>
                  <w:t xml:space="preserve"> </w:t>
                </w:r>
                <w:r>
                  <w:rPr>
                    <w:rFonts w:eastAsia="Calibri"/>
                    <w:szCs w:val="24"/>
                  </w:rPr>
                  <w:t>1 straipsnio 3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lastRenderedPageBreak/>
                  <w:t>3.4.</w:t>
                </w:r>
              </w:p>
            </w:tc>
            <w:tc>
              <w:tcPr>
                <w:tcW w:w="6339" w:type="dxa"/>
              </w:tcPr>
              <w:p w:rsidR="000363B9" w:rsidRDefault="00E82DB0">
                <w:pPr>
                  <w:jc w:val="both"/>
                  <w:rPr>
                    <w:rFonts w:eastAsia="Calibri"/>
                    <w:szCs w:val="24"/>
                  </w:rPr>
                </w:pPr>
                <w:r>
                  <w:rPr>
                    <w:rFonts w:eastAsia="Calibri"/>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szCs w:val="24"/>
                  </w:rPr>
                  <w:t>1 straipsnio 4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3.5.</w:t>
                </w:r>
              </w:p>
            </w:tc>
            <w:tc>
              <w:tcPr>
                <w:tcW w:w="6339" w:type="dxa"/>
              </w:tcPr>
              <w:p w:rsidR="000363B9" w:rsidRDefault="00E82DB0">
                <w:pPr>
                  <w:jc w:val="both"/>
                  <w:rPr>
                    <w:rFonts w:eastAsia="Calibri"/>
                    <w:szCs w:val="24"/>
                    <w:lang w:eastAsia="lt-LT"/>
                  </w:rPr>
                </w:pPr>
                <w:r>
                  <w:rPr>
                    <w:rFonts w:eastAsia="Calibri"/>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szCs w:val="24"/>
                  </w:rPr>
                  <w:t>1 straipsnio 5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3.6.</w:t>
                </w:r>
              </w:p>
            </w:tc>
            <w:tc>
              <w:tcPr>
                <w:tcW w:w="6339" w:type="dxa"/>
              </w:tcPr>
              <w:p w:rsidR="000363B9" w:rsidRDefault="00E82DB0">
                <w:pPr>
                  <w:jc w:val="both"/>
                  <w:rPr>
                    <w:rFonts w:eastAsia="Calibri"/>
                    <w:bCs/>
                    <w:szCs w:val="24"/>
                    <w:lang w:eastAsia="lt-LT"/>
                  </w:rPr>
                </w:pPr>
                <w:r>
                  <w:rPr>
                    <w:rFonts w:eastAsia="Calibri"/>
                    <w:bCs/>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bCs/>
                    <w:szCs w:val="24"/>
                  </w:rPr>
                  <w:t>4 straipsnio 1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3.7.</w:t>
                </w:r>
              </w:p>
            </w:tc>
            <w:tc>
              <w:tcPr>
                <w:tcW w:w="6339" w:type="dxa"/>
              </w:tcPr>
              <w:p w:rsidR="000363B9" w:rsidRDefault="00E82DB0">
                <w:pPr>
                  <w:jc w:val="both"/>
                  <w:rPr>
                    <w:bCs/>
                    <w:szCs w:val="24"/>
                    <w:lang w:eastAsia="lt-LT"/>
                  </w:rPr>
                </w:pPr>
                <w:r>
                  <w:rPr>
                    <w:rFonts w:eastAsia="Calibri"/>
                    <w:bCs/>
                    <w:szCs w:val="24"/>
                    <w:lang w:eastAsia="lt-LT"/>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bCs/>
                    <w:szCs w:val="24"/>
                    <w:lang w:eastAsia="lt-LT"/>
                  </w:rPr>
                  <w:t>4 straipsnio 2 dalies  nuostatas?</w:t>
                </w:r>
              </w:p>
            </w:tc>
            <w:tc>
              <w:tcPr>
                <w:tcW w:w="1486"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3.8.</w:t>
                </w:r>
              </w:p>
            </w:tc>
            <w:tc>
              <w:tcPr>
                <w:tcW w:w="6339" w:type="dxa"/>
              </w:tcPr>
              <w:p w:rsidR="000363B9" w:rsidRDefault="00E82DB0">
                <w:pPr>
                  <w:jc w:val="both"/>
                  <w:rPr>
                    <w:bCs/>
                    <w:szCs w:val="24"/>
                    <w:lang w:eastAsia="lt-LT"/>
                  </w:rPr>
                </w:pPr>
                <w:r>
                  <w:rPr>
                    <w:rFonts w:eastAsia="Calibri"/>
                    <w:bCs/>
                    <w:szCs w:val="24"/>
                    <w:lang w:eastAsia="lt-LT"/>
                  </w:rPr>
                  <w:t xml:space="preserve">Ar yra pagrįstas valstybės pagalbos skatinamasis poveikis pagal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bCs/>
                    <w:szCs w:val="24"/>
                    <w:lang w:eastAsia="lt-LT"/>
                  </w:rPr>
                  <w:t>6 straipsnio 2 dalį?</w:t>
                </w:r>
              </w:p>
            </w:tc>
            <w:tc>
              <w:tcPr>
                <w:tcW w:w="1486"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3.9.</w:t>
                </w:r>
              </w:p>
            </w:tc>
            <w:tc>
              <w:tcPr>
                <w:tcW w:w="6339" w:type="dxa"/>
              </w:tcPr>
              <w:p w:rsidR="000363B9" w:rsidRDefault="00E82DB0">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bCs/>
                    <w:szCs w:val="24"/>
                    <w:lang w:eastAsia="lt-LT"/>
                  </w:rPr>
                  <w:t>8 straipsnyje?</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3.10.</w:t>
                </w:r>
              </w:p>
            </w:tc>
            <w:tc>
              <w:tcPr>
                <w:tcW w:w="6339" w:type="dxa"/>
              </w:tcPr>
              <w:p w:rsidR="000363B9" w:rsidRDefault="00E82DB0">
                <w:pPr>
                  <w:jc w:val="both"/>
                  <w:rPr>
                    <w:rFonts w:eastAsia="Calibri"/>
                    <w:bCs/>
                    <w:szCs w:val="24"/>
                    <w:lang w:eastAsia="lt-LT"/>
                  </w:rPr>
                </w:pPr>
                <w:r>
                  <w:rPr>
                    <w:rFonts w:eastAsia="Calibri"/>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szCs w:val="24"/>
                  </w:rPr>
                  <w:t>28 straipsnio 4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szCs w:val="24"/>
                    <w:lang w:eastAsia="lt-LT"/>
                  </w:rPr>
                </w:pPr>
              </w:p>
            </w:tc>
          </w:tr>
        </w:tbl>
        <w:p w:rsidR="000363B9" w:rsidRDefault="000363B9">
          <w:pPr>
            <w:rPr>
              <w:sz w:val="12"/>
              <w:szCs w:val="1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4"/>
            <w:gridCol w:w="1000"/>
            <w:gridCol w:w="418"/>
            <w:gridCol w:w="2838"/>
            <w:gridCol w:w="2939"/>
          </w:tblGrid>
          <w:tr w:rsidR="000363B9">
            <w:tc>
              <w:tcPr>
                <w:tcW w:w="14560" w:type="dxa"/>
                <w:gridSpan w:val="6"/>
                <w:shd w:val="pct20" w:color="auto" w:fill="auto"/>
              </w:tcPr>
              <w:p w:rsidR="000363B9" w:rsidRDefault="00E82DB0">
                <w:pPr>
                  <w:rPr>
                    <w:rFonts w:eastAsia="Calibri"/>
                    <w:color w:val="000000"/>
                    <w:szCs w:val="24"/>
                  </w:rPr>
                </w:pPr>
                <w:r>
                  <w:rPr>
                    <w:rFonts w:eastAsia="Calibri"/>
                    <w:b/>
                    <w:bCs/>
                    <w:color w:val="000000"/>
                    <w:szCs w:val="24"/>
                  </w:rPr>
                  <w:t xml:space="preserve">4. Finansavimo atitikties </w:t>
                </w:r>
                <w:r>
                  <w:rPr>
                    <w:rFonts w:eastAsia="Calibri"/>
                    <w:b/>
                    <w:color w:val="000000"/>
                    <w:szCs w:val="24"/>
                  </w:rPr>
                  <w:t xml:space="preserve">Reglamentui </w:t>
                </w:r>
                <w:r>
                  <w:rPr>
                    <w:rFonts w:eastAsia="Calibri"/>
                    <w:b/>
                    <w:color w:val="0563C1"/>
                    <w:szCs w:val="24"/>
                    <w:u w:val="single"/>
                  </w:rPr>
                  <w:t>(ES) Nr. 651/2014</w:t>
                </w:r>
                <w:r>
                  <w:rPr>
                    <w:rFonts w:eastAsia="Calibri"/>
                    <w:b/>
                    <w:bCs/>
                    <w:szCs w:val="24"/>
                    <w:lang w:eastAsia="lt-LT"/>
                  </w:rPr>
                  <w:t xml:space="preserve"> </w:t>
                </w:r>
                <w:r>
                  <w:rPr>
                    <w:rFonts w:eastAsia="Calibri"/>
                    <w:b/>
                    <w:bCs/>
                    <w:color w:val="000000"/>
                    <w:szCs w:val="24"/>
                  </w:rPr>
                  <w:t>vertinimas</w:t>
                </w:r>
                <w:r>
                  <w:rPr>
                    <w:rFonts w:eastAsia="Calibri"/>
                    <w:bCs/>
                    <w:color w:val="000000"/>
                    <w:szCs w:val="24"/>
                  </w:rPr>
                  <w:t xml:space="preserve"> </w:t>
                </w:r>
              </w:p>
            </w:tc>
          </w:tr>
          <w:tr w:rsidR="000363B9">
            <w:tc>
              <w:tcPr>
                <w:tcW w:w="7366" w:type="dxa"/>
                <w:gridSpan w:val="2"/>
              </w:tcPr>
              <w:p w:rsidR="000363B9" w:rsidRDefault="00E82DB0">
                <w:pPr>
                  <w:jc w:val="both"/>
                  <w:rPr>
                    <w:szCs w:val="24"/>
                    <w:lang w:eastAsia="lt-LT"/>
                  </w:rPr>
                </w:pPr>
                <w:r>
                  <w:rPr>
                    <w:rFonts w:eastAsia="Calibri"/>
                    <w:color w:val="000000"/>
                    <w:szCs w:val="24"/>
                  </w:rPr>
                  <w:t xml:space="preserve">Ar teikiamas finansavimas atitinka Reglamentą </w:t>
                </w:r>
                <w:r>
                  <w:rPr>
                    <w:rFonts w:eastAsia="Calibri"/>
                    <w:color w:val="0563C1"/>
                    <w:szCs w:val="24"/>
                    <w:u w:val="single"/>
                  </w:rPr>
                  <w:t>(ES) Nr. 651/2014</w:t>
                </w:r>
                <w:r>
                  <w:rPr>
                    <w:rFonts w:eastAsia="Calibri"/>
                    <w:color w:val="000000"/>
                    <w:szCs w:val="24"/>
                  </w:rPr>
                  <w:t>?</w:t>
                </w:r>
              </w:p>
            </w:tc>
            <w:tc>
              <w:tcPr>
                <w:tcW w:w="1418" w:type="dxa"/>
                <w:gridSpan w:val="2"/>
              </w:tcPr>
              <w:p w:rsidR="000363B9" w:rsidRDefault="00E82DB0">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Taip</w:t>
                </w:r>
              </w:p>
            </w:tc>
            <w:tc>
              <w:tcPr>
                <w:tcW w:w="2835" w:type="dxa"/>
              </w:tcPr>
              <w:p w:rsidR="000363B9" w:rsidRDefault="00E82DB0">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565853">
                  <w:rPr>
                    <w:sz w:val="20"/>
                    <w:lang w:eastAsia="lt-LT"/>
                  </w:rPr>
                </w:r>
                <w:r w:rsidR="00565853">
                  <w:rPr>
                    <w:sz w:val="20"/>
                    <w:lang w:eastAsia="lt-LT"/>
                  </w:rPr>
                  <w:fldChar w:fldCharType="separate"/>
                </w:r>
                <w:r>
                  <w:rPr>
                    <w:sz w:val="20"/>
                    <w:lang w:eastAsia="lt-LT"/>
                  </w:rPr>
                  <w:fldChar w:fldCharType="end"/>
                </w:r>
                <w:r>
                  <w:rPr>
                    <w:rFonts w:eastAsia="Calibri"/>
                    <w:szCs w:val="24"/>
                    <w:lang w:eastAsia="lt-LT"/>
                  </w:rPr>
                  <w:t>Ne</w:t>
                </w:r>
              </w:p>
            </w:tc>
            <w:tc>
              <w:tcPr>
                <w:tcW w:w="2941" w:type="dxa"/>
              </w:tcPr>
              <w:p w:rsidR="000363B9" w:rsidRDefault="000363B9">
                <w:pPr>
                  <w:rPr>
                    <w:szCs w:val="24"/>
                    <w:lang w:eastAsia="lt-LT"/>
                  </w:rPr>
                </w:pPr>
              </w:p>
            </w:tc>
          </w:tr>
          <w:tr w:rsidR="000363B9">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rsidR="000363B9" w:rsidRDefault="000363B9">
                <w:pPr>
                  <w:rPr>
                    <w:i/>
                    <w:iCs/>
                    <w:color w:val="000000"/>
                    <w:szCs w:val="24"/>
                  </w:rPr>
                </w:pPr>
              </w:p>
              <w:p w:rsidR="000363B9" w:rsidRDefault="00E82DB0">
                <w:pPr>
                  <w:rPr>
                    <w:color w:val="000000"/>
                    <w:szCs w:val="24"/>
                  </w:rPr>
                </w:pPr>
                <w:r>
                  <w:rPr>
                    <w:i/>
                    <w:iCs/>
                    <w:color w:val="000000"/>
                    <w:szCs w:val="24"/>
                  </w:rPr>
                  <w:t xml:space="preserve">______________________________________ </w:t>
                </w:r>
              </w:p>
              <w:p w:rsidR="000363B9" w:rsidRDefault="00E82DB0">
                <w:pPr>
                  <w:ind w:firstLine="1612"/>
                  <w:rPr>
                    <w:color w:val="000000"/>
                    <w:szCs w:val="24"/>
                  </w:rPr>
                </w:pPr>
                <w:r>
                  <w:rPr>
                    <w:i/>
                    <w:iCs/>
                    <w:color w:val="000000"/>
                    <w:szCs w:val="24"/>
                  </w:rPr>
                  <w:t xml:space="preserve">(vertintojas) </w:t>
                </w:r>
              </w:p>
            </w:tc>
            <w:tc>
              <w:tcPr>
                <w:tcW w:w="3255" w:type="dxa"/>
                <w:gridSpan w:val="2"/>
              </w:tcPr>
              <w:p w:rsidR="000363B9" w:rsidRDefault="000363B9">
                <w:pPr>
                  <w:rPr>
                    <w:i/>
                    <w:iCs/>
                    <w:color w:val="000000"/>
                    <w:szCs w:val="24"/>
                  </w:rPr>
                </w:pPr>
              </w:p>
              <w:p w:rsidR="000363B9" w:rsidRDefault="00E82DB0">
                <w:pPr>
                  <w:rPr>
                    <w:color w:val="000000"/>
                    <w:szCs w:val="24"/>
                  </w:rPr>
                </w:pPr>
                <w:r>
                  <w:rPr>
                    <w:i/>
                    <w:iCs/>
                    <w:color w:val="000000"/>
                    <w:szCs w:val="24"/>
                  </w:rPr>
                  <w:t xml:space="preserve">____________ </w:t>
                </w:r>
              </w:p>
              <w:p w:rsidR="000363B9" w:rsidRDefault="00E82DB0">
                <w:pPr>
                  <w:ind w:firstLine="248"/>
                  <w:rPr>
                    <w:color w:val="000000"/>
                    <w:szCs w:val="24"/>
                  </w:rPr>
                </w:pPr>
                <w:r>
                  <w:rPr>
                    <w:i/>
                    <w:iCs/>
                    <w:color w:val="000000"/>
                    <w:szCs w:val="24"/>
                  </w:rPr>
                  <w:t xml:space="preserve">(parašas) </w:t>
                </w:r>
              </w:p>
            </w:tc>
            <w:tc>
              <w:tcPr>
                <w:tcW w:w="3257" w:type="dxa"/>
                <w:gridSpan w:val="2"/>
              </w:tcPr>
              <w:p w:rsidR="000363B9" w:rsidRDefault="000363B9">
                <w:pPr>
                  <w:rPr>
                    <w:i/>
                    <w:iCs/>
                    <w:color w:val="000000"/>
                    <w:szCs w:val="24"/>
                  </w:rPr>
                </w:pPr>
              </w:p>
              <w:p w:rsidR="000363B9" w:rsidRDefault="00E82DB0">
                <w:pPr>
                  <w:rPr>
                    <w:color w:val="000000"/>
                    <w:szCs w:val="24"/>
                  </w:rPr>
                </w:pPr>
                <w:r>
                  <w:rPr>
                    <w:i/>
                    <w:iCs/>
                    <w:color w:val="000000"/>
                    <w:szCs w:val="24"/>
                  </w:rPr>
                  <w:t xml:space="preserve">____________ </w:t>
                </w:r>
              </w:p>
              <w:p w:rsidR="000363B9" w:rsidRDefault="00E82DB0">
                <w:pPr>
                  <w:ind w:firstLine="434"/>
                  <w:rPr>
                    <w:i/>
                    <w:color w:val="000000"/>
                    <w:szCs w:val="24"/>
                  </w:rPr>
                </w:pPr>
                <w:r>
                  <w:rPr>
                    <w:i/>
                    <w:color w:val="000000"/>
                    <w:szCs w:val="24"/>
                  </w:rPr>
                  <w:t xml:space="preserve">(data) </w:t>
                </w:r>
              </w:p>
            </w:tc>
          </w:tr>
          <w:tr w:rsidR="000363B9">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rsidR="000363B9" w:rsidRDefault="000363B9">
                <w:pPr>
                  <w:rPr>
                    <w:b/>
                    <w:bCs/>
                    <w:color w:val="000000"/>
                    <w:sz w:val="12"/>
                    <w:szCs w:val="12"/>
                  </w:rPr>
                </w:pPr>
              </w:p>
              <w:p w:rsidR="000363B9" w:rsidRDefault="00E82DB0">
                <w:pPr>
                  <w:rPr>
                    <w:color w:val="000000"/>
                    <w:szCs w:val="24"/>
                  </w:rPr>
                </w:pPr>
                <w:r>
                  <w:rPr>
                    <w:b/>
                    <w:bCs/>
                    <w:color w:val="000000"/>
                    <w:szCs w:val="24"/>
                  </w:rPr>
                  <w:t xml:space="preserve">Patikros peržiūra: </w:t>
                </w:r>
              </w:p>
              <w:p w:rsidR="000363B9" w:rsidRDefault="00E82DB0">
                <w:pPr>
                  <w:rPr>
                    <w:color w:val="000000"/>
                    <w:szCs w:val="24"/>
                  </w:rPr>
                </w:pPr>
                <w:r>
                  <w:rPr>
                    <w:color w:val="000000"/>
                    <w:szCs w:val="24"/>
                  </w:rPr>
                  <w:t xml:space="preserve">□ Vertintojo išvadai pritarti </w:t>
                </w:r>
              </w:p>
              <w:p w:rsidR="000363B9" w:rsidRDefault="00E82DB0">
                <w:pPr>
                  <w:tabs>
                    <w:tab w:val="center" w:pos="5702"/>
                    <w:tab w:val="left" w:pos="7956"/>
                  </w:tabs>
                  <w:rPr>
                    <w:color w:val="000000"/>
                    <w:szCs w:val="24"/>
                  </w:rPr>
                </w:pPr>
                <w:r>
                  <w:rPr>
                    <w:color w:val="000000"/>
                    <w:szCs w:val="24"/>
                  </w:rPr>
                  <w:t xml:space="preserve">□ Vertintojo išvadai nepritarti </w:t>
                </w:r>
                <w:r>
                  <w:rPr>
                    <w:color w:val="000000"/>
                    <w:szCs w:val="24"/>
                  </w:rPr>
                  <w:tab/>
                </w:r>
                <w:r>
                  <w:rPr>
                    <w:color w:val="000000"/>
                    <w:szCs w:val="24"/>
                  </w:rPr>
                  <w:tab/>
                </w:r>
              </w:p>
              <w:p w:rsidR="000363B9" w:rsidRDefault="00E82DB0">
                <w:pPr>
                  <w:rPr>
                    <w:i/>
                    <w:iCs/>
                    <w:color w:val="000000"/>
                    <w:szCs w:val="24"/>
                  </w:rPr>
                </w:pPr>
                <w:r>
                  <w:rPr>
                    <w:i/>
                    <w:iCs/>
                    <w:color w:val="000000"/>
                    <w:szCs w:val="24"/>
                  </w:rPr>
                  <w:t>Pastabos:_______________________________________________________________________</w:t>
                </w:r>
              </w:p>
              <w:p w:rsidR="000363B9" w:rsidRDefault="000363B9">
                <w:pPr>
                  <w:rPr>
                    <w:color w:val="000000"/>
                    <w:szCs w:val="24"/>
                  </w:rPr>
                </w:pPr>
              </w:p>
            </w:tc>
          </w:tr>
          <w:tr w:rsidR="000363B9">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rsidR="000363B9" w:rsidRDefault="00E82DB0">
                <w:pPr>
                  <w:rPr>
                    <w:color w:val="000000"/>
                    <w:szCs w:val="24"/>
                  </w:rPr>
                </w:pPr>
                <w:r>
                  <w:rPr>
                    <w:i/>
                    <w:iCs/>
                    <w:color w:val="000000"/>
                    <w:szCs w:val="24"/>
                  </w:rPr>
                  <w:t xml:space="preserve">______________________________________ </w:t>
                </w:r>
              </w:p>
              <w:p w:rsidR="000363B9" w:rsidRDefault="00E82DB0">
                <w:pPr>
                  <w:ind w:firstLine="620"/>
                  <w:rPr>
                    <w:color w:val="000000"/>
                    <w:szCs w:val="24"/>
                  </w:rPr>
                </w:pPr>
                <w:r>
                  <w:rPr>
                    <w:i/>
                    <w:iCs/>
                    <w:color w:val="000000"/>
                    <w:szCs w:val="24"/>
                  </w:rPr>
                  <w:t xml:space="preserve">(vertintojo tiesioginis vadovas) </w:t>
                </w:r>
              </w:p>
            </w:tc>
            <w:tc>
              <w:tcPr>
                <w:tcW w:w="3255" w:type="dxa"/>
                <w:gridSpan w:val="2"/>
              </w:tcPr>
              <w:p w:rsidR="000363B9" w:rsidRDefault="00E82DB0">
                <w:pPr>
                  <w:rPr>
                    <w:color w:val="000000"/>
                    <w:szCs w:val="24"/>
                  </w:rPr>
                </w:pPr>
                <w:r>
                  <w:rPr>
                    <w:i/>
                    <w:iCs/>
                    <w:color w:val="000000"/>
                    <w:szCs w:val="24"/>
                  </w:rPr>
                  <w:t xml:space="preserve">____________ </w:t>
                </w:r>
              </w:p>
              <w:p w:rsidR="000363B9" w:rsidRDefault="00E82DB0">
                <w:pPr>
                  <w:ind w:firstLine="248"/>
                  <w:rPr>
                    <w:color w:val="000000"/>
                    <w:szCs w:val="24"/>
                  </w:rPr>
                </w:pPr>
                <w:r>
                  <w:rPr>
                    <w:i/>
                    <w:iCs/>
                    <w:color w:val="000000"/>
                    <w:szCs w:val="24"/>
                  </w:rPr>
                  <w:t xml:space="preserve">(parašas) </w:t>
                </w:r>
              </w:p>
            </w:tc>
            <w:tc>
              <w:tcPr>
                <w:tcW w:w="3257" w:type="dxa"/>
                <w:gridSpan w:val="2"/>
              </w:tcPr>
              <w:p w:rsidR="000363B9" w:rsidRDefault="00E82DB0">
                <w:pPr>
                  <w:rPr>
                    <w:color w:val="000000"/>
                    <w:szCs w:val="24"/>
                  </w:rPr>
                </w:pPr>
                <w:r>
                  <w:rPr>
                    <w:i/>
                    <w:iCs/>
                    <w:color w:val="000000"/>
                    <w:szCs w:val="24"/>
                  </w:rPr>
                  <w:t xml:space="preserve">____________ </w:t>
                </w:r>
              </w:p>
              <w:p w:rsidR="000363B9" w:rsidRDefault="00E82DB0">
                <w:pPr>
                  <w:ind w:firstLine="434"/>
                  <w:rPr>
                    <w:color w:val="000000"/>
                    <w:szCs w:val="24"/>
                  </w:rPr>
                </w:pPr>
                <w:r>
                  <w:rPr>
                    <w:i/>
                    <w:iCs/>
                    <w:color w:val="000000"/>
                    <w:szCs w:val="24"/>
                  </w:rPr>
                  <w:t xml:space="preserve">(data) </w:t>
                </w:r>
              </w:p>
            </w:tc>
          </w:tr>
        </w:tbl>
        <w:p w:rsidR="000363B9" w:rsidRDefault="000363B9">
          <w:pPr>
            <w:spacing w:line="276" w:lineRule="auto"/>
            <w:jc w:val="center"/>
            <w:rPr>
              <w:szCs w:val="24"/>
            </w:rPr>
          </w:pPr>
        </w:p>
        <w:sdt>
          <w:sdtPr>
            <w:rPr>
              <w:szCs w:val="24"/>
            </w:rPr>
            <w:alias w:val="pabaiga"/>
            <w:tag w:val="part_0867198d9368404ca869f0260d872189"/>
            <w:id w:val="718787056"/>
            <w:lock w:val="sdtLocked"/>
            <w:placeholder>
              <w:docPart w:val="DefaultPlaceholder_-1854013440"/>
            </w:placeholder>
          </w:sdtPr>
          <w:sdtEndPr>
            <w:rPr>
              <w:rFonts w:ascii="Calibri" w:eastAsia="Calibri" w:hAnsi="Calibri"/>
            </w:rPr>
          </w:sdtEndPr>
          <w:sdtContent>
            <w:bookmarkStart w:id="0" w:name="_GoBack" w:displacedByCustomXml="prev"/>
            <w:p w:rsidR="000363B9" w:rsidRDefault="00E82DB0">
              <w:pPr>
                <w:spacing w:line="276" w:lineRule="auto"/>
                <w:jc w:val="center"/>
                <w:rPr>
                  <w:szCs w:val="24"/>
                  <w:lang w:val="pl-PL"/>
                </w:rPr>
              </w:pPr>
              <w:r>
                <w:rPr>
                  <w:szCs w:val="24"/>
                </w:rPr>
                <w:t>_______________________________</w:t>
              </w:r>
            </w:p>
            <w:p w:rsidR="000363B9" w:rsidRDefault="00565853">
              <w:pPr>
                <w:spacing w:line="276" w:lineRule="auto"/>
                <w:rPr>
                  <w:rFonts w:ascii="Calibri" w:eastAsia="Calibri" w:hAnsi="Calibri"/>
                  <w:szCs w:val="24"/>
                </w:rPr>
              </w:pPr>
            </w:p>
            <w:bookmarkEnd w:id="0" w:displacedByCustomXml="next"/>
          </w:sdtContent>
        </w:sdt>
      </w:sdtContent>
    </w:sdt>
    <w:sectPr w:rsidR="000363B9">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63B9" w:rsidRDefault="00E82DB0">
      <w:r>
        <w:separator/>
      </w:r>
    </w:p>
  </w:endnote>
  <w:endnote w:type="continuationSeparator" w:id="0">
    <w:p w:rsidR="000363B9" w:rsidRDefault="00E82DB0">
      <w:r>
        <w:continuationSeparator/>
      </w:r>
    </w:p>
  </w:endnote>
  <w:endnote w:type="continuationNotice" w:id="1">
    <w:p w:rsidR="000363B9" w:rsidRDefault="000363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63B9" w:rsidRDefault="00E82DB0">
      <w:r>
        <w:separator/>
      </w:r>
    </w:p>
  </w:footnote>
  <w:footnote w:type="continuationSeparator" w:id="0">
    <w:p w:rsidR="000363B9" w:rsidRDefault="00E82DB0">
      <w:r>
        <w:continuationSeparator/>
      </w:r>
    </w:p>
  </w:footnote>
  <w:footnote w:type="continuationNotice" w:id="1">
    <w:p w:rsidR="000363B9" w:rsidRDefault="000363B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E82DB0">
    <w:pPr>
      <w:tabs>
        <w:tab w:val="center" w:pos="4819"/>
        <w:tab w:val="right" w:pos="9638"/>
      </w:tabs>
      <w:jc w:val="center"/>
    </w:pPr>
    <w:r>
      <w:fldChar w:fldCharType="begin"/>
    </w:r>
    <w:r>
      <w:instrText>PAGE   \* MERGEFORMAT</w:instrText>
    </w:r>
    <w:r>
      <w:fldChar w:fldCharType="separate"/>
    </w:r>
    <w:r w:rsidR="00565853">
      <w:rPr>
        <w:noProof/>
      </w:rPr>
      <w:t>2</w:t>
    </w:r>
    <w:r>
      <w:fldChar w:fldCharType="end"/>
    </w:r>
  </w:p>
  <w:p w:rsidR="000363B9" w:rsidRDefault="000363B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LcwNjY2tzQyNTexNDFR0lEKTi0uzszPAykwrAUAjv4T1iwAAAA="/>
  </w:docVars>
  <w:rsids>
    <w:rsidRoot w:val="008C627E"/>
    <w:rsid w:val="000363B9"/>
    <w:rsid w:val="00565853"/>
    <w:rsid w:val="008C627E"/>
    <w:rsid w:val="00E82D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2B20B7B"/>
  <w15:docId w15:val="{5B14DF61-09DD-46D9-8813-5426BF2F9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2DB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969732">
      <w:bodyDiv w:val="1"/>
      <w:marLeft w:val="0"/>
      <w:marRight w:val="0"/>
      <w:marTop w:val="0"/>
      <w:marBottom w:val="0"/>
      <w:divBdr>
        <w:top w:val="none" w:sz="0" w:space="0" w:color="auto"/>
        <w:left w:val="none" w:sz="0" w:space="0" w:color="auto"/>
        <w:bottom w:val="none" w:sz="0" w:space="0" w:color="auto"/>
        <w:right w:val="none" w:sz="0" w:space="0" w:color="auto"/>
      </w:divBdr>
    </w:div>
    <w:div w:id="458573735">
      <w:bodyDiv w:val="1"/>
      <w:marLeft w:val="0"/>
      <w:marRight w:val="0"/>
      <w:marTop w:val="0"/>
      <w:marBottom w:val="0"/>
      <w:divBdr>
        <w:top w:val="none" w:sz="0" w:space="0" w:color="auto"/>
        <w:left w:val="none" w:sz="0" w:space="0" w:color="auto"/>
        <w:bottom w:val="none" w:sz="0" w:space="0" w:color="auto"/>
        <w:right w:val="none" w:sz="0" w:space="0" w:color="auto"/>
      </w:divBdr>
    </w:div>
    <w:div w:id="462115751">
      <w:bodyDiv w:val="1"/>
      <w:marLeft w:val="0"/>
      <w:marRight w:val="0"/>
      <w:marTop w:val="0"/>
      <w:marBottom w:val="0"/>
      <w:divBdr>
        <w:top w:val="none" w:sz="0" w:space="0" w:color="auto"/>
        <w:left w:val="none" w:sz="0" w:space="0" w:color="auto"/>
        <w:bottom w:val="none" w:sz="0" w:space="0" w:color="auto"/>
        <w:right w:val="none" w:sz="0" w:space="0" w:color="auto"/>
      </w:divBdr>
      <w:divsChild>
        <w:div w:id="123699174">
          <w:marLeft w:val="0"/>
          <w:marRight w:val="0"/>
          <w:marTop w:val="0"/>
          <w:marBottom w:val="0"/>
          <w:divBdr>
            <w:top w:val="none" w:sz="0" w:space="0" w:color="auto"/>
            <w:left w:val="none" w:sz="0" w:space="0" w:color="auto"/>
            <w:bottom w:val="none" w:sz="0" w:space="0" w:color="auto"/>
            <w:right w:val="none" w:sz="0" w:space="0" w:color="auto"/>
          </w:divBdr>
        </w:div>
        <w:div w:id="1141383961">
          <w:marLeft w:val="0"/>
          <w:marRight w:val="0"/>
          <w:marTop w:val="0"/>
          <w:marBottom w:val="0"/>
          <w:divBdr>
            <w:top w:val="none" w:sz="0" w:space="0" w:color="auto"/>
            <w:left w:val="none" w:sz="0" w:space="0" w:color="auto"/>
            <w:bottom w:val="none" w:sz="0" w:space="0" w:color="auto"/>
            <w:right w:val="none" w:sz="0" w:space="0" w:color="auto"/>
          </w:divBdr>
        </w:div>
      </w:divsChild>
    </w:div>
    <w:div w:id="535389162">
      <w:bodyDiv w:val="1"/>
      <w:marLeft w:val="0"/>
      <w:marRight w:val="0"/>
      <w:marTop w:val="0"/>
      <w:marBottom w:val="0"/>
      <w:divBdr>
        <w:top w:val="none" w:sz="0" w:space="0" w:color="auto"/>
        <w:left w:val="none" w:sz="0" w:space="0" w:color="auto"/>
        <w:bottom w:val="none" w:sz="0" w:space="0" w:color="auto"/>
        <w:right w:val="none" w:sz="0" w:space="0" w:color="auto"/>
      </w:divBdr>
    </w:div>
    <w:div w:id="722292672">
      <w:bodyDiv w:val="1"/>
      <w:marLeft w:val="0"/>
      <w:marRight w:val="0"/>
      <w:marTop w:val="0"/>
      <w:marBottom w:val="0"/>
      <w:divBdr>
        <w:top w:val="none" w:sz="0" w:space="0" w:color="auto"/>
        <w:left w:val="none" w:sz="0" w:space="0" w:color="auto"/>
        <w:bottom w:val="none" w:sz="0" w:space="0" w:color="auto"/>
        <w:right w:val="none" w:sz="0" w:space="0" w:color="auto"/>
      </w:divBdr>
    </w:div>
    <w:div w:id="763503183">
      <w:bodyDiv w:val="1"/>
      <w:marLeft w:val="0"/>
      <w:marRight w:val="0"/>
      <w:marTop w:val="0"/>
      <w:marBottom w:val="0"/>
      <w:divBdr>
        <w:top w:val="none" w:sz="0" w:space="0" w:color="auto"/>
        <w:left w:val="none" w:sz="0" w:space="0" w:color="auto"/>
        <w:bottom w:val="none" w:sz="0" w:space="0" w:color="auto"/>
        <w:right w:val="none" w:sz="0" w:space="0" w:color="auto"/>
      </w:divBdr>
      <w:divsChild>
        <w:div w:id="1166163166">
          <w:marLeft w:val="0"/>
          <w:marRight w:val="0"/>
          <w:marTop w:val="0"/>
          <w:marBottom w:val="0"/>
          <w:divBdr>
            <w:top w:val="none" w:sz="0" w:space="0" w:color="auto"/>
            <w:left w:val="none" w:sz="0" w:space="0" w:color="auto"/>
            <w:bottom w:val="none" w:sz="0" w:space="0" w:color="auto"/>
            <w:right w:val="none" w:sz="0" w:space="0" w:color="auto"/>
          </w:divBdr>
        </w:div>
        <w:div w:id="1497498636">
          <w:marLeft w:val="0"/>
          <w:marRight w:val="0"/>
          <w:marTop w:val="0"/>
          <w:marBottom w:val="0"/>
          <w:divBdr>
            <w:top w:val="none" w:sz="0" w:space="0" w:color="auto"/>
            <w:left w:val="none" w:sz="0" w:space="0" w:color="auto"/>
            <w:bottom w:val="none" w:sz="0" w:space="0" w:color="auto"/>
            <w:right w:val="none" w:sz="0" w:space="0" w:color="auto"/>
          </w:divBdr>
        </w:div>
      </w:divsChild>
    </w:div>
    <w:div w:id="822623145">
      <w:bodyDiv w:val="1"/>
      <w:marLeft w:val="0"/>
      <w:marRight w:val="0"/>
      <w:marTop w:val="0"/>
      <w:marBottom w:val="0"/>
      <w:divBdr>
        <w:top w:val="none" w:sz="0" w:space="0" w:color="auto"/>
        <w:left w:val="none" w:sz="0" w:space="0" w:color="auto"/>
        <w:bottom w:val="none" w:sz="0" w:space="0" w:color="auto"/>
        <w:right w:val="none" w:sz="0" w:space="0" w:color="auto"/>
      </w:divBdr>
    </w:div>
    <w:div w:id="875697162">
      <w:bodyDiv w:val="1"/>
      <w:marLeft w:val="0"/>
      <w:marRight w:val="0"/>
      <w:marTop w:val="0"/>
      <w:marBottom w:val="0"/>
      <w:divBdr>
        <w:top w:val="none" w:sz="0" w:space="0" w:color="auto"/>
        <w:left w:val="none" w:sz="0" w:space="0" w:color="auto"/>
        <w:bottom w:val="none" w:sz="0" w:space="0" w:color="auto"/>
        <w:right w:val="none" w:sz="0" w:space="0" w:color="auto"/>
      </w:divBdr>
    </w:div>
    <w:div w:id="917399816">
      <w:bodyDiv w:val="1"/>
      <w:marLeft w:val="0"/>
      <w:marRight w:val="0"/>
      <w:marTop w:val="0"/>
      <w:marBottom w:val="0"/>
      <w:divBdr>
        <w:top w:val="none" w:sz="0" w:space="0" w:color="auto"/>
        <w:left w:val="none" w:sz="0" w:space="0" w:color="auto"/>
        <w:bottom w:val="none" w:sz="0" w:space="0" w:color="auto"/>
        <w:right w:val="none" w:sz="0" w:space="0" w:color="auto"/>
      </w:divBdr>
    </w:div>
    <w:div w:id="933245084">
      <w:bodyDiv w:val="1"/>
      <w:marLeft w:val="0"/>
      <w:marRight w:val="0"/>
      <w:marTop w:val="0"/>
      <w:marBottom w:val="0"/>
      <w:divBdr>
        <w:top w:val="none" w:sz="0" w:space="0" w:color="auto"/>
        <w:left w:val="none" w:sz="0" w:space="0" w:color="auto"/>
        <w:bottom w:val="none" w:sz="0" w:space="0" w:color="auto"/>
        <w:right w:val="none" w:sz="0" w:space="0" w:color="auto"/>
      </w:divBdr>
    </w:div>
    <w:div w:id="1035303416">
      <w:bodyDiv w:val="1"/>
      <w:marLeft w:val="0"/>
      <w:marRight w:val="0"/>
      <w:marTop w:val="0"/>
      <w:marBottom w:val="0"/>
      <w:divBdr>
        <w:top w:val="none" w:sz="0" w:space="0" w:color="auto"/>
        <w:left w:val="none" w:sz="0" w:space="0" w:color="auto"/>
        <w:bottom w:val="none" w:sz="0" w:space="0" w:color="auto"/>
        <w:right w:val="none" w:sz="0" w:space="0" w:color="auto"/>
      </w:divBdr>
    </w:div>
    <w:div w:id="1165777004">
      <w:bodyDiv w:val="1"/>
      <w:marLeft w:val="0"/>
      <w:marRight w:val="0"/>
      <w:marTop w:val="0"/>
      <w:marBottom w:val="0"/>
      <w:divBdr>
        <w:top w:val="none" w:sz="0" w:space="0" w:color="auto"/>
        <w:left w:val="none" w:sz="0" w:space="0" w:color="auto"/>
        <w:bottom w:val="none" w:sz="0" w:space="0" w:color="auto"/>
        <w:right w:val="none" w:sz="0" w:space="0" w:color="auto"/>
      </w:divBdr>
    </w:div>
    <w:div w:id="1232041895">
      <w:bodyDiv w:val="1"/>
      <w:marLeft w:val="0"/>
      <w:marRight w:val="0"/>
      <w:marTop w:val="0"/>
      <w:marBottom w:val="0"/>
      <w:divBdr>
        <w:top w:val="none" w:sz="0" w:space="0" w:color="auto"/>
        <w:left w:val="none" w:sz="0" w:space="0" w:color="auto"/>
        <w:bottom w:val="none" w:sz="0" w:space="0" w:color="auto"/>
        <w:right w:val="none" w:sz="0" w:space="0" w:color="auto"/>
      </w:divBdr>
    </w:div>
    <w:div w:id="1237401024">
      <w:bodyDiv w:val="1"/>
      <w:marLeft w:val="0"/>
      <w:marRight w:val="0"/>
      <w:marTop w:val="0"/>
      <w:marBottom w:val="0"/>
      <w:divBdr>
        <w:top w:val="none" w:sz="0" w:space="0" w:color="auto"/>
        <w:left w:val="none" w:sz="0" w:space="0" w:color="auto"/>
        <w:bottom w:val="none" w:sz="0" w:space="0" w:color="auto"/>
        <w:right w:val="none" w:sz="0" w:space="0" w:color="auto"/>
      </w:divBdr>
    </w:div>
    <w:div w:id="1260212715">
      <w:bodyDiv w:val="1"/>
      <w:marLeft w:val="0"/>
      <w:marRight w:val="0"/>
      <w:marTop w:val="0"/>
      <w:marBottom w:val="0"/>
      <w:divBdr>
        <w:top w:val="none" w:sz="0" w:space="0" w:color="auto"/>
        <w:left w:val="none" w:sz="0" w:space="0" w:color="auto"/>
        <w:bottom w:val="none" w:sz="0" w:space="0" w:color="auto"/>
        <w:right w:val="none" w:sz="0" w:space="0" w:color="auto"/>
      </w:divBdr>
    </w:div>
    <w:div w:id="1280991138">
      <w:bodyDiv w:val="1"/>
      <w:marLeft w:val="0"/>
      <w:marRight w:val="0"/>
      <w:marTop w:val="0"/>
      <w:marBottom w:val="0"/>
      <w:divBdr>
        <w:top w:val="none" w:sz="0" w:space="0" w:color="auto"/>
        <w:left w:val="none" w:sz="0" w:space="0" w:color="auto"/>
        <w:bottom w:val="none" w:sz="0" w:space="0" w:color="auto"/>
        <w:right w:val="none" w:sz="0" w:space="0" w:color="auto"/>
      </w:divBdr>
    </w:div>
    <w:div w:id="1431587901">
      <w:bodyDiv w:val="1"/>
      <w:marLeft w:val="0"/>
      <w:marRight w:val="0"/>
      <w:marTop w:val="0"/>
      <w:marBottom w:val="0"/>
      <w:divBdr>
        <w:top w:val="none" w:sz="0" w:space="0" w:color="auto"/>
        <w:left w:val="none" w:sz="0" w:space="0" w:color="auto"/>
        <w:bottom w:val="none" w:sz="0" w:space="0" w:color="auto"/>
        <w:right w:val="none" w:sz="0" w:space="0" w:color="auto"/>
      </w:divBdr>
    </w:div>
    <w:div w:id="1482962918">
      <w:bodyDiv w:val="1"/>
      <w:marLeft w:val="0"/>
      <w:marRight w:val="0"/>
      <w:marTop w:val="0"/>
      <w:marBottom w:val="0"/>
      <w:divBdr>
        <w:top w:val="none" w:sz="0" w:space="0" w:color="auto"/>
        <w:left w:val="none" w:sz="0" w:space="0" w:color="auto"/>
        <w:bottom w:val="none" w:sz="0" w:space="0" w:color="auto"/>
        <w:right w:val="none" w:sz="0" w:space="0" w:color="auto"/>
      </w:divBdr>
    </w:div>
    <w:div w:id="1534150165">
      <w:bodyDiv w:val="1"/>
      <w:marLeft w:val="0"/>
      <w:marRight w:val="0"/>
      <w:marTop w:val="0"/>
      <w:marBottom w:val="0"/>
      <w:divBdr>
        <w:top w:val="none" w:sz="0" w:space="0" w:color="auto"/>
        <w:left w:val="none" w:sz="0" w:space="0" w:color="auto"/>
        <w:bottom w:val="none" w:sz="0" w:space="0" w:color="auto"/>
        <w:right w:val="none" w:sz="0" w:space="0" w:color="auto"/>
      </w:divBdr>
    </w:div>
    <w:div w:id="1560242102">
      <w:bodyDiv w:val="1"/>
      <w:marLeft w:val="0"/>
      <w:marRight w:val="0"/>
      <w:marTop w:val="0"/>
      <w:marBottom w:val="0"/>
      <w:divBdr>
        <w:top w:val="none" w:sz="0" w:space="0" w:color="auto"/>
        <w:left w:val="none" w:sz="0" w:space="0" w:color="auto"/>
        <w:bottom w:val="none" w:sz="0" w:space="0" w:color="auto"/>
        <w:right w:val="none" w:sz="0" w:space="0" w:color="auto"/>
      </w:divBdr>
      <w:divsChild>
        <w:div w:id="283342042">
          <w:marLeft w:val="0"/>
          <w:marRight w:val="0"/>
          <w:marTop w:val="0"/>
          <w:marBottom w:val="0"/>
          <w:divBdr>
            <w:top w:val="none" w:sz="0" w:space="0" w:color="auto"/>
            <w:left w:val="none" w:sz="0" w:space="0" w:color="auto"/>
            <w:bottom w:val="none" w:sz="0" w:space="0" w:color="auto"/>
            <w:right w:val="none" w:sz="0" w:space="0" w:color="auto"/>
          </w:divBdr>
          <w:divsChild>
            <w:div w:id="1794710287">
              <w:marLeft w:val="0"/>
              <w:marRight w:val="0"/>
              <w:marTop w:val="0"/>
              <w:marBottom w:val="450"/>
              <w:divBdr>
                <w:top w:val="none" w:sz="0" w:space="0" w:color="auto"/>
                <w:left w:val="none" w:sz="0" w:space="0" w:color="auto"/>
                <w:bottom w:val="none" w:sz="0" w:space="0" w:color="auto"/>
                <w:right w:val="none" w:sz="0" w:space="0" w:color="auto"/>
              </w:divBdr>
              <w:divsChild>
                <w:div w:id="846209306">
                  <w:marLeft w:val="0"/>
                  <w:marRight w:val="0"/>
                  <w:marTop w:val="0"/>
                  <w:marBottom w:val="0"/>
                  <w:divBdr>
                    <w:top w:val="none" w:sz="0" w:space="0" w:color="auto"/>
                    <w:left w:val="none" w:sz="0" w:space="0" w:color="auto"/>
                    <w:bottom w:val="none" w:sz="0" w:space="0" w:color="auto"/>
                    <w:right w:val="none" w:sz="0" w:space="0" w:color="auto"/>
                  </w:divBdr>
                  <w:divsChild>
                    <w:div w:id="1505825881">
                      <w:marLeft w:val="0"/>
                      <w:marRight w:val="0"/>
                      <w:marTop w:val="0"/>
                      <w:marBottom w:val="0"/>
                      <w:divBdr>
                        <w:top w:val="none" w:sz="0" w:space="0" w:color="auto"/>
                        <w:left w:val="none" w:sz="0" w:space="0" w:color="auto"/>
                        <w:bottom w:val="none" w:sz="0" w:space="0" w:color="auto"/>
                        <w:right w:val="none" w:sz="0" w:space="0" w:color="auto"/>
                      </w:divBdr>
                      <w:divsChild>
                        <w:div w:id="65136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249435">
      <w:bodyDiv w:val="1"/>
      <w:marLeft w:val="0"/>
      <w:marRight w:val="0"/>
      <w:marTop w:val="0"/>
      <w:marBottom w:val="0"/>
      <w:divBdr>
        <w:top w:val="none" w:sz="0" w:space="0" w:color="auto"/>
        <w:left w:val="none" w:sz="0" w:space="0" w:color="auto"/>
        <w:bottom w:val="none" w:sz="0" w:space="0" w:color="auto"/>
        <w:right w:val="none" w:sz="0" w:space="0" w:color="auto"/>
      </w:divBdr>
    </w:div>
    <w:div w:id="1811365611">
      <w:bodyDiv w:val="1"/>
      <w:marLeft w:val="0"/>
      <w:marRight w:val="0"/>
      <w:marTop w:val="0"/>
      <w:marBottom w:val="0"/>
      <w:divBdr>
        <w:top w:val="none" w:sz="0" w:space="0" w:color="auto"/>
        <w:left w:val="none" w:sz="0" w:space="0" w:color="auto"/>
        <w:bottom w:val="none" w:sz="0" w:space="0" w:color="auto"/>
        <w:right w:val="none" w:sz="0" w:space="0" w:color="auto"/>
      </w:divBdr>
      <w:divsChild>
        <w:div w:id="473379432">
          <w:marLeft w:val="0"/>
          <w:marRight w:val="0"/>
          <w:marTop w:val="0"/>
          <w:marBottom w:val="0"/>
          <w:divBdr>
            <w:top w:val="none" w:sz="0" w:space="0" w:color="auto"/>
            <w:left w:val="none" w:sz="0" w:space="0" w:color="auto"/>
            <w:bottom w:val="none" w:sz="0" w:space="0" w:color="auto"/>
            <w:right w:val="none" w:sz="0" w:space="0" w:color="auto"/>
          </w:divBdr>
          <w:divsChild>
            <w:div w:id="436558318">
              <w:marLeft w:val="0"/>
              <w:marRight w:val="0"/>
              <w:marTop w:val="0"/>
              <w:marBottom w:val="0"/>
              <w:divBdr>
                <w:top w:val="none" w:sz="0" w:space="0" w:color="auto"/>
                <w:left w:val="none" w:sz="0" w:space="0" w:color="auto"/>
                <w:bottom w:val="none" w:sz="0" w:space="0" w:color="auto"/>
                <w:right w:val="none" w:sz="0" w:space="0" w:color="auto"/>
              </w:divBdr>
              <w:divsChild>
                <w:div w:id="124414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382985">
          <w:marLeft w:val="0"/>
          <w:marRight w:val="0"/>
          <w:marTop w:val="0"/>
          <w:marBottom w:val="0"/>
          <w:divBdr>
            <w:top w:val="none" w:sz="0" w:space="0" w:color="auto"/>
            <w:left w:val="none" w:sz="0" w:space="0" w:color="auto"/>
            <w:bottom w:val="none" w:sz="0" w:space="0" w:color="auto"/>
            <w:right w:val="none" w:sz="0" w:space="0" w:color="auto"/>
          </w:divBdr>
          <w:divsChild>
            <w:div w:id="1526401427">
              <w:marLeft w:val="0"/>
              <w:marRight w:val="0"/>
              <w:marTop w:val="0"/>
              <w:marBottom w:val="0"/>
              <w:divBdr>
                <w:top w:val="none" w:sz="0" w:space="0" w:color="auto"/>
                <w:left w:val="none" w:sz="0" w:space="0" w:color="auto"/>
                <w:bottom w:val="none" w:sz="0" w:space="0" w:color="auto"/>
                <w:right w:val="none" w:sz="0" w:space="0" w:color="auto"/>
              </w:divBdr>
              <w:divsChild>
                <w:div w:id="122618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866792">
      <w:bodyDiv w:val="1"/>
      <w:marLeft w:val="0"/>
      <w:marRight w:val="0"/>
      <w:marTop w:val="0"/>
      <w:marBottom w:val="0"/>
      <w:divBdr>
        <w:top w:val="none" w:sz="0" w:space="0" w:color="auto"/>
        <w:left w:val="none" w:sz="0" w:space="0" w:color="auto"/>
        <w:bottom w:val="none" w:sz="0" w:space="0" w:color="auto"/>
        <w:right w:val="none" w:sz="0" w:space="0" w:color="auto"/>
      </w:divBdr>
    </w:div>
    <w:div w:id="1869026824">
      <w:bodyDiv w:val="1"/>
      <w:marLeft w:val="0"/>
      <w:marRight w:val="0"/>
      <w:marTop w:val="0"/>
      <w:marBottom w:val="0"/>
      <w:divBdr>
        <w:top w:val="none" w:sz="0" w:space="0" w:color="auto"/>
        <w:left w:val="none" w:sz="0" w:space="0" w:color="auto"/>
        <w:bottom w:val="none" w:sz="0" w:space="0" w:color="auto"/>
        <w:right w:val="none" w:sz="0" w:space="0" w:color="auto"/>
      </w:divBdr>
    </w:div>
    <w:div w:id="1980107093">
      <w:bodyDiv w:val="1"/>
      <w:marLeft w:val="0"/>
      <w:marRight w:val="0"/>
      <w:marTop w:val="0"/>
      <w:marBottom w:val="0"/>
      <w:divBdr>
        <w:top w:val="none" w:sz="0" w:space="0" w:color="auto"/>
        <w:left w:val="none" w:sz="0" w:space="0" w:color="auto"/>
        <w:bottom w:val="none" w:sz="0" w:space="0" w:color="auto"/>
        <w:right w:val="none" w:sz="0" w:space="0" w:color="auto"/>
      </w:divBdr>
    </w:div>
    <w:div w:id="2001960385">
      <w:bodyDiv w:val="1"/>
      <w:marLeft w:val="0"/>
      <w:marRight w:val="0"/>
      <w:marTop w:val="0"/>
      <w:marBottom w:val="0"/>
      <w:divBdr>
        <w:top w:val="none" w:sz="0" w:space="0" w:color="auto"/>
        <w:left w:val="none" w:sz="0" w:space="0" w:color="auto"/>
        <w:bottom w:val="none" w:sz="0" w:space="0" w:color="auto"/>
        <w:right w:val="none" w:sz="0" w:space="0" w:color="auto"/>
      </w:divBdr>
    </w:div>
    <w:div w:id="21287729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CE6929D-8F72-4E30-B162-19DE195304F6}"/>
      </w:docPartPr>
      <w:docPartBody>
        <w:p w:rsidR="00416943" w:rsidRDefault="0080451D">
          <w:r w:rsidRPr="0037771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451D"/>
    <w:rsid w:val="00416943"/>
    <w:rsid w:val="008045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0451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7" Abbr="7 pr." Title="2022–2030 M. PLĖTROS PROGRAMOS VALDYTOJOS LIETUVOS RESPUBLIKOS ŠVIETIMO, MOKSLO IR SPORTO MINISTERIJOS MOKSLO PLĖTROS PROGRAMOS PAŽANGOS PRIEMONĖS NR. 12-001-01-02-01 „STIPRINTI INOVACIJŲ EKOSISTEMAS MOKSLO CENTRUOSE“ PROJEKTŲ FINANSAVIMO SĄLYGŲ APRAŠAS NR. 7" DocPartId="012f86c84a5c428ab6a09feeb3c1cf58" PartId="8451373599ae40ee9ec5af594d62cee0">
    <Part Type="pabaiga" DocPartId="a7983f1438f34fb6ad55399034780e9a" PartId="d6cbcb79fe8c4b9ca5fe0a02a927964f"/>
  </Part>
  <Part Type="priedas" Nr="1" Abbr="1 pr." Title="PROJEKTO (ĮSKAITANT JUNGTINĮ PROJEKTĄ) ATITIKTIES REIKŠMINGOS ŽALOS NEDARYMO HORIZONTALIAJAM PRINCIPUI VERTINIMO REIKALAVIMŲ APRAŠAS" DocPartId="81ce5e43b2e34a36b71b1e06208c0002" PartId="37d8e86688be4709b1810584310e7df8">
    <Part Type="pabaiga" DocPartId="153e9fcd7ff349478cde38a2cc739476" PartId="20415406380c4c8087beaf19aef6a6c5"/>
  </Part>
  <Part Type="priedas" Nr="2" Abbr="2 pr." Title="INFORMACIJOS, REIKALINGOS PROJEKTO ATITIKČIAI SUMANIOSIOS SPECIALIZACIJOS KONCEPCIJAI ĮVERTINTI, FORMA" DocPartId="8e76c2666704418691c5117fd714bff0" PartId="be48617e922a443694fb72323eadab5b">
    <Part Type="pabaiga" DocPartId="bbdef087c76147aabd10d8d243be05f8" PartId="191ea64f998f4255970fba5ed916294d"/>
  </Part>
  <Part Type="priedas" Nr="3" Abbr="3 pr." Title="ATITIKTIES DE MINIMIS PAGALBOS TAISYKLĖMS PATIKROS LAPAS" DocPartId="9ceefe28300e4865a1eb07ea353b2215" PartId="057e0a673f48467b82c6b1010b252873">
    <Part Type="pabaiga" DocPartId="7ca298caadce433a9b7c92ec26fe2d02" PartId="cdc605cba72b443a9bb09658ea31e705"/>
  </Part>
  <Part Type="priedas" Nr="4" Abbr="4 pr." Title="ATITIKTIES VALSTYBĖS PAGALBOS TAISYKLĖMS PATIKROS LAPAS" DocPartId="6f80734ee6804eb59bec3e7a136c1507" PartId="bdbc9b95c5b745acb06faea39c66b49c">
    <Part Type="pabaiga" DocPartId="36a29192059143d79d1d865bb5dfdf2d" PartId="0867198d9368404ca869f0260d87218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B62911-1CA9-4E00-A4E2-4CB98BF0FDE4}">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015C5D4C-A1EC-4CDE-945C-F428A1FA8B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03A47C-5F31-454B-9FFA-59C7138B0C84}">
  <ds:schemaRefs>
    <ds:schemaRef ds:uri="http://schemas.microsoft.com/sharepoint/v3/contenttype/forms"/>
  </ds:schemaRefs>
</ds:datastoreItem>
</file>

<file path=customXml/itemProps4.xml><?xml version="1.0" encoding="utf-8"?>
<ds:datastoreItem xmlns:ds="http://schemas.openxmlformats.org/officeDocument/2006/customXml" ds:itemID="{B2BF089C-7CB8-4BA0-A125-78E76183A7F8}">
  <ds:schemaRefs>
    <ds:schemaRef ds:uri="http://lrs.lt/TAIS/DocParts"/>
  </ds:schemaRefs>
</ds:datastoreItem>
</file>

<file path=customXml/itemProps5.xml><?xml version="1.0" encoding="utf-8"?>
<ds:datastoreItem xmlns:ds="http://schemas.openxmlformats.org/officeDocument/2006/customXml" ds:itemID="{41E42C8C-0A33-4C67-96F9-15BF930FA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23</Pages>
  <Words>27877</Words>
  <Characters>15890</Characters>
  <Application>Microsoft Office Word</Application>
  <DocSecurity>0</DocSecurity>
  <Lines>132</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27a3c340-fcf2-4403-a87d-15551dce8f24</vt:lpstr>
      <vt:lpstr>27a3c340-fcf2-4403-a87d-15551dce8f24</vt:lpstr>
    </vt:vector>
  </TitlesOfParts>
  <Company/>
  <LinksUpToDate>false</LinksUpToDate>
  <CharactersWithSpaces>43680</CharactersWithSpaces>
  <SharedDoc>false</SharedDoc>
  <HyperlinkBase/>
  <HLinks>
    <vt:vector size="18" baseType="variant">
      <vt:variant>
        <vt:i4>5046279</vt:i4>
      </vt:variant>
      <vt:variant>
        <vt:i4>0</vt:i4>
      </vt:variant>
      <vt:variant>
        <vt:i4>0</vt:i4>
      </vt:variant>
      <vt:variant>
        <vt:i4>5</vt:i4>
      </vt:variant>
      <vt:variant>
        <vt:lpwstr>http://www.esinvesticijos.lt/lt/dokumentai/vienos-imones-deklaracijos-pagal-komisijos-reglamenta-es-nr-1407-2013</vt:lpwstr>
      </vt:variant>
      <vt:variant>
        <vt:lpwstr/>
      </vt:variant>
      <vt:variant>
        <vt:i4>1572892</vt:i4>
      </vt:variant>
      <vt:variant>
        <vt:i4>3</vt:i4>
      </vt:variant>
      <vt:variant>
        <vt:i4>0</vt:i4>
      </vt:variant>
      <vt:variant>
        <vt:i4>5</vt:i4>
      </vt:variant>
      <vt:variant>
        <vt:lpwstr>https://www.esf.lt/lt/dokumentai-ir-leidiniai/metodines-pagalbos-centras/803</vt:lpwstr>
      </vt:variant>
      <vt:variant>
        <vt:lpwstr/>
      </vt:variant>
      <vt:variant>
        <vt:i4>3801112</vt:i4>
      </vt:variant>
      <vt:variant>
        <vt:i4>0</vt:i4>
      </vt:variant>
      <vt:variant>
        <vt:i4>0</vt:i4>
      </vt:variant>
      <vt:variant>
        <vt:i4>5</vt:i4>
      </vt:variant>
      <vt:variant>
        <vt:lpwstr>https://eur-lex.europa.eu/legal-content/LT/TXT/HTML/?uri=CELEX:32014R0651&amp;from=LT</vt:lpwstr>
      </vt:variant>
      <vt:variant>
        <vt:lpwstr>ntr40-L_2014187LT.01000101-E0040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27a3c340-fcf2-4403-a87d-15551dce8f24</dc:title>
  <dc:creator>Gitana Cieminienė</dc:creator>
  <cp:lastModifiedBy>JŪRĖNIENĖ Jolanta</cp:lastModifiedBy>
  <cp:revision>4</cp:revision>
  <cp:lastPrinted>2023-01-18T12:16:00Z</cp:lastPrinted>
  <dcterms:created xsi:type="dcterms:W3CDTF">2023-06-08T11:35:00Z</dcterms:created>
  <dcterms:modified xsi:type="dcterms:W3CDTF">2023-06-08T12:25:00Z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MediaServiceImageTags">
    <vt:lpwstr/>
  </property>
  <property fmtid="{D5CDD505-2E9C-101B-9397-08002B2CF9AE}" pid="4" name="GrammarlyDocumentId">
    <vt:lpwstr>0fadc7242014d3c2adf638054eec6c87081628b2cec26011dbb92e884e06a858</vt:lpwstr>
  </property>
  <property fmtid="{D5CDD505-2E9C-101B-9397-08002B2CF9AE}" pid="5" name="DmsPermissionsFlags">
    <vt:lpwstr>,SECTRUE,</vt:lpwstr>
  </property>
  <property fmtid="{D5CDD505-2E9C-101B-9397-08002B2CF9AE}" pid="6" name="DmsPermissionsDivisions">
    <vt:lpwstr/>
  </property>
  <property fmtid="{D5CDD505-2E9C-101B-9397-08002B2CF9AE}" pid="7" name="DmsPermissionsUsers">
    <vt:lpwstr>827;#Marija Samavičiūtė;#1119;#Mantas Bernotas;#1096;#Gytis Petrukaitis;#166;#Margarita Kairienė;#63;#Eglė Vizbarė</vt:lpwstr>
  </property>
  <property fmtid="{D5CDD505-2E9C-101B-9397-08002B2CF9AE}" pid="8" name="TaxCatchAll">
    <vt:lpwstr/>
  </property>
</Properties>
</file>