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92e96a57990425fb7d6696ee3516dbc"/>
        <w:lock w:val="sdtLocked"/>
        <w:richText/>
      </w:sdtPr>
      <w:sdtContent>
        <w:p>
          <w:pPr>
            <w:tabs>
              <w:tab w:val="center" w:pos="4320"/>
              <w:tab w:val="right" w:pos="8640"/>
            </w:tabs>
            <w:rPr>
              <w:rFonts w:ascii="Calibri" w:hAnsi="Calibri"/>
              <w:lang w:eastAsia="lt-LT"/>
            </w:rPr>
          </w:pPr>
        </w:p>
        <w:p>
          <w:pPr>
            <w:tabs>
              <w:tab w:val="center" w:pos="4320"/>
              <w:tab w:val="right" w:pos="8640"/>
            </w:tabs>
            <w:rPr>
              <w:rFonts w:ascii="Calibri" w:hAnsi="Calibri"/>
              <w:lang w:eastAsia="lt-LT"/>
            </w:rPr>
          </w:pPr>
        </w:p>
      </w:sdtContent>
    </w:sdt>
    <w:sdt>
      <w:sdtPr>
        <w:alias w:val="patvirtinta"/>
        <w:tag w:val="part_0c42429e949d4407a7a18265fb8bc59b"/>
        <w:lock w:val="sdtLocked"/>
        <w:richText/>
      </w:sdtPr>
      <w:sdtContent>
        <w:p>
          <w:pPr>
            <w:ind w:left="5760"/>
            <w:rPr>
              <w:rFonts w:ascii="Calibri" w:hAnsi="Calibri"/>
              <w:lang w:eastAsia="lt-LT"/>
            </w:rPr>
          </w:pPr>
          <w:r>
            <w:rPr>
              <w:szCs w:val="24"/>
              <w:lang w:eastAsia="lt-LT"/>
            </w:rPr>
            <w:t xml:space="preserve">PATVIRTINTA                                </w:t>
            <w:tab/>
            <w:t xml:space="preserve">                                                                            Telšių rajono savivaldybės administracijos                                           direktoriaus 2024 m. kovo 20 d. įsakymu Nr. A1-331</w:t>
          </w: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sdt>
          <w:sdtPr>
            <w:alias w:val="Pavadinimas"/>
            <w:tag w:val="title_0c42429e949d4407a7a18265fb8bc59b"/>
            <w:lock w:val="sdtLocked"/>
            <w:richText/>
          </w:sdtPr>
          <w:sdtContent>
            <w:p>
              <w:pPr>
                <w:jc w:val="center"/>
                <w:rPr>
                  <w:rFonts w:ascii="Calibri" w:hAnsi="Calibri"/>
                  <w:b/>
                  <w:color w:val="C00000"/>
                  <w:sz w:val="36"/>
                  <w:szCs w:val="36"/>
                  <w:lang w:eastAsia="lt-LT"/>
                </w:rPr>
              </w:pPr>
              <w:r>
                <w:rPr>
                  <w:rFonts w:ascii="Calibri" w:hAnsi="Calibri"/>
                  <w:b/>
                  <w:color w:val="C00000"/>
                  <w:sz w:val="36"/>
                  <w:szCs w:val="36"/>
                  <w:lang w:eastAsia="lt-LT"/>
                </w:rPr>
                <w:t>TELŠIŲ RAJONO SAVIVALDYBĖS VARTOTOJŲ PATENKINIMAS VIEŠOSIOMIS / ADMINISTRACINĖMIS PASLAUGOMIS</w:t>
              </w:r>
            </w:p>
            <w:p>
              <w:pPr>
                <w:jc w:val="center"/>
                <w:rPr>
                  <w:rFonts w:ascii="Calibri" w:hAnsi="Calibri"/>
                  <w:b/>
                  <w:color w:val="C00000"/>
                  <w:sz w:val="36"/>
                  <w:szCs w:val="36"/>
                  <w:lang w:eastAsia="lt-LT"/>
                </w:rPr>
              </w:pPr>
              <w:r>
                <w:rPr>
                  <w:rFonts w:ascii="Calibri" w:hAnsi="Calibri"/>
                  <w:b/>
                  <w:color w:val="C00000"/>
                  <w:sz w:val="36"/>
                  <w:szCs w:val="36"/>
                  <w:lang w:eastAsia="lt-LT"/>
                </w:rPr>
                <w:t>TYRIMO ATASKAITA</w:t>
              </w:r>
            </w:p>
          </w:sdtContent>
        </w:sdt>
        <w:p>
          <w:pPr>
            <w:rPr>
              <w:rFonts w:ascii="Calibri" w:hAnsi="Calibri"/>
              <w:lang w:eastAsia="lt-LT"/>
            </w:rPr>
          </w:pPr>
        </w:p>
        <w:p>
          <w:pPr>
            <w:rPr>
              <w:rFonts w:ascii="Calibri" w:hAnsi="Calibri"/>
              <w:lang w:eastAsia="lt-LT"/>
            </w:rPr>
          </w:pPr>
        </w:p>
        <w:p>
          <w:pPr>
            <w:rPr>
              <w:rFonts w:ascii="Calibri" w:hAnsi="Calibri"/>
              <w:lang w:eastAsia="lt-LT"/>
            </w:rPr>
          </w:pPr>
          <w:r>
            <w:rPr>
              <w:rFonts w:ascii="Calibri" w:hAnsi="Calibri"/>
              <w:lang w:val="en-US"/>
            </w:rPr>
            <w:drawing>
              <wp:anchor distT="0" distB="0" distL="114300" distR="114300" simplePos="0" relativeHeight="251657216" behindDoc="0" locked="0" layoutInCell="1" allowOverlap="1" wp14:anchorId="5C55A707" wp14:editId="5652EA98">
                <wp:simplePos x="0" y="0"/>
                <wp:positionH relativeFrom="column">
                  <wp:posOffset>1494790</wp:posOffset>
                </wp:positionH>
                <wp:positionV relativeFrom="paragraph">
                  <wp:posOffset>22860</wp:posOffset>
                </wp:positionV>
                <wp:extent cx="1262380" cy="1262380"/>
                <wp:effectExtent l="0" t="0" r="0" b="0"/>
                <wp:wrapSquare wrapText="bothSides"/>
                <wp:docPr id="105" name="Picture 6" descr="Vaizdo rezultatas pagal u&amp;zcaron;klaus&amp;aogon; „telši&amp;uogon; rajono savivaldyb&amp;ed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Vaizdo rezultatas pagal u&amp;zcaron;klaus&amp;aogon; „telši&amp;uogon; rajono savivaldyb&amp;edot;“"/>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62380" cy="1262380"/>
                        </a:xfrm>
                        <a:prstGeom prst="rect">
                          <a:avLst/>
                        </a:prstGeom>
                        <a:noFill/>
                        <a:ln>
                          <a:noFill/>
                        </a:ln>
                      </pic:spPr>
                    </pic:pic>
                  </a:graphicData>
                </a:graphic>
                <wp14:sizeRelH relativeFrom="page">
                  <wp14:pctWidth>0</wp14:pctWidth>
                </wp14:sizeRelH>
                <wp14:sizeRelV relativeFrom="page">
                  <wp14:pctHeight>0</wp14:pctHeight>
                </wp14:sizeRelV>
              </wp:anchor>
            </w:drawing>
          </w:r>
        </w:p>
        <w:p>
          <w:pPr>
            <w:rPr>
              <w:rFonts w:ascii="Calibri" w:hAnsi="Calibri"/>
              <w:lang w:eastAsia="lt-LT"/>
            </w:rPr>
          </w:pPr>
          <w:r>
            <w:rPr>
              <w:rFonts w:ascii="Calibri" w:hAnsi="Calibri"/>
              <w:lang w:val="en-US"/>
            </w:rPr>
            <w:drawing>
              <wp:anchor distT="0" distB="0" distL="114300" distR="114300" simplePos="0" relativeHeight="251656192" behindDoc="0" locked="0" layoutInCell="1" allowOverlap="1" wp14:anchorId="5CF5A46A" wp14:editId="5779E8D3">
                <wp:simplePos x="0" y="0"/>
                <wp:positionH relativeFrom="column">
                  <wp:posOffset>2927350</wp:posOffset>
                </wp:positionH>
                <wp:positionV relativeFrom="paragraph">
                  <wp:posOffset>62230</wp:posOffset>
                </wp:positionV>
                <wp:extent cx="1116330" cy="751205"/>
                <wp:effectExtent l="0" t="0" r="0" b="0"/>
                <wp:wrapSquare wrapText="bothSides"/>
                <wp:docPr id="64214967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l="11896" t="18555" r="26392" b="7565"/>
                        <a:stretch>
                          <a:fillRect/>
                        </a:stretch>
                      </pic:blipFill>
                      <pic:spPr bwMode="auto">
                        <a:xfrm>
                          <a:off x="0" y="0"/>
                          <a:ext cx="1116330" cy="751205"/>
                        </a:xfrm>
                        <a:prstGeom prst="rect">
                          <a:avLst/>
                        </a:prstGeom>
                        <a:noFill/>
                        <a:ln>
                          <a:noFill/>
                        </a:ln>
                      </pic:spPr>
                    </pic:pic>
                  </a:graphicData>
                </a:graphic>
                <wp14:sizeRelH relativeFrom="page">
                  <wp14:pctWidth>0</wp14:pctWidth>
                </wp14:sizeRelH>
                <wp14:sizeRelV relativeFrom="page">
                  <wp14:pctHeight>0</wp14:pctHeight>
                </wp14:sizeRelV>
              </wp:anchor>
            </w:drawing>
          </w: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jc w:val="right"/>
            <w:rPr>
              <w:rFonts w:ascii="Calibri" w:hAnsi="Calibri"/>
              <w:lang w:eastAsia="lt-LT"/>
            </w:rPr>
          </w:pPr>
          <w:r>
            <w:rPr>
              <w:rFonts w:ascii="Calibri" w:hAnsi="Calibri"/>
              <w:lang w:eastAsia="lt-LT"/>
            </w:rPr>
            <w:t xml:space="preserve">Užsakovas </w:t>
          </w:r>
        </w:p>
        <w:p>
          <w:pPr>
            <w:jc w:val="right"/>
            <w:rPr>
              <w:rFonts w:ascii="Calibri" w:hAnsi="Calibri"/>
              <w:lang w:eastAsia="lt-LT"/>
            </w:rPr>
          </w:pPr>
          <w:r>
            <w:rPr>
              <w:rFonts w:ascii="Calibri" w:hAnsi="Calibri"/>
              <w:lang w:eastAsia="lt-LT"/>
            </w:rPr>
            <w:t>Telšių rajono savivaldybės administracija</w:t>
          </w:r>
        </w:p>
        <w:p>
          <w:pPr>
            <w:rPr>
              <w:rFonts w:ascii="Calibri" w:hAnsi="Calibri"/>
              <w:lang w:eastAsia="lt-LT"/>
            </w:rPr>
          </w:pPr>
        </w:p>
        <w:p>
          <w:pPr>
            <w:rPr>
              <w:rFonts w:ascii="Calibri" w:hAnsi="Calibri"/>
              <w:lang w:eastAsia="lt-LT"/>
            </w:rPr>
          </w:pPr>
        </w:p>
        <w:p>
          <w:pPr>
            <w:jc w:val="right"/>
            <w:rPr>
              <w:rFonts w:ascii="Calibri" w:hAnsi="Calibri"/>
              <w:lang w:eastAsia="lt-LT"/>
            </w:rPr>
          </w:pPr>
          <w:r>
            <w:rPr>
              <w:rFonts w:ascii="Calibri" w:hAnsi="Calibri"/>
              <w:lang w:eastAsia="lt-LT"/>
            </w:rPr>
            <w:t>Rengėjas</w:t>
          </w:r>
        </w:p>
        <w:p>
          <w:pPr>
            <w:jc w:val="right"/>
            <w:rPr>
              <w:rFonts w:ascii="Calibri" w:hAnsi="Calibri"/>
              <w:lang w:eastAsia="lt-LT"/>
            </w:rPr>
          </w:pPr>
          <w:r>
            <w:rPr>
              <w:rFonts w:ascii="Calibri" w:hAnsi="Calibri"/>
              <w:lang w:eastAsia="lt-LT"/>
            </w:rPr>
            <w:t>UAB „Vadybos pokyčių konsultavimas“</w:t>
          </w: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jc w:val="center"/>
            <w:rPr>
              <w:rFonts w:ascii="Calibri" w:hAnsi="Calibri"/>
              <w:lang w:eastAsia="lt-LT"/>
            </w:rPr>
          </w:pPr>
          <w:r>
            <w:rPr>
              <w:rFonts w:ascii="Calibri" w:hAnsi="Calibri"/>
              <w:lang w:eastAsia="lt-LT"/>
            </w:rPr>
            <w:t>Vilnius, 2023 m.</w:t>
          </w:r>
        </w:p>
        <w:p>
          <w:pPr>
            <w:rPr>
              <w:sz w:val="20"/>
            </w:rPr>
          </w:pPr>
        </w:p>
        <w:sdt>
          <w:sdtPr>
            <w:alias w:val="skirsnis"/>
            <w:tag w:val="part_994c410e7e1e4b048d4cd91be7979626"/>
            <w:lock w:val="sdtLocked"/>
            <w:richText/>
          </w:sdtPr>
          <w:sdtContent>
            <w:p>
              <w:pPr>
                <w:rPr>
                  <w:rFonts w:ascii="Calibri" w:hAnsi="Calibri"/>
                  <w:b/>
                  <w:bCs/>
                  <w:color w:val="C00000"/>
                  <w:kern w:val="28"/>
                  <w:sz w:val="28"/>
                  <w:szCs w:val="28"/>
                  <w:lang w:eastAsia="lt-LT"/>
                </w:rPr>
              </w:pPr>
              <w:sdt>
                <w:sdtPr>
                  <w:alias w:val="Pavadinimas"/>
                  <w:tag w:val="title_994c410e7e1e4b048d4cd91be7979626"/>
                  <w:lock w:val="sdtLocked"/>
                  <w:richText/>
                </w:sdtPr>
                <w:sdtContent>
                  <w:r>
                    <w:rPr>
                      <w:rFonts w:ascii="Calibri" w:hAnsi="Calibri"/>
                      <w:b/>
                      <w:bCs/>
                      <w:color w:val="C00000"/>
                      <w:kern w:val="28"/>
                      <w:sz w:val="28"/>
                      <w:szCs w:val="28"/>
                      <w:lang w:eastAsia="lt-LT"/>
                    </w:rPr>
                    <w:t>ANOTACIJA</w:t>
                  </w:r>
                </w:sdtContent>
              </w:sdt>
            </w:p>
            <w:p>
              <w:pPr>
                <w:rPr>
                  <w:sz w:val="6"/>
                  <w:szCs w:val="6"/>
                </w:rPr>
              </w:pPr>
            </w:p>
            <w:p>
              <w:pPr>
                <w:rPr>
                  <w:rFonts w:ascii="Calibri" w:hAnsi="Calibri"/>
                  <w:b/>
                  <w:bCs/>
                  <w:color w:val="C00000"/>
                  <w:kern w:val="28"/>
                  <w:sz w:val="28"/>
                  <w:szCs w:val="32"/>
                  <w:lang w:eastAsia="lt-LT"/>
                </w:rPr>
              </w:pPr>
            </w:p>
            <w:p>
              <w:pPr>
                <w:spacing w:line="360" w:lineRule="auto"/>
                <w:ind w:firstLine="284"/>
                <w:jc w:val="both"/>
                <w:rPr>
                  <w:rFonts w:ascii="Calibri" w:hAnsi="Calibri"/>
                  <w:lang w:eastAsia="lt-LT"/>
                </w:rPr>
              </w:pPr>
              <w:r>
                <w:rPr>
                  <w:rFonts w:ascii="Calibri" w:hAnsi="Calibri"/>
                  <w:lang w:eastAsia="lt-LT"/>
                </w:rPr>
                <w:t xml:space="preserve">Šioje ataskaitoje pristatomas Telšių rajono gyventojų apklausos tyrimas, atliktas 2023 m. rugsėjo – spalio mėn. Tyrimas vykdytas pagal 2014–2020 m. ES fondų investicijų veiksmų programos 10 prioriteto „Visuomenės poreikius atitinkantis ir pažangus viešasis valdymas“ priemonę „Paslaugų ir asmenų aptarnavimo kokybės gerinimas savivaldybėse“ Nr. 10.1.3-ESFA-R-920, kurios tikslas – padidinti visuomenės pasitenkinimą savivaldybių viešojo valdymo institucijų teikiamoms paslaugomis ir asmenų aptarnavimu, savivaldybėse įgyvendinant paslaugų teikimo ir asmenų aptarnavimo kokybei gerinti skirtas priemones. </w:t>
              </w:r>
            </w:p>
            <w:p>
              <w:pPr>
                <w:spacing w:line="360" w:lineRule="auto"/>
                <w:ind w:firstLine="284"/>
                <w:jc w:val="both"/>
                <w:rPr>
                  <w:rFonts w:ascii="Calibri" w:hAnsi="Calibri"/>
                  <w:szCs w:val="24"/>
                  <w:lang w:eastAsia="lt-LT"/>
                </w:rPr>
              </w:pPr>
              <w:r>
                <w:rPr>
                  <w:rFonts w:ascii="Calibri" w:hAnsi="Calibri"/>
                  <w:lang w:eastAsia="lt-LT"/>
                </w:rPr>
                <w:t xml:space="preserve">Tyrimo, paskirtis – </w:t>
              </w:r>
              <w:r>
                <w:rPr>
                  <w:rFonts w:ascii="Calibri" w:hAnsi="Calibri"/>
                  <w:bCs/>
                  <w:kern w:val="28"/>
                  <w:szCs w:val="24"/>
                  <w:lang w:eastAsia="lt-LT"/>
                </w:rPr>
                <w:t xml:space="preserve">nustatyti vartotojų pasitenkinimą teikiamomis viešosiomis socialinėmis paslaugomis </w:t>
              </w:r>
              <w:r>
                <w:rPr>
                  <w:rFonts w:ascii="Calibri" w:hAnsi="Calibri"/>
                  <w:szCs w:val="24"/>
                  <w:lang w:eastAsia="lt-LT"/>
                </w:rPr>
                <w:t>Telšių rajono savivaldybėje.</w:t>
              </w:r>
              <w:r>
                <w:rPr>
                  <w:rFonts w:ascii="Calibri" w:hAnsi="Calibri"/>
                  <w:lang w:eastAsia="lt-LT"/>
                </w:rPr>
                <w:t xml:space="preserve"> </w:t>
              </w:r>
              <w:r>
                <w:rPr>
                  <w:rFonts w:ascii="Calibri" w:hAnsi="Calibri"/>
                  <w:szCs w:val="24"/>
                  <w:lang w:eastAsia="lt-LT"/>
                </w:rPr>
                <w:t>Gyventojų apklausa organizuota ir atlikta vadovaujantis Viešųjų paslaugų vartotojų patenkinimo indekso apskaičiavimo metodika, patvirtinta Lietuvos Respublikos vidaus reikalų ministro 2009 m. birželio 30 d. įsakymu Nr. 1V-339 „Dėl Viešųjų paslaugų vartotojų patenkinimo indekso apskaičiavimo metodikos patvirtinimo“</w:t>
              </w:r>
              <w:r>
                <w:rPr>
                  <w:rFonts w:ascii="Calibri" w:hAnsi="Calibri"/>
                  <w:lang w:eastAsia="lt-LT"/>
                </w:rPr>
                <w:t xml:space="preserve"> (Žin., 2009, Nr. </w:t>
              </w:r>
              <w:fldSimple w:instr="HYPERLINK https://www.e-tar.lt/portal/legalAct.html?documentId=TAIS.348227 \t _blank">
                <w:r>
                  <w:rPr>
                    <w:rFonts w:ascii="Calibri" w:hAnsi="Calibri"/>
                    <w:lang w:eastAsia="lt-LT"/>
                    <w:u w:val="single"/>
                    <w:color w:val="0000FF" w:themeColor="hyperlink"/>
                  </w:rPr>
                  <w:t>81-3391</w:t>
                </w:r>
              </w:fldSimple>
              <w:r>
                <w:rPr>
                  <w:rFonts w:ascii="Calibri" w:hAnsi="Calibri"/>
                  <w:lang w:eastAsia="lt-LT"/>
                </w:rPr>
                <w:t>).</w:t>
              </w:r>
              <w:r>
                <w:rPr>
                  <w:rFonts w:ascii="Calibri" w:hAnsi="Calibri"/>
                  <w:szCs w:val="24"/>
                  <w:lang w:eastAsia="lt-LT"/>
                </w:rPr>
                <w:t xml:space="preserve"> Metodikos taikymo tikslas – siekiant tobulinti savivaldybės įstaigų veiklą ir skatinti į vartotoją orientuotą požiūrį, ištirti vartotojų patenkinimą teikiamomis viešosiomis švietimo paslaugomis, apskaičiuoti viešųjų švietimo paslaugų vartotojų patenkinimo indeksą ir nustatyti tobulintinas įstaigų veiklos sritis, lemiančias aukštesnį vartotojų patenkinimą. </w:t>
              </w:r>
            </w:p>
            <w:p>
              <w:pPr>
                <w:spacing w:line="360" w:lineRule="auto"/>
                <w:ind w:firstLine="284"/>
                <w:jc w:val="both"/>
                <w:rPr>
                  <w:rFonts w:ascii="Calibri" w:hAnsi="Calibri"/>
                  <w:b/>
                  <w:szCs w:val="24"/>
                  <w:lang w:eastAsia="lt-LT"/>
                </w:rPr>
              </w:pPr>
              <w:r>
                <w:rPr>
                  <w:rFonts w:ascii="Calibri" w:hAnsi="Calibri"/>
                  <w:b/>
                  <w:szCs w:val="24"/>
                  <w:lang w:eastAsia="lt-LT"/>
                </w:rPr>
                <w:t>Tyrimo rezultatai parodė, kad Telšių rajono socialines paslaugas teikiančių įstaigų teikiamų paslaugų ir asmenų aptarnavimo kokybės pasitenkinimo teikiamomis paslaugomis indeksas siekia</w:t>
              </w:r>
              <w:r>
                <w:rPr>
                  <w:rFonts w:ascii="Calibri" w:hAnsi="Calibri"/>
                  <w:szCs w:val="24"/>
                  <w:lang w:eastAsia="lt-LT"/>
                </w:rPr>
                <w:t xml:space="preserve"> – </w:t>
              </w:r>
              <w:r>
                <w:rPr>
                  <w:rFonts w:ascii="Calibri" w:hAnsi="Calibri"/>
                  <w:b/>
                  <w:szCs w:val="24"/>
                  <w:lang w:eastAsia="lt-LT"/>
                </w:rPr>
                <w:t xml:space="preserve">78,2 procentus. </w:t>
              </w:r>
            </w:p>
            <w:p>
              <w:pPr>
                <w:spacing w:line="360" w:lineRule="auto"/>
                <w:ind w:firstLine="284"/>
                <w:jc w:val="both"/>
                <w:rPr>
                  <w:rFonts w:ascii="Calibri" w:hAnsi="Calibri"/>
                  <w:szCs w:val="24"/>
                  <w:lang w:eastAsia="lt-LT"/>
                </w:rPr>
              </w:pPr>
            </w:p>
            <w:p>
              <w:pPr>
                <w:spacing w:line="360" w:lineRule="auto"/>
                <w:ind w:firstLine="284"/>
                <w:jc w:val="both"/>
                <w:rPr>
                  <w:rFonts w:ascii="Calibri" w:hAnsi="Calibri"/>
                  <w:szCs w:val="24"/>
                  <w:lang w:eastAsia="lt-LT"/>
                </w:rPr>
              </w:pPr>
            </w:p>
            <w:p>
              <w:pPr>
                <w:spacing w:line="360" w:lineRule="auto"/>
                <w:ind w:firstLine="284"/>
                <w:jc w:val="both"/>
                <w:rPr>
                  <w:rFonts w:ascii="Calibri" w:hAnsi="Calibri"/>
                  <w:szCs w:val="24"/>
                  <w:lang w:eastAsia="lt-LT"/>
                </w:rPr>
              </w:pPr>
            </w:p>
            <w:p>
              <w:pPr>
                <w:spacing w:line="360" w:lineRule="auto"/>
                <w:ind w:firstLine="284"/>
                <w:jc w:val="both"/>
                <w:rPr>
                  <w:rFonts w:ascii="Calibri" w:hAnsi="Calibri"/>
                  <w:szCs w:val="24"/>
                  <w:lang w:eastAsia="lt-LT"/>
                </w:rPr>
              </w:pPr>
            </w:p>
            <w:p>
              <w:pPr>
                <w:spacing w:line="360" w:lineRule="auto"/>
                <w:ind w:firstLine="284"/>
                <w:jc w:val="both"/>
                <w:rPr>
                  <w:rFonts w:ascii="Calibri" w:hAnsi="Calibri"/>
                  <w:szCs w:val="24"/>
                  <w:lang w:eastAsia="lt-LT"/>
                </w:rPr>
              </w:pPr>
            </w:p>
            <w:p>
              <w:pPr>
                <w:spacing w:line="360" w:lineRule="auto"/>
                <w:ind w:firstLine="284"/>
                <w:jc w:val="both"/>
                <w:rPr>
                  <w:rFonts w:ascii="Calibri" w:hAnsi="Calibri"/>
                  <w:szCs w:val="24"/>
                  <w:lang w:eastAsia="lt-LT"/>
                </w:rPr>
              </w:pPr>
            </w:p>
            <w:p>
              <w:pPr>
                <w:spacing w:line="360" w:lineRule="auto"/>
                <w:ind w:firstLine="284"/>
                <w:jc w:val="both"/>
                <w:rPr>
                  <w:rFonts w:ascii="Calibri" w:hAnsi="Calibri"/>
                  <w:szCs w:val="24"/>
                  <w:lang w:eastAsia="lt-LT"/>
                </w:rPr>
              </w:pPr>
            </w:p>
            <w:p>
              <w:pPr>
                <w:spacing w:line="360" w:lineRule="auto"/>
                <w:ind w:firstLine="284"/>
                <w:jc w:val="both"/>
                <w:rPr>
                  <w:rFonts w:ascii="Calibri" w:hAnsi="Calibri"/>
                  <w:szCs w:val="24"/>
                  <w:lang w:eastAsia="lt-LT"/>
                </w:rPr>
              </w:pPr>
            </w:p>
            <w:p>
              <w:pPr>
                <w:spacing w:line="360" w:lineRule="auto"/>
                <w:ind w:firstLine="284"/>
                <w:jc w:val="both"/>
                <w:rPr>
                  <w:rFonts w:ascii="Calibri" w:hAnsi="Calibri"/>
                  <w:szCs w:val="24"/>
                  <w:lang w:eastAsia="lt-LT"/>
                </w:rPr>
              </w:pPr>
            </w:p>
            <w:p>
              <w:pPr>
                <w:spacing w:line="360" w:lineRule="auto"/>
                <w:ind w:firstLine="284"/>
                <w:jc w:val="both"/>
                <w:rPr>
                  <w:rFonts w:ascii="Calibri" w:hAnsi="Calibri"/>
                  <w:szCs w:val="24"/>
                  <w:lang w:eastAsia="lt-LT"/>
                </w:rPr>
              </w:pPr>
            </w:p>
            <w:p>
              <w:pPr>
                <w:spacing w:line="360" w:lineRule="auto"/>
                <w:ind w:firstLine="284"/>
                <w:jc w:val="both"/>
                <w:rPr>
                  <w:rFonts w:ascii="Calibri" w:hAnsi="Calibri"/>
                  <w:szCs w:val="24"/>
                  <w:lang w:eastAsia="lt-LT"/>
                </w:rPr>
              </w:pPr>
            </w:p>
            <w:p>
              <w:pPr>
                <w:spacing w:line="360" w:lineRule="auto"/>
                <w:ind w:firstLine="284"/>
                <w:jc w:val="both"/>
                <w:rPr>
                  <w:rFonts w:ascii="Calibri" w:hAnsi="Calibri"/>
                  <w:szCs w:val="24"/>
                  <w:lang w:eastAsia="lt-LT"/>
                </w:rPr>
              </w:pPr>
            </w:p>
            <w:p>
              <w:pPr>
                <w:spacing w:line="360" w:lineRule="auto"/>
                <w:ind w:firstLine="284"/>
                <w:jc w:val="both"/>
                <w:rPr>
                  <w:rFonts w:ascii="Calibri" w:hAnsi="Calibri"/>
                  <w:szCs w:val="24"/>
                  <w:lang w:eastAsia="lt-LT"/>
                </w:rPr>
              </w:pPr>
            </w:p>
            <w:sdt>
              <w:sdtPr>
                <w:alias w:val="lentele"/>
                <w:tag w:val="part_a3f3a17dd1844253aa4025adf6a016f2"/>
                <w:lock w:val="sdtLocked"/>
                <w:richText/>
              </w:sdtPr>
              <w:sdtContent>
                <w:p>
                  <w:pPr>
                    <w:rPr>
                      <w:rFonts w:ascii="Calibri" w:hAnsi="Calibri"/>
                      <w:b/>
                      <w:bCs/>
                      <w:color w:val="C00000"/>
                      <w:kern w:val="28"/>
                      <w:sz w:val="28"/>
                      <w:szCs w:val="32"/>
                      <w:lang w:eastAsia="lt-LT"/>
                    </w:rPr>
                  </w:pPr>
                  <w:sdt>
                    <w:sdtPr>
                      <w:alias w:val="Pavadinimas"/>
                      <w:tag w:val="title_a3f3a17dd1844253aa4025adf6a016f2"/>
                      <w:lock w:val="sdtLocked"/>
                      <w:richText/>
                    </w:sdtPr>
                    <w:sdtContent>
                      <w:r>
                        <w:rPr>
                          <w:rFonts w:ascii="Calibri" w:hAnsi="Calibri"/>
                          <w:b/>
                          <w:bCs/>
                          <w:color w:val="C00000"/>
                          <w:kern w:val="28"/>
                          <w:sz w:val="28"/>
                          <w:szCs w:val="32"/>
                          <w:lang w:eastAsia="lt-LT"/>
                        </w:rPr>
                        <w:t>TRUMPAS TYRIMO APRAŠYMAS</w:t>
                      </w:r>
                    </w:sdtContent>
                  </w:sdt>
                </w:p>
                <w:p>
                  <w:pPr>
                    <w:rPr>
                      <w:rFonts w:ascii="Calibri" w:hAnsi="Calibri"/>
                      <w:b/>
                      <w:bCs/>
                      <w:color w:val="C00000"/>
                      <w:kern w:val="28"/>
                      <w:sz w:val="28"/>
                      <w:szCs w:val="32"/>
                      <w:lang w:eastAsia="lt-LT"/>
                    </w:rPr>
                  </w:pPr>
                </w:p>
                <w:tbl>
                  <w:tblPr>
                    <w:tblW w:w="10209" w:type="dxa"/>
                    <w:tblCellMar>
                      <w:left w:w="0" w:type="dxa"/>
                      <w:right w:w="0" w:type="dxa"/>
                    </w:tblCellMar>
                    <w:tblLook w:val="0420" w:firstRow="1" w:lastRow="0" w:firstColumn="0" w:lastColumn="0" w:noHBand="0" w:noVBand="1"/>
                  </w:tblPr>
                  <w:tblGrid>
                    <w:gridCol w:w="2129"/>
                    <w:gridCol w:w="8080"/>
                  </w:tblGrid>
                  <w:tr>
                    <w:trPr>
                      <w:trHeight w:val="323"/>
                    </w:trPr>
                    <w:tc>
                      <w:tcPr>
                        <w:tcW w:w="10209" w:type="dxa"/>
                        <w:gridSpan w:val="2"/>
                        <w:tcBorders>
                          <w:top w:val="single" w:sz="8" w:space="0" w:color="000000"/>
                          <w:left w:val="single" w:sz="8" w:space="0" w:color="000000"/>
                          <w:bottom w:val="single" w:sz="8" w:space="0" w:color="000000"/>
                          <w:right w:val="single" w:sz="8" w:space="0" w:color="000000"/>
                        </w:tcBorders>
                        <w:shd w:val="clear" w:color="auto" w:fill="C00000"/>
                        <w:tcMar>
                          <w:top w:w="72" w:type="dxa"/>
                          <w:left w:w="144" w:type="dxa"/>
                          <w:bottom w:w="72" w:type="dxa"/>
                          <w:right w:w="144" w:type="dxa"/>
                        </w:tcMar>
                      </w:tcPr>
                      <w:p>
                        <w:pPr>
                          <w:jc w:val="center"/>
                          <w:rPr>
                            <w:rFonts w:ascii="Calibri" w:hAnsi="Calibri"/>
                            <w:b/>
                            <w:bCs/>
                            <w:kern w:val="28"/>
                            <w:szCs w:val="24"/>
                            <w:lang w:eastAsia="lt-LT"/>
                          </w:rPr>
                        </w:pPr>
                        <w:r>
                          <w:rPr>
                            <w:rFonts w:ascii="Calibri" w:hAnsi="Calibri"/>
                            <w:b/>
                            <w:bCs/>
                            <w:kern w:val="28"/>
                            <w:szCs w:val="24"/>
                            <w:lang w:eastAsia="lt-LT"/>
                          </w:rPr>
                          <w:t>Trumpas tyrimo aprašymas</w:t>
                        </w:r>
                      </w:p>
                    </w:tc>
                  </w:tr>
                  <w:tr>
                    <w:trPr>
                      <w:trHeight w:val="890"/>
                    </w:trPr>
                    <w:tc>
                      <w:tcPr>
                        <w:tcW w:w="2129" w:type="dxa"/>
                        <w:tcBorders>
                          <w:top w:val="single" w:sz="8" w:space="0" w:color="000000"/>
                          <w:left w:val="single" w:sz="8" w:space="0" w:color="000000"/>
                          <w:bottom w:val="single" w:sz="8" w:space="0" w:color="000000"/>
                          <w:right w:val="single" w:sz="8" w:space="0" w:color="000000"/>
                        </w:tcBorders>
                        <w:shd w:val="clear" w:color="auto" w:fill="C00000"/>
                        <w:tcMar>
                          <w:top w:w="72" w:type="dxa"/>
                          <w:left w:w="144" w:type="dxa"/>
                          <w:bottom w:w="72" w:type="dxa"/>
                          <w:right w:w="144" w:type="dxa"/>
                        </w:tcMar>
                      </w:tcPr>
                      <w:p>
                        <w:pPr>
                          <w:rPr>
                            <w:rFonts w:ascii="Calibri" w:hAnsi="Calibri"/>
                            <w:b/>
                            <w:bCs/>
                            <w:kern w:val="28"/>
                            <w:szCs w:val="24"/>
                            <w:lang w:eastAsia="lt-LT"/>
                          </w:rPr>
                        </w:pPr>
                        <w:r>
                          <w:rPr>
                            <w:rFonts w:ascii="Calibri" w:hAnsi="Calibri"/>
                            <w:b/>
                            <w:bCs/>
                            <w:kern w:val="28"/>
                            <w:szCs w:val="24"/>
                            <w:lang w:eastAsia="lt-LT"/>
                          </w:rPr>
                          <w:t>Tyrimas vykdomas pagal</w:t>
                        </w:r>
                      </w:p>
                    </w:tc>
                    <w:tc>
                      <w:tcPr>
                        <w:tcW w:w="808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pPr>
                          <w:jc w:val="both"/>
                          <w:rPr>
                            <w:rFonts w:ascii="Calibri" w:hAnsi="Calibri"/>
                            <w:bCs/>
                            <w:kern w:val="28"/>
                            <w:szCs w:val="24"/>
                            <w:lang w:eastAsia="lt-LT"/>
                          </w:rPr>
                        </w:pPr>
                        <w:r>
                          <w:rPr>
                            <w:rFonts w:ascii="Calibri" w:hAnsi="Calibri"/>
                            <w:bCs/>
                            <w:kern w:val="28"/>
                            <w:szCs w:val="24"/>
                            <w:lang w:eastAsia="lt-LT"/>
                          </w:rPr>
                          <w:t xml:space="preserve">2014–2020 m. ES fondų investicijų veiksmų programos 10 prioriteto „Visuomenės poreikius atitinkantis ir pažangus viešasis valdymas“ priemonę „Paslaugų ir asmenų aptarnavimo kokybės gerinimas savivaldybėse“ Nr. 10.1.3-ESFA-R-920. </w:t>
                        </w:r>
                      </w:p>
                    </w:tc>
                  </w:tr>
                  <w:tr>
                    <w:trPr>
                      <w:trHeight w:val="388"/>
                    </w:trPr>
                    <w:tc>
                      <w:tcPr>
                        <w:tcW w:w="2129" w:type="dxa"/>
                        <w:tcBorders>
                          <w:top w:val="single" w:sz="8" w:space="0" w:color="000000"/>
                          <w:left w:val="single" w:sz="8" w:space="0" w:color="000000"/>
                          <w:bottom w:val="single" w:sz="8" w:space="0" w:color="000000"/>
                          <w:right w:val="single" w:sz="8" w:space="0" w:color="000000"/>
                        </w:tcBorders>
                        <w:shd w:val="clear" w:color="auto" w:fill="C00000"/>
                        <w:tcMar>
                          <w:top w:w="72" w:type="dxa"/>
                          <w:left w:w="144" w:type="dxa"/>
                          <w:bottom w:w="72" w:type="dxa"/>
                          <w:right w:w="144" w:type="dxa"/>
                        </w:tcMar>
                        <w:hideMark/>
                      </w:tcPr>
                      <w:p>
                        <w:pPr>
                          <w:rPr>
                            <w:rFonts w:ascii="Calibri" w:hAnsi="Calibri"/>
                            <w:b/>
                            <w:bCs/>
                            <w:kern w:val="28"/>
                            <w:szCs w:val="24"/>
                            <w:lang w:eastAsia="lt-LT"/>
                          </w:rPr>
                        </w:pPr>
                        <w:r>
                          <w:rPr>
                            <w:rFonts w:ascii="Calibri" w:hAnsi="Calibri"/>
                            <w:b/>
                            <w:bCs/>
                            <w:kern w:val="28"/>
                            <w:szCs w:val="24"/>
                            <w:lang w:eastAsia="lt-LT"/>
                          </w:rPr>
                          <w:t>Tyrimo objektas</w:t>
                        </w:r>
                      </w:p>
                    </w:tc>
                    <w:tc>
                      <w:tcPr>
                        <w:tcW w:w="808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pPr>
                          <w:tabs>
                            <w:tab w:val="left" w:pos="8756"/>
                          </w:tabs>
                          <w:jc w:val="both"/>
                          <w:rPr>
                            <w:rFonts w:ascii="Calibri" w:hAnsi="Calibri"/>
                            <w:bCs/>
                            <w:kern w:val="28"/>
                            <w:szCs w:val="24"/>
                            <w:lang w:eastAsia="lt-LT"/>
                          </w:rPr>
                        </w:pPr>
                        <w:r>
                          <w:rPr>
                            <w:rFonts w:ascii="Calibri" w:hAnsi="Calibri"/>
                            <w:bCs/>
                            <w:kern w:val="28"/>
                            <w:szCs w:val="24"/>
                            <w:lang w:eastAsia="lt-LT"/>
                          </w:rPr>
                          <w:t>Vartotojų pasitenkinimas teikiamomis viešosiomis paslaugomis.</w:t>
                        </w:r>
                      </w:p>
                    </w:tc>
                  </w:tr>
                  <w:tr>
                    <w:trPr>
                      <w:trHeight w:val="545"/>
                    </w:trPr>
                    <w:tc>
                      <w:tcPr>
                        <w:tcW w:w="2129" w:type="dxa"/>
                        <w:tcBorders>
                          <w:top w:val="single" w:sz="8" w:space="0" w:color="000000"/>
                          <w:left w:val="single" w:sz="8" w:space="0" w:color="000000"/>
                          <w:bottom w:val="single" w:sz="8" w:space="0" w:color="000000"/>
                          <w:right w:val="single" w:sz="8" w:space="0" w:color="000000"/>
                        </w:tcBorders>
                        <w:shd w:val="clear" w:color="auto" w:fill="C00000"/>
                        <w:tcMar>
                          <w:top w:w="72" w:type="dxa"/>
                          <w:left w:w="144" w:type="dxa"/>
                          <w:bottom w:w="72" w:type="dxa"/>
                          <w:right w:w="144" w:type="dxa"/>
                        </w:tcMar>
                        <w:hideMark/>
                      </w:tcPr>
                      <w:p>
                        <w:pPr>
                          <w:rPr>
                            <w:rFonts w:ascii="Calibri" w:hAnsi="Calibri"/>
                            <w:b/>
                            <w:bCs/>
                            <w:kern w:val="28"/>
                            <w:szCs w:val="24"/>
                            <w:lang w:eastAsia="lt-LT"/>
                          </w:rPr>
                        </w:pPr>
                        <w:r>
                          <w:rPr>
                            <w:rFonts w:ascii="Calibri" w:hAnsi="Calibri"/>
                            <w:b/>
                            <w:bCs/>
                            <w:kern w:val="28"/>
                            <w:szCs w:val="24"/>
                            <w:lang w:eastAsia="lt-LT"/>
                          </w:rPr>
                          <w:t>Tyrimo tikslas</w:t>
                        </w:r>
                      </w:p>
                    </w:tc>
                    <w:tc>
                      <w:tcPr>
                        <w:tcW w:w="808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pPr>
                          <w:jc w:val="both"/>
                          <w:rPr>
                            <w:rFonts w:ascii="Calibri" w:hAnsi="Calibri"/>
                            <w:bCs/>
                            <w:kern w:val="28"/>
                            <w:szCs w:val="24"/>
                            <w:lang w:eastAsia="lt-LT"/>
                          </w:rPr>
                        </w:pPr>
                        <w:r>
                          <w:rPr>
                            <w:rFonts w:ascii="Calibri" w:hAnsi="Calibri"/>
                            <w:bCs/>
                            <w:kern w:val="28"/>
                            <w:szCs w:val="24"/>
                            <w:lang w:eastAsia="lt-LT"/>
                          </w:rPr>
                          <w:t xml:space="preserve">Nustatyti pasitenkinimą teikiamomis viešosiomis socialinėmis savivaldybės administracijos paslaugomis </w:t>
                        </w:r>
                      </w:p>
                    </w:tc>
                  </w:tr>
                  <w:tr>
                    <w:trPr>
                      <w:trHeight w:val="1397"/>
                    </w:trPr>
                    <w:tc>
                      <w:tcPr>
                        <w:tcW w:w="2129" w:type="dxa"/>
                        <w:tcBorders>
                          <w:top w:val="single" w:sz="8" w:space="0" w:color="000000"/>
                          <w:left w:val="single" w:sz="8" w:space="0" w:color="000000"/>
                          <w:bottom w:val="single" w:sz="8" w:space="0" w:color="000000"/>
                          <w:right w:val="single" w:sz="8" w:space="0" w:color="000000"/>
                        </w:tcBorders>
                        <w:shd w:val="clear" w:color="auto" w:fill="C00000"/>
                        <w:tcMar>
                          <w:top w:w="72" w:type="dxa"/>
                          <w:left w:w="144" w:type="dxa"/>
                          <w:bottom w:w="72" w:type="dxa"/>
                          <w:right w:w="144" w:type="dxa"/>
                        </w:tcMar>
                      </w:tcPr>
                      <w:p>
                        <w:pPr>
                          <w:rPr>
                            <w:rFonts w:ascii="Calibri" w:hAnsi="Calibri"/>
                            <w:b/>
                            <w:bCs/>
                            <w:kern w:val="28"/>
                            <w:szCs w:val="24"/>
                            <w:lang w:eastAsia="lt-LT"/>
                          </w:rPr>
                        </w:pPr>
                        <w:r>
                          <w:rPr>
                            <w:rFonts w:ascii="Calibri" w:hAnsi="Calibri"/>
                            <w:b/>
                            <w:bCs/>
                            <w:kern w:val="28"/>
                            <w:szCs w:val="24"/>
                            <w:lang w:eastAsia="lt-LT"/>
                          </w:rPr>
                          <w:t>Tyrimo uždaviniai</w:t>
                        </w:r>
                      </w:p>
                    </w:tc>
                    <w:tc>
                      <w:tcPr>
                        <w:tcW w:w="808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pPr>
                          <w:jc w:val="both"/>
                          <w:rPr>
                            <w:rFonts w:ascii="Calibri" w:hAnsi="Calibri"/>
                            <w:bCs/>
                            <w:kern w:val="28"/>
                            <w:szCs w:val="24"/>
                            <w:lang w:eastAsia="lt-LT"/>
                          </w:rPr>
                        </w:pPr>
                        <w:r>
                          <w:rPr>
                            <w:rFonts w:ascii="Calibri" w:hAnsi="Calibri"/>
                            <w:bCs/>
                            <w:kern w:val="28"/>
                            <w:szCs w:val="24"/>
                            <w:lang w:eastAsia="lt-LT"/>
                          </w:rPr>
                          <w:t>– Apklausti viešąsias socialines pasaugas gaunančius asmenis bei besikreipiančius į seniūnijas ir savivaldybės administraciją.</w:t>
                        </w:r>
                      </w:p>
                      <w:p>
                        <w:pPr>
                          <w:jc w:val="both"/>
                          <w:rPr>
                            <w:rFonts w:ascii="Calibri" w:hAnsi="Calibri"/>
                            <w:bCs/>
                            <w:kern w:val="28"/>
                            <w:szCs w:val="24"/>
                            <w:lang w:eastAsia="lt-LT"/>
                          </w:rPr>
                        </w:pPr>
                        <w:r>
                          <w:rPr>
                            <w:rFonts w:ascii="Calibri" w:hAnsi="Calibri"/>
                            <w:bCs/>
                            <w:kern w:val="28"/>
                            <w:szCs w:val="24"/>
                            <w:lang w:eastAsia="lt-LT"/>
                          </w:rPr>
                          <w:t xml:space="preserve">– Apskaičiuoti šių paslaugų vartotojų pasitenkinimo indeksą. </w:t>
                        </w:r>
                      </w:p>
                      <w:p>
                        <w:pPr>
                          <w:jc w:val="both"/>
                          <w:rPr>
                            <w:rFonts w:ascii="Calibri" w:hAnsi="Calibri"/>
                            <w:bCs/>
                            <w:kern w:val="28"/>
                            <w:szCs w:val="24"/>
                            <w:lang w:eastAsia="lt-LT"/>
                          </w:rPr>
                        </w:pPr>
                        <w:r>
                          <w:rPr>
                            <w:rFonts w:ascii="Calibri" w:hAnsi="Calibri"/>
                            <w:bCs/>
                            <w:kern w:val="28"/>
                            <w:szCs w:val="24"/>
                            <w:lang w:eastAsia="lt-LT"/>
                          </w:rPr>
                          <w:t>– Nustatyti tobulintinas institucijų ar įstaigų veiklos sritis, lemiančias aukštesnį vartotojų pasitenkinimą.</w:t>
                        </w:r>
                      </w:p>
                    </w:tc>
                  </w:tr>
                  <w:tr>
                    <w:trPr>
                      <w:trHeight w:val="697"/>
                    </w:trPr>
                    <w:tc>
                      <w:tcPr>
                        <w:tcW w:w="2129" w:type="dxa"/>
                        <w:tcBorders>
                          <w:top w:val="single" w:sz="8" w:space="0" w:color="000000"/>
                          <w:left w:val="single" w:sz="8" w:space="0" w:color="000000"/>
                          <w:bottom w:val="single" w:sz="8" w:space="0" w:color="000000"/>
                          <w:right w:val="single" w:sz="8" w:space="0" w:color="000000"/>
                        </w:tcBorders>
                        <w:shd w:val="clear" w:color="auto" w:fill="C00000"/>
                        <w:tcMar>
                          <w:top w:w="72" w:type="dxa"/>
                          <w:left w:w="144" w:type="dxa"/>
                          <w:bottom w:w="72" w:type="dxa"/>
                          <w:right w:w="144" w:type="dxa"/>
                        </w:tcMar>
                        <w:hideMark/>
                      </w:tcPr>
                      <w:p>
                        <w:pPr>
                          <w:rPr>
                            <w:rFonts w:ascii="Calibri" w:hAnsi="Calibri"/>
                            <w:b/>
                            <w:bCs/>
                            <w:kern w:val="28"/>
                            <w:szCs w:val="24"/>
                            <w:lang w:eastAsia="lt-LT"/>
                          </w:rPr>
                        </w:pPr>
                        <w:r>
                          <w:rPr>
                            <w:rFonts w:ascii="Calibri" w:hAnsi="Calibri"/>
                            <w:b/>
                            <w:bCs/>
                            <w:kern w:val="28"/>
                            <w:szCs w:val="24"/>
                            <w:lang w:eastAsia="lt-LT"/>
                          </w:rPr>
                          <w:t>Tyrimo tikslinė grupė</w:t>
                        </w:r>
                      </w:p>
                    </w:tc>
                    <w:tc>
                      <w:tcPr>
                        <w:tcW w:w="808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pPr>
                          <w:jc w:val="both"/>
                          <w:rPr>
                            <w:rFonts w:ascii="Calibri" w:hAnsi="Calibri"/>
                            <w:bCs/>
                            <w:kern w:val="28"/>
                            <w:szCs w:val="24"/>
                            <w:lang w:eastAsia="lt-LT"/>
                          </w:rPr>
                        </w:pPr>
                        <w:r>
                          <w:rPr>
                            <w:rFonts w:ascii="Calibri" w:hAnsi="Calibri"/>
                            <w:bCs/>
                            <w:kern w:val="28"/>
                            <w:szCs w:val="24"/>
                            <w:lang w:eastAsia="lt-LT"/>
                          </w:rPr>
                          <w:t>Telšių rajono savivaldybės gyventojai.</w:t>
                        </w:r>
                      </w:p>
                    </w:tc>
                  </w:tr>
                  <w:tr>
                    <w:trPr>
                      <w:trHeight w:val="359"/>
                    </w:trPr>
                    <w:tc>
                      <w:tcPr>
                        <w:tcW w:w="2129" w:type="dxa"/>
                        <w:tcBorders>
                          <w:top w:val="single" w:sz="8" w:space="0" w:color="000000"/>
                          <w:left w:val="single" w:sz="8" w:space="0" w:color="000000"/>
                          <w:bottom w:val="single" w:sz="8" w:space="0" w:color="000000"/>
                          <w:right w:val="single" w:sz="8" w:space="0" w:color="000000"/>
                        </w:tcBorders>
                        <w:shd w:val="clear" w:color="auto" w:fill="C00000"/>
                        <w:tcMar>
                          <w:top w:w="72" w:type="dxa"/>
                          <w:left w:w="144" w:type="dxa"/>
                          <w:bottom w:w="72" w:type="dxa"/>
                          <w:right w:w="144" w:type="dxa"/>
                        </w:tcMar>
                        <w:hideMark/>
                      </w:tcPr>
                      <w:p>
                        <w:pPr>
                          <w:rPr>
                            <w:rFonts w:ascii="Calibri" w:hAnsi="Calibri"/>
                            <w:b/>
                            <w:bCs/>
                            <w:kern w:val="28"/>
                            <w:szCs w:val="24"/>
                            <w:lang w:eastAsia="lt-LT"/>
                          </w:rPr>
                        </w:pPr>
                        <w:r>
                          <w:rPr>
                            <w:rFonts w:ascii="Calibri" w:hAnsi="Calibri"/>
                            <w:b/>
                            <w:bCs/>
                            <w:kern w:val="28"/>
                            <w:szCs w:val="24"/>
                            <w:lang w:eastAsia="lt-LT"/>
                          </w:rPr>
                          <w:t>Tyrimo imtis</w:t>
                        </w:r>
                      </w:p>
                    </w:tc>
                    <w:tc>
                      <w:tcPr>
                        <w:tcW w:w="808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pPr>
                          <w:jc w:val="both"/>
                          <w:rPr>
                            <w:rFonts w:ascii="Calibri" w:hAnsi="Calibri"/>
                            <w:bCs/>
                            <w:kern w:val="28"/>
                            <w:szCs w:val="24"/>
                            <w:lang w:eastAsia="lt-LT"/>
                          </w:rPr>
                        </w:pPr>
                        <w:r>
                          <w:rPr>
                            <w:rFonts w:ascii="Calibri" w:hAnsi="Calibri"/>
                            <w:bCs/>
                            <w:kern w:val="28"/>
                            <w:szCs w:val="24"/>
                            <w:lang w:eastAsia="lt-LT"/>
                          </w:rPr>
                          <w:t xml:space="preserve">285 respondentai </w:t>
                        </w:r>
                      </w:p>
                    </w:tc>
                  </w:tr>
                  <w:tr>
                    <w:trPr>
                      <w:trHeight w:val="395"/>
                    </w:trPr>
                    <w:tc>
                      <w:tcPr>
                        <w:tcW w:w="2129" w:type="dxa"/>
                        <w:tcBorders>
                          <w:top w:val="single" w:sz="8" w:space="0" w:color="000000"/>
                          <w:left w:val="single" w:sz="8" w:space="0" w:color="000000"/>
                          <w:bottom w:val="single" w:sz="8" w:space="0" w:color="000000"/>
                          <w:right w:val="single" w:sz="8" w:space="0" w:color="000000"/>
                        </w:tcBorders>
                        <w:shd w:val="clear" w:color="auto" w:fill="C00000"/>
                        <w:tcMar>
                          <w:top w:w="72" w:type="dxa"/>
                          <w:left w:w="144" w:type="dxa"/>
                          <w:bottom w:w="72" w:type="dxa"/>
                          <w:right w:w="144" w:type="dxa"/>
                        </w:tcMar>
                        <w:hideMark/>
                      </w:tcPr>
                      <w:p>
                        <w:pPr>
                          <w:rPr>
                            <w:rFonts w:ascii="Calibri" w:hAnsi="Calibri"/>
                            <w:b/>
                            <w:bCs/>
                            <w:kern w:val="28"/>
                            <w:szCs w:val="24"/>
                            <w:lang w:eastAsia="lt-LT"/>
                          </w:rPr>
                        </w:pPr>
                        <w:r>
                          <w:rPr>
                            <w:rFonts w:ascii="Calibri" w:hAnsi="Calibri"/>
                            <w:b/>
                            <w:bCs/>
                            <w:kern w:val="28"/>
                            <w:szCs w:val="24"/>
                            <w:lang w:eastAsia="lt-LT"/>
                          </w:rPr>
                          <w:t>Imties paklaida</w:t>
                        </w:r>
                      </w:p>
                    </w:tc>
                    <w:tc>
                      <w:tcPr>
                        <w:tcW w:w="808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pPr>
                          <w:jc w:val="both"/>
                          <w:rPr>
                            <w:rFonts w:ascii="Calibri" w:hAnsi="Calibri"/>
                            <w:bCs/>
                            <w:kern w:val="28"/>
                            <w:szCs w:val="24"/>
                            <w:lang w:eastAsia="lt-LT"/>
                          </w:rPr>
                        </w:pPr>
                        <w:r>
                          <w:rPr>
                            <w:rFonts w:ascii="Calibri" w:hAnsi="Calibri"/>
                            <w:bCs/>
                            <w:kern w:val="28"/>
                            <w:szCs w:val="24"/>
                            <w:lang w:eastAsia="lt-LT"/>
                          </w:rPr>
                          <w:t>5 proc.</w:t>
                        </w:r>
                      </w:p>
                    </w:tc>
                  </w:tr>
                  <w:tr>
                    <w:trPr>
                      <w:trHeight w:val="584"/>
                    </w:trPr>
                    <w:tc>
                      <w:tcPr>
                        <w:tcW w:w="2129" w:type="dxa"/>
                        <w:tcBorders>
                          <w:top w:val="single" w:sz="8" w:space="0" w:color="000000"/>
                          <w:left w:val="single" w:sz="8" w:space="0" w:color="000000"/>
                          <w:bottom w:val="single" w:sz="8" w:space="0" w:color="000000"/>
                          <w:right w:val="single" w:sz="8" w:space="0" w:color="000000"/>
                        </w:tcBorders>
                        <w:shd w:val="clear" w:color="auto" w:fill="C00000"/>
                        <w:tcMar>
                          <w:top w:w="72" w:type="dxa"/>
                          <w:left w:w="144" w:type="dxa"/>
                          <w:bottom w:w="72" w:type="dxa"/>
                          <w:right w:w="144" w:type="dxa"/>
                        </w:tcMar>
                        <w:hideMark/>
                      </w:tcPr>
                      <w:p>
                        <w:pPr>
                          <w:rPr>
                            <w:rFonts w:ascii="Calibri" w:hAnsi="Calibri"/>
                            <w:b/>
                            <w:bCs/>
                            <w:kern w:val="28"/>
                            <w:szCs w:val="24"/>
                            <w:lang w:eastAsia="lt-LT"/>
                          </w:rPr>
                        </w:pPr>
                        <w:r>
                          <w:rPr>
                            <w:rFonts w:ascii="Calibri" w:hAnsi="Calibri"/>
                            <w:b/>
                            <w:bCs/>
                            <w:kern w:val="28"/>
                            <w:szCs w:val="24"/>
                            <w:lang w:eastAsia="lt-LT"/>
                          </w:rPr>
                          <w:t>Tyrimo metodai</w:t>
                        </w:r>
                      </w:p>
                    </w:tc>
                    <w:tc>
                      <w:tcPr>
                        <w:tcW w:w="808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pPr>
                          <w:jc w:val="both"/>
                          <w:rPr>
                            <w:rFonts w:ascii="Calibri" w:hAnsi="Calibri"/>
                            <w:bCs/>
                            <w:kern w:val="28"/>
                            <w:szCs w:val="24"/>
                            <w:lang w:eastAsia="lt-LT"/>
                          </w:rPr>
                        </w:pPr>
                        <w:r>
                          <w:rPr>
                            <w:rFonts w:ascii="Calibri" w:hAnsi="Calibri"/>
                            <w:bCs/>
                            <w:kern w:val="28"/>
                            <w:szCs w:val="24"/>
                            <w:lang w:eastAsia="lt-LT"/>
                          </w:rPr>
                          <w:t xml:space="preserve">Anoniminis anketavimas </w:t>
                        </w:r>
                      </w:p>
                      <w:p>
                        <w:pPr>
                          <w:jc w:val="both"/>
                          <w:rPr>
                            <w:rFonts w:ascii="Calibri" w:hAnsi="Calibri"/>
                            <w:bCs/>
                            <w:kern w:val="28"/>
                            <w:szCs w:val="24"/>
                            <w:lang w:eastAsia="lt-LT"/>
                          </w:rPr>
                        </w:pPr>
                        <w:r>
                          <w:rPr>
                            <w:rFonts w:ascii="Calibri" w:hAnsi="Calibri"/>
                            <w:bCs/>
                            <w:kern w:val="28"/>
                            <w:szCs w:val="24"/>
                            <w:lang w:eastAsia="lt-LT"/>
                          </w:rPr>
                          <w:t xml:space="preserve">- apklausa pildyta elektroninių anketų pagalba, docs.google.com. </w:t>
                        </w:r>
                      </w:p>
                    </w:tc>
                  </w:tr>
                  <w:tr>
                    <w:trPr>
                      <w:trHeight w:val="584"/>
                    </w:trPr>
                    <w:tc>
                      <w:tcPr>
                        <w:tcW w:w="2129" w:type="dxa"/>
                        <w:tcBorders>
                          <w:top w:val="single" w:sz="8" w:space="0" w:color="000000"/>
                          <w:left w:val="single" w:sz="8" w:space="0" w:color="000000"/>
                          <w:bottom w:val="single" w:sz="8" w:space="0" w:color="000000"/>
                          <w:right w:val="single" w:sz="8" w:space="0" w:color="000000"/>
                        </w:tcBorders>
                        <w:shd w:val="clear" w:color="auto" w:fill="C00000"/>
                        <w:tcMar>
                          <w:top w:w="72" w:type="dxa"/>
                          <w:left w:w="144" w:type="dxa"/>
                          <w:bottom w:w="72" w:type="dxa"/>
                          <w:right w:w="144" w:type="dxa"/>
                        </w:tcMar>
                      </w:tcPr>
                      <w:p>
                        <w:pPr>
                          <w:rPr>
                            <w:rFonts w:ascii="Calibri" w:hAnsi="Calibri"/>
                            <w:b/>
                            <w:bCs/>
                            <w:kern w:val="28"/>
                            <w:szCs w:val="24"/>
                            <w:lang w:eastAsia="lt-LT"/>
                          </w:rPr>
                        </w:pPr>
                        <w:r>
                          <w:rPr>
                            <w:rFonts w:ascii="Calibri" w:hAnsi="Calibri"/>
                            <w:b/>
                            <w:bCs/>
                            <w:kern w:val="28"/>
                            <w:szCs w:val="24"/>
                            <w:lang w:eastAsia="lt-LT"/>
                          </w:rPr>
                          <w:t>Tyrimo vykdymo laikotarpis</w:t>
                        </w:r>
                      </w:p>
                    </w:tc>
                    <w:tc>
                      <w:tcPr>
                        <w:tcW w:w="808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pPr>
                          <w:jc w:val="both"/>
                          <w:rPr>
                            <w:rFonts w:ascii="Calibri" w:hAnsi="Calibri"/>
                            <w:bCs/>
                            <w:kern w:val="28"/>
                            <w:szCs w:val="24"/>
                            <w:lang w:eastAsia="lt-LT"/>
                          </w:rPr>
                        </w:pPr>
                        <w:r>
                          <w:rPr>
                            <w:rFonts w:ascii="Calibri" w:hAnsi="Calibri"/>
                            <w:szCs w:val="24"/>
                            <w:lang w:eastAsia="lt-LT"/>
                          </w:rPr>
                          <w:t>2023 m. rugsėjo – spalio mėn.</w:t>
                        </w:r>
                      </w:p>
                    </w:tc>
                  </w:tr>
                </w:tbl>
                <w:p>
                  <w:pPr>
                    <w:rPr>
                      <w:rFonts w:ascii="Calibri" w:hAnsi="Calibri"/>
                      <w:b/>
                      <w:bCs/>
                      <w:color w:val="C00000"/>
                      <w:kern w:val="28"/>
                      <w:sz w:val="28"/>
                      <w:szCs w:val="32"/>
                      <w:lang w:eastAsia="lt-LT"/>
                    </w:rPr>
                  </w:pPr>
                </w:p>
              </w:sdtContent>
            </w:sdt>
            <w:sdt>
              <w:sdtPr>
                <w:alias w:val="lentele"/>
                <w:tag w:val="part_182d7869490547cc93c251e49205f607"/>
                <w:lock w:val="sdtLocked"/>
                <w:richText/>
              </w:sdtPr>
              <w:sdtContent>
                <w:tbl>
                  <w:tblPr>
                    <w:tblW w:w="10209" w:type="dxa"/>
                    <w:tblCellMar>
                      <w:left w:w="0" w:type="dxa"/>
                      <w:right w:w="0" w:type="dxa"/>
                    </w:tblCellMar>
                    <w:tblLook w:val="0420" w:firstRow="1" w:lastRow="0" w:firstColumn="0" w:lastColumn="0" w:noHBand="0" w:noVBand="1"/>
                  </w:tblPr>
                  <w:tblGrid>
                    <w:gridCol w:w="10209"/>
                  </w:tblGrid>
                  <w:tr>
                    <w:trPr>
                      <w:trHeight w:val="333"/>
                    </w:trPr>
                    <w:tc>
                      <w:tcPr>
                        <w:tcW w:w="10209" w:type="dxa"/>
                        <w:tcBorders>
                          <w:top w:val="single" w:sz="8" w:space="0" w:color="000000"/>
                          <w:left w:val="single" w:sz="8" w:space="0" w:color="000000"/>
                          <w:bottom w:val="single" w:sz="8" w:space="0" w:color="000000"/>
                          <w:right w:val="single" w:sz="8" w:space="0" w:color="000000"/>
                        </w:tcBorders>
                        <w:shd w:val="clear" w:color="auto" w:fill="C00000"/>
                        <w:tcMar>
                          <w:top w:w="72" w:type="dxa"/>
                          <w:left w:w="144" w:type="dxa"/>
                          <w:bottom w:w="72" w:type="dxa"/>
                          <w:right w:w="144" w:type="dxa"/>
                        </w:tcMar>
                      </w:tcPr>
                      <w:p>
                        <w:pPr>
                          <w:jc w:val="center"/>
                          <w:rPr>
                            <w:rFonts w:ascii="Calibri" w:hAnsi="Calibri"/>
                            <w:b/>
                            <w:bCs/>
                            <w:kern w:val="28"/>
                            <w:sz w:val="22"/>
                            <w:szCs w:val="22"/>
                            <w:lang w:eastAsia="lt-LT"/>
                          </w:rPr>
                        </w:pPr>
                        <w:r>
                          <w:rPr>
                            <w:rFonts w:ascii="Calibri" w:hAnsi="Calibri"/>
                            <w:b/>
                            <w:bCs/>
                            <w:kern w:val="28"/>
                            <w:sz w:val="22"/>
                            <w:szCs w:val="22"/>
                            <w:lang w:eastAsia="lt-LT"/>
                          </w:rPr>
                          <w:t>VPI APSKAIČIAVIMO METODIKA</w:t>
                        </w:r>
                      </w:p>
                    </w:tc>
                  </w:tr>
                  <w:tr>
                    <w:trPr>
                      <w:trHeight w:val="890"/>
                    </w:trPr>
                    <w:tc>
                      <w:tcPr>
                        <w:tcW w:w="1020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pPr>
                          <w:jc w:val="both"/>
                          <w:rPr>
                            <w:rFonts w:ascii="Calibri" w:hAnsi="Calibri"/>
                            <w:bCs/>
                            <w:kern w:val="28"/>
                            <w:szCs w:val="24"/>
                            <w:lang w:eastAsia="lt-LT"/>
                          </w:rPr>
                        </w:pPr>
                        <w:r>
                          <w:rPr>
                            <w:rFonts w:ascii="Calibri" w:hAnsi="Calibri"/>
                            <w:bCs/>
                            <w:kern w:val="28"/>
                            <w:szCs w:val="24"/>
                            <w:lang w:eastAsia="lt-LT"/>
                          </w:rPr>
                          <w:t xml:space="preserve">VPI apskaičiuotas vadovaujantis Viešųjų paslaugų vartotojų patenkinimo Indekso apskaičiavimo metodika, patvirtinta Lietuvos Respublikos vidaus reikalų ministro 2009 m. birželio 30 d. įsakymu Nr. 1V – 399 „Dėl Viešųjų paslaugų vartotojų patenkinimo indekso apskaičiavimo metodikos patvirtinimo“ (Žin., 2009, Nr. </w:t>
                        </w:r>
                        <w:fldSimple w:instr="HYPERLINK https://www.e-tar.lt/portal/legalAct.html?documentId=TAIS.348227 \t _blank">
                          <w:r>
                            <w:rPr>
                              <w:rFonts w:ascii="Calibri" w:hAnsi="Calibri"/>
                              <w:bCs/>
                              <w:kern w:val="28"/>
                              <w:szCs w:val="24"/>
                              <w:lang w:eastAsia="lt-LT"/>
                              <w:u w:val="single"/>
                              <w:color w:val="0000FF" w:themeColor="hyperlink"/>
                            </w:rPr>
                            <w:t>81–3391</w:t>
                          </w:r>
                        </w:fldSimple>
                        <w:r>
                          <w:rPr>
                            <w:rFonts w:ascii="Calibri" w:hAnsi="Calibri"/>
                            <w:bCs/>
                            <w:kern w:val="28"/>
                            <w:szCs w:val="24"/>
                            <w:lang w:eastAsia="lt-LT"/>
                          </w:rPr>
                          <w:t xml:space="preserve">). </w:t>
                        </w:r>
                      </w:p>
                      <w:p>
                        <w:pPr>
                          <w:jc w:val="both"/>
                          <w:rPr>
                            <w:rFonts w:ascii="Calibri" w:hAnsi="Calibri"/>
                            <w:bCs/>
                            <w:kern w:val="28"/>
                            <w:szCs w:val="24"/>
                            <w:lang w:eastAsia="lt-LT"/>
                          </w:rPr>
                        </w:pPr>
                      </w:p>
                      <w:p>
                        <w:pPr>
                          <w:jc w:val="both"/>
                          <w:rPr>
                            <w:rFonts w:ascii="Calibri" w:hAnsi="Calibri"/>
                            <w:bCs/>
                            <w:kern w:val="28"/>
                            <w:szCs w:val="24"/>
                            <w:lang w:eastAsia="lt-LT"/>
                          </w:rPr>
                        </w:pPr>
                        <w:r>
                          <w:rPr>
                            <w:rFonts w:ascii="Calibri" w:hAnsi="Calibri"/>
                            <w:bCs/>
                            <w:kern w:val="28"/>
                            <w:szCs w:val="24"/>
                            <w:lang w:eastAsia="lt-LT"/>
                          </w:rPr>
                          <w:t>Metodikos taikymo tikslas – siekiant tobulinti savivaldybės įstaigų veiklą ir skatinti į vartotoją orientuotą požiūrį, ištirti vartotojų pasitenkinimą teikiamomis švietimo viešosiomis paslaugomis, apskaičiuoti socialinių paslaugų vartotojų patenkinimo indeksą ir nustatyti tobulintinas įstaigų veiklos sritis, lemiančias aukštesnį vartotojų patenkinimą.</w:t>
                        </w:r>
                      </w:p>
                    </w:tc>
                  </w:tr>
                </w:tbl>
                <w:p>
                  <w:pPr>
                    <w:rPr>
                      <w:rFonts w:ascii="Calibri" w:hAnsi="Calibri"/>
                      <w:lang w:eastAsia="lt-LT"/>
                    </w:rPr>
                  </w:pPr>
                </w:p>
              </w:sdtContent>
            </w:sdt>
            <w:sdt>
              <w:sdtPr>
                <w:alias w:val="pastraipa"/>
                <w:tag w:val="part_7b4e3119e07943e2bf4fbc6781509bcf"/>
                <w:lock w:val="sdtLocked"/>
                <w:richText/>
              </w:sdtPr>
              <w:sdtContent>
                <w:p>
                  <w:pPr>
                    <w:spacing w:line="360" w:lineRule="auto"/>
                    <w:ind w:firstLine="284"/>
                    <w:jc w:val="both"/>
                    <w:rPr>
                      <w:rFonts w:ascii="Calibri" w:hAnsi="Calibri"/>
                      <w:szCs w:val="24"/>
                      <w:lang w:eastAsia="lt-LT"/>
                    </w:rPr>
                  </w:pPr>
                  <w:r>
                    <w:rPr>
                      <w:rFonts w:ascii="Calibri" w:hAnsi="Calibri"/>
                      <w:szCs w:val="24"/>
                      <w:lang w:eastAsia="lt-LT"/>
                    </w:rPr>
                    <w:t xml:space="preserve">Tyrimo metu apklaustųjų anonimiškumas buvo garantuojamas, tiriamųjų nebuvo prašoma nurodyti vardo ir pavardės. Visi duomenys buvo apdorojami bendrai, neišryškinant individualių atsakymų, o rezultatai buvo pateikiami tik apibendrinti. Klausimynas (anketa) susidėjo iš kelių stambių dalių: demografinių klausimų dalies bei pagrindinės anketos dalies, kurią sudarė klausimai apie teikiamas paslaugas bei jų kokybę. </w:t>
                  </w:r>
                </w:p>
              </w:sdtContent>
            </w:sdt>
            <w:sdt>
              <w:sdtPr>
                <w:alias w:val="pastraipa"/>
                <w:tag w:val="part_013c650b1c0b4f06a22c235bf048a114"/>
                <w:lock w:val="sdtLocked"/>
                <w:richText/>
              </w:sdtPr>
              <w:sdtContent>
                <w:p>
                  <w:pPr>
                    <w:spacing w:line="360" w:lineRule="auto"/>
                    <w:ind w:firstLine="284"/>
                    <w:jc w:val="both"/>
                    <w:rPr>
                      <w:rFonts w:ascii="Calibri" w:hAnsi="Calibri"/>
                      <w:szCs w:val="24"/>
                      <w:lang w:eastAsia="lt-LT"/>
                    </w:rPr>
                  </w:pPr>
                  <w:r>
                    <w:rPr>
                      <w:rFonts w:ascii="Calibri" w:hAnsi="Calibri"/>
                      <w:szCs w:val="24"/>
                      <w:lang w:eastAsia="lt-LT"/>
                    </w:rPr>
                    <w:t xml:space="preserve">Sudarant klausimyną, buvo remiamasi ir vadovaujamasi „Viešųjų paslaugų vartotojų patenkinimo indekso apskaičiavimo metodika“, joje pateiktu klausimyno pavyzdžiu, vartotojų pasitenkinimo X viešosiomis paslaugomis nustatymui. </w:t>
                  </w:r>
                </w:p>
              </w:sdtContent>
            </w:sdt>
            <w:sdt>
              <w:sdtPr>
                <w:alias w:val="pastraipa"/>
                <w:tag w:val="part_16bff98b5d304c24bc835e6304d42fc6"/>
                <w:lock w:val="sdtLocked"/>
                <w:richText/>
              </w:sdtPr>
              <w:sdtContent>
                <w:p>
                  <w:pPr>
                    <w:spacing w:line="360" w:lineRule="auto"/>
                    <w:ind w:firstLine="284"/>
                    <w:jc w:val="both"/>
                    <w:rPr>
                      <w:rFonts w:ascii="Calibri" w:hAnsi="Calibri"/>
                      <w:szCs w:val="24"/>
                      <w:lang w:eastAsia="lt-LT"/>
                    </w:rPr>
                  </w:pPr>
                  <w:r>
                    <w:rPr>
                      <w:rFonts w:ascii="Calibri" w:hAnsi="Calibri"/>
                      <w:szCs w:val="24"/>
                      <w:lang w:eastAsia="lt-LT"/>
                    </w:rPr>
                    <w:t xml:space="preserve">Tyrime buvo naudojamas sociologinėms apklausoms įprastas skalės tipo atsakymo formatas, susidedantis iš penkiabalės sistemos. Kuo didesnis skaičius pažymimas, tuo palankiau vertinama atitinkama paslauga. Atsakymai buvo koduojami balais nuo 1 iki 5, kuomet aukštesnysis vertinimas atitinka palankesnį paslaugos vertinimą, 5 – puikiai, 4 – gerai, 3 – vidutiniškai, 2 – silpnai, 1 – nepatenkinamai. Po kiekvieno klausimo apie viešąsias paslaugas gyventojams buvo pateikiami „atviri“ klausimai, t.y. gyventojų buvo prašoma savais žodžiais, laisva forma įvardinti svarbiausias problemas, kurios jų nuomone, kyla įstaigoje. </w:t>
                  </w:r>
                </w:p>
              </w:sdtContent>
            </w:sdt>
            <w:sdt>
              <w:sdtPr>
                <w:alias w:val="lentele"/>
                <w:tag w:val="part_1de16bcc91c442cc8c920823a7c205bf"/>
                <w:lock w:val="sdtLocked"/>
                <w:richText/>
              </w:sdtPr>
              <w:sdtContent>
                <w:tbl>
                  <w:tblPr>
                    <w:tblW w:w="10065" w:type="dxa"/>
                    <w:tblInd w:w="144" w:type="dxa"/>
                    <w:tblCellMar>
                      <w:left w:w="0" w:type="dxa"/>
                      <w:right w:w="0" w:type="dxa"/>
                    </w:tblCellMar>
                    <w:tblLook w:val="0420" w:firstRow="1" w:lastRow="0" w:firstColumn="0" w:lastColumn="0" w:noHBand="0" w:noVBand="1"/>
                  </w:tblPr>
                  <w:tblGrid>
                    <w:gridCol w:w="2694"/>
                    <w:gridCol w:w="7371"/>
                  </w:tblGrid>
                  <w:tr>
                    <w:trPr>
                      <w:trHeight w:val="323"/>
                    </w:trPr>
                    <w:tc>
                      <w:tcPr>
                        <w:tcW w:w="10065" w:type="dxa"/>
                        <w:gridSpan w:val="2"/>
                        <w:tcBorders>
                          <w:top w:val="single" w:sz="8" w:space="0" w:color="000000"/>
                          <w:left w:val="single" w:sz="8" w:space="0" w:color="000000"/>
                          <w:bottom w:val="single" w:sz="8" w:space="0" w:color="000000"/>
                          <w:right w:val="single" w:sz="8" w:space="0" w:color="000000"/>
                        </w:tcBorders>
                        <w:shd w:val="clear" w:color="auto" w:fill="C00000"/>
                        <w:tcMar>
                          <w:top w:w="72" w:type="dxa"/>
                          <w:left w:w="144" w:type="dxa"/>
                          <w:bottom w:w="72" w:type="dxa"/>
                          <w:right w:w="144" w:type="dxa"/>
                        </w:tcMar>
                      </w:tcPr>
                      <w:p>
                        <w:pPr>
                          <w:jc w:val="center"/>
                          <w:rPr>
                            <w:rFonts w:ascii="Calibri" w:hAnsi="Calibri"/>
                            <w:b/>
                            <w:bCs/>
                            <w:kern w:val="28"/>
                            <w:szCs w:val="24"/>
                            <w:lang w:eastAsia="lt-LT"/>
                          </w:rPr>
                        </w:pPr>
                        <w:r>
                          <w:rPr>
                            <w:rFonts w:ascii="Calibri" w:hAnsi="Calibri"/>
                            <w:b/>
                            <w:bCs/>
                            <w:kern w:val="28"/>
                            <w:szCs w:val="24"/>
                            <w:lang w:eastAsia="lt-LT"/>
                          </w:rPr>
                          <w:t>Apklausos imties apibūdinimas</w:t>
                        </w:r>
                      </w:p>
                    </w:tc>
                  </w:tr>
                  <w:tr>
                    <w:trPr>
                      <w:trHeight w:val="517"/>
                    </w:trPr>
                    <w:tc>
                      <w:tcPr>
                        <w:tcW w:w="2694" w:type="dxa"/>
                        <w:tcBorders>
                          <w:top w:val="single" w:sz="8" w:space="0" w:color="000000"/>
                          <w:left w:val="single" w:sz="8" w:space="0" w:color="000000"/>
                          <w:bottom w:val="single" w:sz="8" w:space="0" w:color="000000"/>
                          <w:right w:val="single" w:sz="8" w:space="0" w:color="000000"/>
                        </w:tcBorders>
                        <w:shd w:val="clear" w:color="auto" w:fill="C00000"/>
                        <w:tcMar>
                          <w:top w:w="72" w:type="dxa"/>
                          <w:left w:w="144" w:type="dxa"/>
                          <w:bottom w:w="72" w:type="dxa"/>
                          <w:right w:w="144" w:type="dxa"/>
                        </w:tcMar>
                      </w:tcPr>
                      <w:p>
                        <w:pPr>
                          <w:rPr>
                            <w:rFonts w:ascii="Calibri" w:hAnsi="Calibri"/>
                            <w:b/>
                            <w:bCs/>
                            <w:kern w:val="28"/>
                            <w:szCs w:val="24"/>
                            <w:lang w:eastAsia="lt-LT"/>
                          </w:rPr>
                        </w:pPr>
                        <w:r>
                          <w:rPr>
                            <w:rFonts w:ascii="Calibri" w:hAnsi="Calibri"/>
                            <w:b/>
                            <w:bCs/>
                            <w:kern w:val="28"/>
                            <w:szCs w:val="24"/>
                            <w:lang w:eastAsia="lt-LT"/>
                          </w:rPr>
                          <w:t xml:space="preserve">Generalinė visuma </w:t>
                        </w:r>
                        <w:r>
                          <w:rPr>
                            <w:rFonts w:ascii="Calibri" w:hAnsi="Calibri"/>
                            <w:b/>
                            <w:bCs/>
                            <w:kern w:val="28"/>
                            <w:sz w:val="20"/>
                            <w:lang w:eastAsia="lt-LT"/>
                          </w:rPr>
                          <w:t>(tiriamoji populiacija)</w:t>
                        </w:r>
                      </w:p>
                    </w:tc>
                    <w:tc>
                      <w:tcPr>
                        <w:tcW w:w="737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pPr>
                          <w:jc w:val="both"/>
                          <w:rPr>
                            <w:rFonts w:ascii="Calibri" w:hAnsi="Calibri"/>
                            <w:bCs/>
                            <w:kern w:val="28"/>
                            <w:szCs w:val="24"/>
                            <w:lang w:eastAsia="lt-LT"/>
                          </w:rPr>
                        </w:pPr>
                        <w:r>
                          <w:rPr>
                            <w:rFonts w:ascii="Calibri" w:hAnsi="Calibri"/>
                            <w:szCs w:val="24"/>
                            <w:lang w:eastAsia="lt-LT"/>
                          </w:rPr>
                          <w:t>Telšių rajono gyventojai.</w:t>
                        </w:r>
                      </w:p>
                    </w:tc>
                  </w:tr>
                  <w:tr>
                    <w:trPr>
                      <w:trHeight w:val="388"/>
                    </w:trPr>
                    <w:tc>
                      <w:tcPr>
                        <w:tcW w:w="2694" w:type="dxa"/>
                        <w:tcBorders>
                          <w:top w:val="single" w:sz="8" w:space="0" w:color="000000"/>
                          <w:left w:val="single" w:sz="8" w:space="0" w:color="000000"/>
                          <w:bottom w:val="single" w:sz="8" w:space="0" w:color="000000"/>
                          <w:right w:val="single" w:sz="8" w:space="0" w:color="000000"/>
                        </w:tcBorders>
                        <w:shd w:val="clear" w:color="auto" w:fill="C00000"/>
                        <w:tcMar>
                          <w:top w:w="72" w:type="dxa"/>
                          <w:left w:w="144" w:type="dxa"/>
                          <w:bottom w:w="72" w:type="dxa"/>
                          <w:right w:w="144" w:type="dxa"/>
                        </w:tcMar>
                        <w:hideMark/>
                      </w:tcPr>
                      <w:p>
                        <w:pPr>
                          <w:rPr>
                            <w:rFonts w:ascii="Calibri" w:hAnsi="Calibri"/>
                            <w:b/>
                            <w:bCs/>
                            <w:kern w:val="28"/>
                            <w:szCs w:val="24"/>
                            <w:lang w:eastAsia="lt-LT"/>
                          </w:rPr>
                        </w:pPr>
                        <w:r>
                          <w:rPr>
                            <w:rFonts w:ascii="Calibri" w:hAnsi="Calibri"/>
                            <w:b/>
                            <w:bCs/>
                            <w:kern w:val="28"/>
                            <w:szCs w:val="24"/>
                            <w:lang w:eastAsia="lt-LT"/>
                          </w:rPr>
                          <w:t xml:space="preserve">Imtis </w:t>
                        </w:r>
                      </w:p>
                      <w:p>
                        <w:pPr>
                          <w:rPr>
                            <w:rFonts w:ascii="Calibri" w:hAnsi="Calibri"/>
                            <w:b/>
                            <w:bCs/>
                            <w:kern w:val="28"/>
                            <w:sz w:val="20"/>
                            <w:lang w:eastAsia="lt-LT"/>
                          </w:rPr>
                        </w:pPr>
                        <w:r>
                          <w:rPr>
                            <w:rFonts w:ascii="Calibri" w:hAnsi="Calibri"/>
                            <w:b/>
                            <w:bCs/>
                            <w:kern w:val="28"/>
                            <w:sz w:val="20"/>
                            <w:lang w:eastAsia="lt-LT"/>
                          </w:rPr>
                          <w:t>(</w:t>
                        </w:r>
                        <w:r>
                          <w:rPr>
                            <w:rFonts w:ascii="Calibri" w:hAnsi="Calibri"/>
                            <w:sz w:val="20"/>
                            <w:lang w:eastAsia="lt-LT"/>
                          </w:rPr>
                          <w:t>iš generalinės visumos tyrimui atrinktų asmenų grupė)</w:t>
                        </w:r>
                      </w:p>
                    </w:tc>
                    <w:tc>
                      <w:tcPr>
                        <w:tcW w:w="737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pPr>
                          <w:tabs>
                            <w:tab w:val="left" w:pos="281"/>
                          </w:tabs>
                          <w:jc w:val="both"/>
                          <w:rPr>
                            <w:rFonts w:ascii="Calibri" w:hAnsi="Calibri"/>
                            <w:szCs w:val="24"/>
                            <w:lang w:eastAsia="lt-LT"/>
                          </w:rPr>
                        </w:pPr>
                        <w:r>
                          <w:rPr>
                            <w:rFonts w:ascii="Calibri" w:hAnsi="Calibri"/>
                            <w:szCs w:val="24"/>
                            <w:lang w:eastAsia="lt-LT"/>
                          </w:rPr>
                          <w:t xml:space="preserve">Socialinėmis paslaugomis besinaudojanti gyventojų dalis. </w:t>
                        </w:r>
                      </w:p>
                    </w:tc>
                  </w:tr>
                  <w:tr>
                    <w:trPr>
                      <w:trHeight w:val="1166"/>
                    </w:trPr>
                    <w:tc>
                      <w:tcPr>
                        <w:tcW w:w="2694" w:type="dxa"/>
                        <w:tcBorders>
                          <w:top w:val="single" w:sz="8" w:space="0" w:color="000000"/>
                          <w:left w:val="single" w:sz="8" w:space="0" w:color="000000"/>
                          <w:bottom w:val="single" w:sz="8" w:space="0" w:color="000000"/>
                          <w:right w:val="single" w:sz="8" w:space="0" w:color="000000"/>
                        </w:tcBorders>
                        <w:shd w:val="clear" w:color="auto" w:fill="C00000"/>
                        <w:tcMar>
                          <w:top w:w="72" w:type="dxa"/>
                          <w:left w:w="144" w:type="dxa"/>
                          <w:bottom w:w="72" w:type="dxa"/>
                          <w:right w:w="144" w:type="dxa"/>
                        </w:tcMar>
                        <w:hideMark/>
                      </w:tcPr>
                      <w:p>
                        <w:pPr>
                          <w:rPr>
                            <w:rFonts w:ascii="Calibri" w:hAnsi="Calibri"/>
                            <w:b/>
                            <w:bCs/>
                            <w:kern w:val="28"/>
                            <w:szCs w:val="24"/>
                            <w:lang w:eastAsia="lt-LT"/>
                          </w:rPr>
                        </w:pPr>
                        <w:r>
                          <w:rPr>
                            <w:rFonts w:ascii="Calibri" w:hAnsi="Calibri"/>
                            <w:b/>
                            <w:bCs/>
                            <w:kern w:val="28"/>
                            <w:szCs w:val="24"/>
                            <w:lang w:eastAsia="lt-LT"/>
                          </w:rPr>
                          <w:t xml:space="preserve">Anketų grįžtamumas </w:t>
                        </w:r>
                      </w:p>
                    </w:tc>
                    <w:tc>
                      <w:tcPr>
                        <w:tcW w:w="737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pPr>
                          <w:tabs>
                            <w:tab w:val="left" w:pos="281"/>
                          </w:tabs>
                          <w:jc w:val="both"/>
                          <w:rPr>
                            <w:rFonts w:ascii="Calibri" w:hAnsi="Calibri"/>
                            <w:szCs w:val="24"/>
                            <w:lang w:eastAsia="lt-LT"/>
                          </w:rPr>
                        </w:pPr>
                        <w:r>
                          <w:rPr>
                            <w:rFonts w:ascii="Calibri" w:hAnsi="Calibri"/>
                            <w:szCs w:val="24"/>
                            <w:lang w:eastAsia="lt-LT"/>
                          </w:rPr>
                          <w:t xml:space="preserve">Socialinėmis paslaugomis besinaudojanti gyventojų dalis. </w:t>
                        </w:r>
                      </w:p>
                      <w:p>
                        <w:pPr>
                          <w:tabs>
                            <w:tab w:val="left" w:pos="281"/>
                          </w:tabs>
                          <w:ind w:left="-3"/>
                          <w:jc w:val="both"/>
                          <w:rPr>
                            <w:rFonts w:ascii="Calibri" w:hAnsi="Calibri"/>
                            <w:szCs w:val="24"/>
                            <w:lang w:eastAsia="lt-LT"/>
                          </w:rPr>
                        </w:pPr>
                        <w:r>
                          <w:rPr>
                            <w:rFonts w:ascii="Calibri" w:hAnsi="Calibri"/>
                            <w:lang w:eastAsia="lt-LT"/>
                          </w:rPr>
                          <w:t xml:space="preserve">Elektroniniu būdu buvo užpildyta 285 anketų.  </w:t>
                        </w:r>
                      </w:p>
                      <w:p>
                        <w:pPr>
                          <w:tabs>
                            <w:tab w:val="left" w:pos="281"/>
                          </w:tabs>
                          <w:jc w:val="both"/>
                          <w:rPr>
                            <w:rFonts w:ascii="Calibri" w:hAnsi="Calibri"/>
                            <w:color w:val="808080"/>
                            <w:lang w:eastAsia="lt-LT"/>
                          </w:rPr>
                        </w:pPr>
                        <w:r>
                          <w:rPr>
                            <w:rFonts w:ascii="Calibri" w:hAnsi="Calibri"/>
                            <w:lang w:eastAsia="lt-LT"/>
                          </w:rPr>
                          <w:t>Rezultate visi paskaičiavimai atlikti iš 285 atsakymų</w:t>
                        </w:r>
                        <w:r>
                          <w:rPr>
                            <w:rFonts w:ascii="Calibri" w:hAnsi="Calibri"/>
                            <w:color w:val="808080"/>
                            <w:lang w:eastAsia="lt-LT"/>
                          </w:rPr>
                          <w:t>.</w:t>
                        </w:r>
                      </w:p>
                    </w:tc>
                  </w:tr>
                </w:tbl>
                <w:p>
                  <w:pPr>
                    <w:rPr>
                      <w:sz w:val="20"/>
                    </w:rPr>
                  </w:pPr>
                </w:p>
              </w:sdtContent>
            </w:sdt>
          </w:sdtContent>
        </w:sdt>
        <w:sdt>
          <w:sdtPr>
            <w:alias w:val="skirsnis"/>
            <w:tag w:val="part_f4a4552d46c14034bebbc2933b44f278"/>
            <w:lock w:val="sdtLocked"/>
            <w:richText/>
          </w:sdtPr>
          <w:sdtContent>
            <w:p>
              <w:pPr>
                <w:rPr>
                  <w:rFonts w:ascii="Calibri" w:hAnsi="Calibri"/>
                  <w:b/>
                  <w:bCs/>
                  <w:color w:val="C00000"/>
                  <w:kern w:val="28"/>
                  <w:sz w:val="28"/>
                  <w:szCs w:val="28"/>
                  <w:lang w:eastAsia="lt-LT"/>
                </w:rPr>
              </w:pPr>
              <w:r>
                <w:rPr>
                  <w:rFonts w:ascii="Calibri" w:hAnsi="Calibri"/>
                  <w:b/>
                  <w:bCs/>
                  <w:color w:val="C00000"/>
                  <w:kern w:val="28"/>
                  <w:sz w:val="28"/>
                  <w:szCs w:val="28"/>
                  <w:lang w:eastAsia="lt-LT"/>
                </w:rPr>
                <w:br w:type="page"/>
              </w:r>
              <w:sdt>
                <w:sdtPr>
                  <w:alias w:val="Pavadinimas"/>
                  <w:tag w:val="title_f4a4552d46c14034bebbc2933b44f278"/>
                  <w:lock w:val="sdtLocked"/>
                  <w:richText/>
                </w:sdtPr>
                <w:sdtContent>
                  <w:r>
                    <w:rPr>
                      <w:rFonts w:ascii="Calibri" w:hAnsi="Calibri"/>
                      <w:b/>
                      <w:bCs/>
                      <w:color w:val="C00000"/>
                      <w:kern w:val="28"/>
                      <w:sz w:val="28"/>
                      <w:szCs w:val="28"/>
                      <w:lang w:eastAsia="lt-LT"/>
                    </w:rPr>
                    <w:t xml:space="preserve">VIEŠŲJŲ SOCIALINIŲ PASLAUGŲ VERTINIMAS </w:t>
                  </w:r>
                </w:sdtContent>
              </w:sdt>
            </w:p>
            <w:p>
              <w:pPr>
                <w:rPr>
                  <w:sz w:val="6"/>
                  <w:szCs w:val="6"/>
                </w:rPr>
              </w:pPr>
            </w:p>
            <w:p>
              <w:pPr>
                <w:rPr>
                  <w:rFonts w:ascii="Calibri" w:hAnsi="Calibri"/>
                  <w:sz w:val="16"/>
                  <w:szCs w:val="16"/>
                  <w:lang w:eastAsia="lt-LT"/>
                </w:rPr>
              </w:pPr>
            </w:p>
            <w:p>
              <w:pPr>
                <w:keepNext/>
                <w:rPr>
                  <w:rFonts w:ascii="Calibri" w:hAnsi="Calibri"/>
                  <w:b/>
                  <w:bCs/>
                  <w:sz w:val="20"/>
                  <w:lang w:eastAsia="lt-LT"/>
                </w:rPr>
              </w:pPr>
              <w:r>
                <w:rPr>
                  <w:rFonts w:ascii="Calibri" w:hAnsi="Calibri"/>
                  <w:b/>
                  <w:bCs/>
                  <w:sz w:val="20"/>
                  <w:lang w:eastAsia="lt-LT"/>
                </w:rPr>
                <w:t>1 pav. Vartotojų pasitenkinimo socialinių paslaugų kokybe indeksas (VPI)</w:t>
              </w:r>
            </w:p>
            <w:p>
              <w:pPr>
                <w:rPr>
                  <w:rFonts w:ascii="Calibri" w:hAnsi="Calibri"/>
                  <w:lang w:eastAsia="lt-LT"/>
                </w:rPr>
              </w:pPr>
              <w:r>
                <w:rPr>
                  <w:rFonts w:ascii="Calibri" w:hAnsi="Calibri"/>
                  <w:lang w:val="en-US"/>
                </w:rPr>
                <mc:AlternateContent>
                  <mc:Choice Requires="wps">
                    <w:drawing>
                      <wp:anchor distT="0" distB="0" distL="114300" distR="114300" simplePos="0" relativeHeight="251658240" behindDoc="0" locked="0" layoutInCell="1" allowOverlap="1" wp14:anchorId="56B14D6C" wp14:editId="4963AAC2">
                        <wp:simplePos x="0" y="0"/>
                        <wp:positionH relativeFrom="column">
                          <wp:posOffset>3672205</wp:posOffset>
                        </wp:positionH>
                        <wp:positionV relativeFrom="paragraph">
                          <wp:posOffset>132715</wp:posOffset>
                        </wp:positionV>
                        <wp:extent cx="612140" cy="291465"/>
                        <wp:effectExtent l="10160" t="5715" r="6350" b="7620"/>
                        <wp:wrapNone/>
                        <wp:docPr id="1909974348" name="Oval 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140" cy="291465"/>
                                </a:xfrm>
                                <a:prstGeom prst="ellipse">
                                  <a:avLst/>
                                </a:prstGeom>
                                <a:solidFill>
                                  <a:srgbClr val="C00000"/>
                                </a:solidFill>
                                <a:ln w="9525">
                                  <a:solidFill>
                                    <a:srgbClr val="000000"/>
                                  </a:solidFill>
                                  <a:round/>
                                  <a:headEnd/>
                                  <a:tailEnd/>
                                </a:ln>
                              </wps:spPr>
                              <wps:txbx>
                                <w:txbxContent>
                                  <w:p>
                                    <w:pPr>
                                      <w:jc w:val="center"/>
                                      <w:rPr>
                                        <w:rFonts w:ascii="Calibri" w:hAnsi="Calibri"/>
                                        <w:b/>
                                        <w:sz w:val="18"/>
                                        <w:szCs w:val="18"/>
                                        <w:lang w:eastAsia="lt-LT"/>
                                      </w:rPr>
                                    </w:pPr>
                                    <w:r>
                                      <w:rPr>
                                        <w:rFonts w:ascii="Calibri" w:hAnsi="Calibri"/>
                                        <w:b/>
                                        <w:sz w:val="18"/>
                                        <w:szCs w:val="18"/>
                                        <w:lang w:eastAsia="lt-LT"/>
                                      </w:rPr>
                                      <w:t>62,2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6B14D6C" id="Oval 147" o:spid="_x0000_s1026" style="position:absolute;margin-left:289.15pt;margin-top:10.45pt;width:48.2pt;height:22.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knOCXJQIAAEIEAAAOAAAAZHJzL2Uyb0RvYy54bWysU1Fv0zAQfkfiP1h+p0lK29Go6TR1DCEN NmnwA1zHaSwcnzm7Tcuv5+xkpQOeEHmw7nLn7+6+z7e6PnaGHRR6DbbixSTnTFkJtba7in/9cvfm HWc+CFsLA1ZV/KQ8v16/frXqXamm0IKpFTICsb7sXcXbEFyZZV62qhN+Ak5ZCjaAnQjk4i6rUfSE 3plsmueLrAesHYJU3tPf2yHI1wm/aZQMD03jVWCm4tRbSCemcxvPbL0S5Q6Fa7Uc2xD/0EUntKWi Z6hbEQTbo/4DqtMSwUMTJhK6DJpGS5VmoGmK/LdpnlrhVJqFyPHuTJP/f7Dy8+ERma5Ju2W+XF7N 3s5IMSs60urhIAwrZleRpN75knKf3CPGMb27B/nNMwubVtidukGEvlWiptaKmJ+9uBAdT1fZtv8E NUGLfYDE17HBLgISE+yYZDmdZVHHwCT9XBTTYkbiSQpNl8VsMU8VRPl82aEPHxR0LBoVV8Zo5yNx ohSHex9iP6J8zkr9g9H1nTYmObjbbgwyGrfimzx+YwF/mWYs6yu+nE/nCflFzF9CJIS/QiDsbZ2e XOTq/WgHoc1gU5fGjuRFvgbew3F7HCXYQn0iGhGGh0yLR0YL+IOznh5xxf33vUDFmfloSQoiKxIX kjObX03JwcvI9jIirCSoigfOBnMThk3ZO9S7lioVaXILNyRfoxOvUdqhq7FveqiJ7nGp4iZc+inr 1+qvfwIAAP//AwBQSwMEFAAGAAgAAAAhAMnGpDvgAAAACQEAAA8AAABkcnMvZG93bnJldi54bWxM j8FOwkAQhu8mvMNmSLwQ2QrY1totMUYlwRPgAyzdoS10Z2t3gfr2jie9zWS+/PP9+XKwrbhg7xtH Cu6nEQik0pmGKgWfu7e7FIQPmoxuHaGCb/SwLEY3uc6Mu9IGL9tQCQ4hn2kFdQhdJqUva7TaT12H xLeD660OvPaVNL2+crht5SyKYml1Q/yh1h2+1Fietmer4HUiD8cv+77aLHYmfJTz9SQka6Vux8Pz E4iAQ/iD4Vef1aFgp707k/GiVfCQpHNGFcyiRxAMxMkiAbHnIU5BFrn836D4AQAA//8DAFBLAQIt ABQABgAIAAAAIQC2gziS/gAAAOEBAAATAAAAAAAAAAAAAAAAAAAAAABbQ29udGVudF9UeXBlc10u eG1sUEsBAi0AFAAGAAgAAAAhADj9If/WAAAAlAEAAAsAAAAAAAAAAAAAAAAALwEAAF9yZWxzLy5y ZWxzUEsBAi0AFAAGAAgAAAAhAGSc4JclAgAAQgQAAA4AAAAAAAAAAAAAAAAALgIAAGRycy9lMm9E b2MueG1sUEsBAi0AFAAGAAgAAAAhAMnGpDvgAAAACQEAAA8AAAAAAAAAAAAAAAAAfwQAAGRycy9k b3ducmV2LnhtbFBLBQYAAAAABAAEAPMAAACMBQAAAAA= " fillcolor="#c00000">
                        <v:textbox>
                          <w:txbxContent>
                            <w:p w14:paraId="62AB05A4" w14:textId="77777777">
                              <w:pPr>
                                <w:jc w:val="center"/>
                                <w:rPr>
                                  <w:rFonts w:ascii="Calibri" w:hAnsi="Calibri" w:eastAsia="Times New Roman" w:cs="Times New Roman"/>
                                  <w:b/>
                                  <w:sz w:val="18"/>
                                  <w:szCs w:val="18"/>
                                  <w:lang w:eastAsia="lt-LT"/>
                                </w:rPr>
                              </w:pPr>
                              <w:r>
                                <w:rPr>
                                  <w:rFonts w:ascii="Calibri" w:hAnsi="Calibri" w:eastAsia="Times New Roman" w:cs="Times New Roman"/>
                                  <w:b/>
                                  <w:sz w:val="18"/>
                                  <w:szCs w:val="18"/>
                                  <w:lang w:eastAsia="lt-LT"/>
                                </w:rPr>
                                <w:t>62,2</w:t>
                              </w:r>
                            </w:p>
                          </w:txbxContent>
                        </v:textbox>
                      </v:oval>
                    </w:pict>
                  </mc:Fallback>
                </mc:AlternateConten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1"/>
                <w:gridCol w:w="822"/>
                <w:gridCol w:w="822"/>
                <w:gridCol w:w="821"/>
                <w:gridCol w:w="821"/>
                <w:gridCol w:w="821"/>
                <w:gridCol w:w="821"/>
                <w:gridCol w:w="821"/>
                <w:gridCol w:w="821"/>
                <w:gridCol w:w="821"/>
                <w:gridCol w:w="821"/>
                <w:gridCol w:w="821"/>
              </w:tblGrid>
              <w:tr>
                <w:trPr>
                  <w:trHeight w:val="236"/>
                </w:trPr>
                <w:tc>
                  <w:tcPr>
                    <w:tcW w:w="888" w:type="dxa"/>
                    <w:shd w:val="clear" w:color="auto" w:fill="auto"/>
                  </w:tcPr>
                  <w:p>
                    <w:pPr>
                      <w:jc w:val="center"/>
                      <w:rPr>
                        <w:rFonts w:ascii="Calibri" w:hAnsi="Calibri"/>
                        <w:b/>
                        <w:bCs/>
                        <w:lang w:eastAsia="lt-LT"/>
                      </w:rPr>
                    </w:pPr>
                    <w:r>
                      <w:rPr>
                        <w:rFonts w:ascii="Calibri" w:hAnsi="Calibri"/>
                        <w:b/>
                        <w:bCs/>
                        <w:sz w:val="20"/>
                        <w:szCs w:val="16"/>
                        <w:lang w:eastAsia="lt-LT"/>
                      </w:rPr>
                      <w:t>2017 m.</w:t>
                    </w:r>
                  </w:p>
                </w:tc>
                <w:tc>
                  <w:tcPr>
                    <w:tcW w:w="841" w:type="dxa"/>
                    <w:shd w:val="clear" w:color="auto" w:fill="auto"/>
                  </w:tcPr>
                  <w:p>
                    <w:pPr>
                      <w:jc w:val="center"/>
                      <w:rPr>
                        <w:rFonts w:ascii="Calibri" w:hAnsi="Calibri"/>
                        <w:lang w:eastAsia="lt-LT"/>
                      </w:rPr>
                    </w:pPr>
                  </w:p>
                </w:tc>
                <w:tc>
                  <w:tcPr>
                    <w:tcW w:w="842" w:type="dxa"/>
                    <w:shd w:val="clear" w:color="auto" w:fill="auto"/>
                  </w:tcPr>
                  <w:p>
                    <w:pPr>
                      <w:jc w:val="center"/>
                      <w:rPr>
                        <w:rFonts w:ascii="Calibri" w:hAnsi="Calibri"/>
                        <w:lang w:eastAsia="lt-LT"/>
                      </w:rPr>
                    </w:pPr>
                  </w:p>
                </w:tc>
                <w:tc>
                  <w:tcPr>
                    <w:tcW w:w="841" w:type="dxa"/>
                    <w:shd w:val="clear" w:color="auto" w:fill="auto"/>
                  </w:tcPr>
                  <w:p>
                    <w:pPr>
                      <w:jc w:val="center"/>
                      <w:rPr>
                        <w:rFonts w:ascii="Calibri" w:hAnsi="Calibri"/>
                        <w:lang w:eastAsia="lt-LT"/>
                      </w:rPr>
                    </w:pPr>
                  </w:p>
                </w:tc>
                <w:tc>
                  <w:tcPr>
                    <w:tcW w:w="841" w:type="dxa"/>
                    <w:shd w:val="clear" w:color="auto" w:fill="auto"/>
                  </w:tcPr>
                  <w:p>
                    <w:pPr>
                      <w:jc w:val="center"/>
                      <w:rPr>
                        <w:rFonts w:ascii="Calibri" w:hAnsi="Calibri"/>
                        <w:lang w:eastAsia="lt-LT"/>
                      </w:rPr>
                    </w:pPr>
                  </w:p>
                </w:tc>
                <w:tc>
                  <w:tcPr>
                    <w:tcW w:w="841" w:type="dxa"/>
                    <w:shd w:val="clear" w:color="auto" w:fill="auto"/>
                  </w:tcPr>
                  <w:p>
                    <w:pPr>
                      <w:jc w:val="center"/>
                      <w:rPr>
                        <w:rFonts w:ascii="Calibri" w:hAnsi="Calibri"/>
                        <w:lang w:eastAsia="lt-LT"/>
                      </w:rPr>
                    </w:pPr>
                  </w:p>
                </w:tc>
                <w:tc>
                  <w:tcPr>
                    <w:tcW w:w="841" w:type="dxa"/>
                    <w:shd w:val="clear" w:color="auto" w:fill="auto"/>
                  </w:tcPr>
                  <w:p>
                    <w:pPr>
                      <w:jc w:val="center"/>
                      <w:rPr>
                        <w:rFonts w:ascii="Calibri" w:hAnsi="Calibri"/>
                        <w:lang w:eastAsia="lt-LT"/>
                      </w:rPr>
                    </w:pPr>
                  </w:p>
                </w:tc>
                <w:tc>
                  <w:tcPr>
                    <w:tcW w:w="841" w:type="dxa"/>
                  </w:tcPr>
                  <w:p>
                    <w:pPr>
                      <w:jc w:val="center"/>
                      <w:rPr>
                        <w:rFonts w:ascii="Calibri" w:hAnsi="Calibri"/>
                        <w:lang w:eastAsia="lt-LT"/>
                      </w:rPr>
                    </w:pPr>
                  </w:p>
                </w:tc>
                <w:tc>
                  <w:tcPr>
                    <w:tcW w:w="841" w:type="dxa"/>
                    <w:shd w:val="clear" w:color="auto" w:fill="auto"/>
                  </w:tcPr>
                  <w:p>
                    <w:pPr>
                      <w:jc w:val="center"/>
                      <w:rPr>
                        <w:rFonts w:ascii="Calibri" w:hAnsi="Calibri"/>
                        <w:lang w:eastAsia="lt-LT"/>
                      </w:rPr>
                    </w:pPr>
                    <w:r>
                      <w:rPr>
                        <w:rFonts w:ascii="Calibri" w:hAnsi="Calibri"/>
                        <w:lang w:val="en-US"/>
                      </w:rPr>
                      <mc:AlternateContent>
                        <mc:Choice Requires="wps">
                          <w:drawing>
                            <wp:anchor distT="0" distB="0" distL="114300" distR="114300" simplePos="0" relativeHeight="251659264" behindDoc="0" locked="0" layoutInCell="1" allowOverlap="1" wp14:anchorId="6AF41D0C" wp14:editId="4DC41FD4">
                              <wp:simplePos x="0" y="0"/>
                              <wp:positionH relativeFrom="column">
                                <wp:posOffset>-18415</wp:posOffset>
                              </wp:positionH>
                              <wp:positionV relativeFrom="paragraph">
                                <wp:posOffset>144780</wp:posOffset>
                              </wp:positionV>
                              <wp:extent cx="612140" cy="291465"/>
                              <wp:effectExtent l="12700" t="10160" r="13335" b="12700"/>
                              <wp:wrapNone/>
                              <wp:docPr id="500096720" name="Oval 3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140" cy="291465"/>
                                      </a:xfrm>
                                      <a:prstGeom prst="ellipse">
                                        <a:avLst/>
                                      </a:prstGeom>
                                      <a:solidFill>
                                        <a:srgbClr val="C00000"/>
                                      </a:solidFill>
                                      <a:ln w="9525">
                                        <a:solidFill>
                                          <a:srgbClr val="000000"/>
                                        </a:solidFill>
                                        <a:round/>
                                        <a:headEnd/>
                                        <a:tailEnd/>
                                      </a:ln>
                                    </wps:spPr>
                                    <wps:txbx>
                                      <w:txbxContent>
                                        <w:p>
                                          <w:pPr>
                                            <w:jc w:val="center"/>
                                            <w:rPr>
                                              <w:rFonts w:ascii="Calibri" w:hAnsi="Calibri"/>
                                              <w:b/>
                                              <w:sz w:val="18"/>
                                              <w:szCs w:val="18"/>
                                              <w:lang w:eastAsia="lt-LT"/>
                                            </w:rPr>
                                          </w:pPr>
                                          <w:r>
                                            <w:rPr>
                                              <w:rFonts w:ascii="Calibri" w:hAnsi="Calibri"/>
                                              <w:b/>
                                              <w:sz w:val="18"/>
                                              <w:szCs w:val="18"/>
                                              <w:lang w:eastAsia="lt-LT"/>
                                            </w:rPr>
                                            <w:t>78,2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AF41D0C" id="Oval 321" o:spid="_x0000_s1027" style="position:absolute;left:0;text-align:left;margin-left:-1.45pt;margin-top:11.4pt;width:48.2pt;height:22.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fi2ZNJgIAAEgEAAAOAAAAZHJzL2Uyb0RvYy54bWysVNtu2zAMfR+wfxD0vviyJFuMOEWRrsOA ri3Q7QMUWbaFyaJGKbG7rx8tJ1m67WnYi0Ca1OHhIeX11dAZdlDoNdiSZ7OUM2UlVNo2Jf/65fbN e858ELYSBqwq+bPy/Grz+tW6d4XKoQVTKWQEYn3Ru5K3IbgiSbxsVSf8DJyyFKwBOxHIxSapUPSE 3pkkT9Nl0gNWDkEq7+nrzRTkm4hf10qGh7r2KjBTcuIW4onx3I1nslmLokHhWi2PNMQ/sOiEtlT0 DHUjgmB71H9AdVoieKjDTEKXQF1rqWIP1E2W/tbNUyucir2QON6dZfL/D1beHx6R6arkizRNV8t3 OalkRUejejgIw97m2ahR73xBqU/uEccuvbsD+c0zC9tW2EZdI0LfKlERs5ifvLgwOp6usl3/GSqC FvsAUa6hxm4EJCHYEKfyfJ6KGgKT9HGZ5dmcWEkK5atsvlyMjBJRnC479OGjgo6NRsmVMdr5UTdR iMOdD1P2KSvyB6OrW21MdLDZbQ0yarfkW1IhjWtBBfxlmrGsL/lqkS8i8ouYv4SICH+FQNjbKm7c qNWHox2ENpNNJY2l1k56TbqHYTfECZ0nsYPqmdREmNaZnh8ZLeAPznpa5ZL773uBijPzydJESLNR vxCd+SKOGC8ju8uIsJKgSh44m8xtmN7L3qFuWqqURQEsXNMUax3lHRlPrI70aV3jjI5Pa3wPl37M +vUD2PwEAAD//wMAUEsDBBQABgAIAAAAIQAZENhX3wAAAAcBAAAPAAAAZHJzL2Rvd25yZXYueG1s TI/NTsMwEITvSLyDtUhcqtYhhf6EbCqE+JHKqS0P4MbbJBCvQ+y24e1ZTnAczWjmm3w1uFadqA+N Z4SbSQKKuPS24Qrhffc8XoAK0bA1rWdC+KYAq+LyIjeZ9Wfe0GkbKyUlHDKDUMfYZVqHsiZnwsR3 xOIdfO9MFNlX2vbmLOWu1WmSzLQzDctCbTp6rKn83B4dwtNIHz6+3Mvr5nZn41s5XY/ifI14fTU8 3IOKNMS/MPziCzoUwrT3R7ZBtQjjdClJhDSVB+Ivp3eg9gizxRx0kev//MUPAAAA//8DAFBLAQIt ABQABgAIAAAAIQC2gziS/gAAAOEBAAATAAAAAAAAAAAAAAAAAAAAAABbQ29udGVudF9UeXBlc10u eG1sUEsBAi0AFAAGAAgAAAAhADj9If/WAAAAlAEAAAsAAAAAAAAAAAAAAAAALwEAAF9yZWxzLy5y ZWxzUEsBAi0AFAAGAAgAAAAhAF+LZk0mAgAASAQAAA4AAAAAAAAAAAAAAAAALgIAAGRycy9lMm9E b2MueG1sUEsBAi0AFAAGAAgAAAAhABkQ2FffAAAABwEAAA8AAAAAAAAAAAAAAAAAgAQAAGRycy9k b3ducmV2LnhtbFBLBQYAAAAABAAEAPMAAACMBQAAAAA= " fillcolor="#c00000">
                              <v:textbox>
                                <w:txbxContent>
                                  <w:p w14:paraId="7CEC7441" w14:textId="77777777">
                                    <w:pPr>
                                      <w:jc w:val="center"/>
                                      <w:rPr>
                                        <w:rFonts w:ascii="Calibri" w:hAnsi="Calibri" w:eastAsia="Times New Roman" w:cs="Times New Roman"/>
                                        <w:b/>
                                        <w:sz w:val="18"/>
                                        <w:szCs w:val="18"/>
                                        <w:lang w:eastAsia="lt-LT"/>
                                      </w:rPr>
                                    </w:pPr>
                                    <w:r>
                                      <w:rPr>
                                        <w:rFonts w:ascii="Calibri" w:hAnsi="Calibri" w:eastAsia="Times New Roman" w:cs="Times New Roman"/>
                                        <w:b/>
                                        <w:sz w:val="18"/>
                                        <w:szCs w:val="18"/>
                                        <w:lang w:eastAsia="lt-LT"/>
                                      </w:rPr>
                                      <w:t>78,2</w:t>
                                    </w:r>
                                  </w:p>
                                </w:txbxContent>
                              </v:textbox>
                            </v:oval>
                          </w:pict>
                        </mc:Fallback>
                      </mc:AlternateContent>
                    </w:r>
                  </w:p>
                </w:tc>
                <w:tc>
                  <w:tcPr>
                    <w:tcW w:w="841" w:type="dxa"/>
                    <w:shd w:val="clear" w:color="auto" w:fill="auto"/>
                  </w:tcPr>
                  <w:p>
                    <w:pPr>
                      <w:jc w:val="center"/>
                      <w:rPr>
                        <w:rFonts w:ascii="Calibri" w:hAnsi="Calibri"/>
                        <w:lang w:eastAsia="lt-LT"/>
                      </w:rPr>
                    </w:pPr>
                  </w:p>
                </w:tc>
                <w:tc>
                  <w:tcPr>
                    <w:tcW w:w="841" w:type="dxa"/>
                    <w:shd w:val="clear" w:color="auto" w:fill="auto"/>
                  </w:tcPr>
                  <w:p>
                    <w:pPr>
                      <w:jc w:val="center"/>
                      <w:rPr>
                        <w:rFonts w:ascii="Calibri" w:hAnsi="Calibri"/>
                        <w:lang w:eastAsia="lt-LT"/>
                      </w:rPr>
                    </w:pPr>
                  </w:p>
                </w:tc>
                <w:tc>
                  <w:tcPr>
                    <w:tcW w:w="841" w:type="dxa"/>
                    <w:shd w:val="clear" w:color="auto" w:fill="auto"/>
                  </w:tcPr>
                  <w:p>
                    <w:pPr>
                      <w:jc w:val="center"/>
                      <w:rPr>
                        <w:rFonts w:ascii="Calibri" w:hAnsi="Calibri"/>
                        <w:lang w:eastAsia="lt-LT"/>
                      </w:rPr>
                    </w:pPr>
                  </w:p>
                </w:tc>
              </w:tr>
              <w:tr>
                <w:trPr>
                  <w:trHeight w:val="166"/>
                </w:trPr>
                <w:tc>
                  <w:tcPr>
                    <w:tcW w:w="888" w:type="dxa"/>
                    <w:shd w:val="clear" w:color="auto" w:fill="auto"/>
                  </w:tcPr>
                  <w:p>
                    <w:pPr>
                      <w:jc w:val="center"/>
                      <w:rPr>
                        <w:rFonts w:ascii="Calibri" w:hAnsi="Calibri"/>
                        <w:lang w:eastAsia="lt-LT"/>
                      </w:rPr>
                    </w:pPr>
                    <w:r>
                      <w:rPr>
                        <w:rFonts w:ascii="Calibri" w:hAnsi="Calibri"/>
                        <w:b/>
                        <w:bCs/>
                        <w:sz w:val="20"/>
                        <w:szCs w:val="16"/>
                        <w:lang w:eastAsia="lt-LT"/>
                      </w:rPr>
                      <w:t>2023 m.</w:t>
                    </w:r>
                  </w:p>
                </w:tc>
                <w:tc>
                  <w:tcPr>
                    <w:tcW w:w="841" w:type="dxa"/>
                    <w:shd w:val="clear" w:color="auto" w:fill="auto"/>
                  </w:tcPr>
                  <w:p>
                    <w:pPr>
                      <w:jc w:val="center"/>
                      <w:rPr>
                        <w:rFonts w:ascii="Calibri" w:hAnsi="Calibri"/>
                        <w:lang w:eastAsia="lt-LT"/>
                      </w:rPr>
                    </w:pPr>
                  </w:p>
                </w:tc>
                <w:tc>
                  <w:tcPr>
                    <w:tcW w:w="842" w:type="dxa"/>
                    <w:shd w:val="clear" w:color="auto" w:fill="auto"/>
                  </w:tcPr>
                  <w:p>
                    <w:pPr>
                      <w:jc w:val="center"/>
                      <w:rPr>
                        <w:rFonts w:ascii="Calibri" w:hAnsi="Calibri"/>
                        <w:lang w:eastAsia="lt-LT"/>
                      </w:rPr>
                    </w:pPr>
                  </w:p>
                </w:tc>
                <w:tc>
                  <w:tcPr>
                    <w:tcW w:w="841" w:type="dxa"/>
                    <w:shd w:val="clear" w:color="auto" w:fill="auto"/>
                  </w:tcPr>
                  <w:p>
                    <w:pPr>
                      <w:jc w:val="center"/>
                      <w:rPr>
                        <w:rFonts w:ascii="Calibri" w:hAnsi="Calibri"/>
                        <w:lang w:eastAsia="lt-LT"/>
                      </w:rPr>
                    </w:pPr>
                  </w:p>
                </w:tc>
                <w:tc>
                  <w:tcPr>
                    <w:tcW w:w="841" w:type="dxa"/>
                    <w:shd w:val="clear" w:color="auto" w:fill="auto"/>
                  </w:tcPr>
                  <w:p>
                    <w:pPr>
                      <w:jc w:val="center"/>
                      <w:rPr>
                        <w:rFonts w:ascii="Calibri" w:hAnsi="Calibri"/>
                        <w:lang w:eastAsia="lt-LT"/>
                      </w:rPr>
                    </w:pPr>
                  </w:p>
                </w:tc>
                <w:tc>
                  <w:tcPr>
                    <w:tcW w:w="841" w:type="dxa"/>
                    <w:shd w:val="clear" w:color="auto" w:fill="auto"/>
                  </w:tcPr>
                  <w:p>
                    <w:pPr>
                      <w:jc w:val="center"/>
                      <w:rPr>
                        <w:rFonts w:ascii="Calibri" w:hAnsi="Calibri"/>
                        <w:lang w:eastAsia="lt-LT"/>
                      </w:rPr>
                    </w:pPr>
                  </w:p>
                </w:tc>
                <w:tc>
                  <w:tcPr>
                    <w:tcW w:w="841" w:type="dxa"/>
                    <w:shd w:val="clear" w:color="auto" w:fill="auto"/>
                  </w:tcPr>
                  <w:p>
                    <w:pPr>
                      <w:jc w:val="center"/>
                      <w:rPr>
                        <w:rFonts w:ascii="Calibri" w:hAnsi="Calibri"/>
                        <w:lang w:eastAsia="lt-LT"/>
                      </w:rPr>
                    </w:pPr>
                  </w:p>
                </w:tc>
                <w:tc>
                  <w:tcPr>
                    <w:tcW w:w="841" w:type="dxa"/>
                  </w:tcPr>
                  <w:p>
                    <w:pPr>
                      <w:jc w:val="center"/>
                      <w:rPr>
                        <w:rFonts w:ascii="Calibri" w:hAnsi="Calibri"/>
                        <w:lang w:eastAsia="lt-LT"/>
                      </w:rPr>
                    </w:pPr>
                  </w:p>
                </w:tc>
                <w:tc>
                  <w:tcPr>
                    <w:tcW w:w="841" w:type="dxa"/>
                    <w:shd w:val="clear" w:color="auto" w:fill="auto"/>
                  </w:tcPr>
                  <w:p>
                    <w:pPr>
                      <w:jc w:val="center"/>
                      <w:rPr>
                        <w:rFonts w:ascii="Calibri" w:hAnsi="Calibri"/>
                        <w:lang w:eastAsia="lt-LT"/>
                      </w:rPr>
                    </w:pPr>
                  </w:p>
                </w:tc>
                <w:tc>
                  <w:tcPr>
                    <w:tcW w:w="841" w:type="dxa"/>
                    <w:shd w:val="clear" w:color="auto" w:fill="auto"/>
                  </w:tcPr>
                  <w:p>
                    <w:pPr>
                      <w:jc w:val="center"/>
                      <w:rPr>
                        <w:rFonts w:ascii="Calibri" w:hAnsi="Calibri"/>
                        <w:lang w:eastAsia="lt-LT"/>
                      </w:rPr>
                    </w:pPr>
                  </w:p>
                </w:tc>
                <w:tc>
                  <w:tcPr>
                    <w:tcW w:w="841" w:type="dxa"/>
                    <w:shd w:val="clear" w:color="auto" w:fill="auto"/>
                  </w:tcPr>
                  <w:p>
                    <w:pPr>
                      <w:jc w:val="center"/>
                      <w:rPr>
                        <w:rFonts w:ascii="Calibri" w:hAnsi="Calibri"/>
                        <w:lang w:eastAsia="lt-LT"/>
                      </w:rPr>
                    </w:pPr>
                  </w:p>
                </w:tc>
                <w:tc>
                  <w:tcPr>
                    <w:tcW w:w="841" w:type="dxa"/>
                    <w:shd w:val="clear" w:color="auto" w:fill="auto"/>
                  </w:tcPr>
                  <w:p>
                    <w:pPr>
                      <w:jc w:val="center"/>
                      <w:rPr>
                        <w:rFonts w:ascii="Calibri" w:hAnsi="Calibri"/>
                        <w:lang w:eastAsia="lt-LT"/>
                      </w:rPr>
                    </w:pPr>
                  </w:p>
                </w:tc>
              </w:tr>
            </w:tbl>
            <w:p>
              <w:pPr>
                <w:jc w:val="center"/>
                <w:rPr>
                  <w:rFonts w:ascii="Calibri" w:hAnsi="Calibri"/>
                  <w:lang w:eastAsia="lt-LT"/>
                </w:rPr>
              </w:pPr>
            </w:p>
            <w:p>
              <w:pPr>
                <w:spacing w:line="360" w:lineRule="auto"/>
                <w:ind w:firstLine="284"/>
                <w:jc w:val="both"/>
                <w:rPr>
                  <w:rFonts w:ascii="Calibri" w:hAnsi="Calibri"/>
                  <w:lang w:eastAsia="lt-LT"/>
                </w:rPr>
              </w:pPr>
              <w:r>
                <w:rPr>
                  <w:rFonts w:ascii="Calibri" w:hAnsi="Calibri"/>
                  <w:lang w:eastAsia="lt-LT"/>
                </w:rPr>
                <w:t xml:space="preserve">2023 m. socialinių paslaugų vartotojų patenkinimo indeksas (VPI) siekia 78,2 proc. Lyginant su 2017 m. VPI, indeksas padidėjo 16 procentinių punktų (žr. 1 lent.). </w:t>
              </w:r>
            </w:p>
          </w:sdtContent>
        </w:sdt>
        <w:sdt>
          <w:sdtPr>
            <w:alias w:val="skirsnis"/>
            <w:tag w:val="part_ce9917d264b24eb395db5592fa9808dc"/>
            <w:lock w:val="sdtLocked"/>
            <w:richText/>
          </w:sdtPr>
          <w:sdtContent>
            <w:p>
              <w:pPr>
                <w:keepNext/>
                <w:jc w:val="both"/>
                <w:rPr>
                  <w:rFonts w:ascii="Calibri" w:hAnsi="Calibri"/>
                  <w:b/>
                  <w:bCs/>
                  <w:sz w:val="20"/>
                  <w:lang w:eastAsia="lt-LT"/>
                </w:rPr>
              </w:pPr>
              <w:sdt>
                <w:sdtPr>
                  <w:alias w:val="Pavadinimas"/>
                  <w:tag w:val="title_ce9917d264b24eb395db5592fa9808dc"/>
                  <w:lock w:val="sdtLocked"/>
                  <w:richText/>
                </w:sdtPr>
                <w:sdtContent>
                  <w:r>
                    <w:rPr>
                      <w:rFonts w:ascii="Calibri" w:hAnsi="Calibri"/>
                      <w:b/>
                      <w:bCs/>
                      <w:sz w:val="20"/>
                      <w:lang w:eastAsia="lt-LT"/>
                    </w:rPr>
                    <w:t>1 lent. Socialinių paslaugų vartotojų patenkinimo indeksas</w:t>
                  </w:r>
                </w:sdtContent>
              </w:sdt>
            </w:p>
            <w:p>
              <w:pPr>
                <w:rPr>
                  <w:rFonts w:ascii="Calibri" w:hAnsi="Calibri"/>
                  <w:lang w:eastAsia="lt-LT"/>
                </w:rPr>
              </w:pPr>
              <w:r>
                <w:rPr>
                  <w:rFonts w:ascii="Calibri" w:hAnsi="Calibri"/>
                  <w:lang w:val="en-US"/>
                </w:rPr>
                <w:drawing>
                  <wp:inline distT="0" distB="0" distL="0" distR="0" wp14:anchorId="633E5F5E" wp14:editId="54EA244A">
                    <wp:extent cx="6299835" cy="6207125"/>
                    <wp:effectExtent l="0" t="0" r="0" b="0"/>
                    <wp:docPr id="1" name="Paveikslėlis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99835" cy="6207125"/>
                            </a:xfrm>
                            <a:prstGeom prst="rect">
                              <a:avLst/>
                            </a:prstGeom>
                            <a:noFill/>
                            <a:ln>
                              <a:noFill/>
                            </a:ln>
                          </pic:spPr>
                        </pic:pic>
                      </a:graphicData>
                    </a:graphic>
                  </wp:inline>
                </w:drawing>
              </w:r>
            </w:p>
            <w:p>
              <w:pPr>
                <w:spacing w:line="360" w:lineRule="auto"/>
                <w:jc w:val="both"/>
                <w:rPr>
                  <w:rFonts w:ascii="Calibri" w:hAnsi="Calibri"/>
                  <w:sz w:val="16"/>
                  <w:szCs w:val="16"/>
                  <w:lang w:eastAsia="lt-LT"/>
                </w:rPr>
              </w:pPr>
              <w:r>
                <w:rPr>
                  <w:rFonts w:ascii="Calibri" w:hAnsi="Calibri"/>
                  <w:sz w:val="16"/>
                  <w:szCs w:val="16"/>
                  <w:lang w:eastAsia="lt-LT"/>
                </w:rPr>
                <w:t>*Vidurkis apskaičiuotas respondentų atsakymus paverčiant į procentus (5 atitinka 100%, 4 - 75%, 3 - 50%, 2 - 25%, 1 - 0%, NN (Neturiu nuomonės) - 0%).</w:t>
              </w:r>
            </w:p>
            <w:p>
              <w:pPr>
                <w:spacing w:line="360" w:lineRule="auto"/>
                <w:ind w:firstLine="284"/>
                <w:jc w:val="both"/>
                <w:rPr>
                  <w:rFonts w:ascii="Calibri" w:hAnsi="Calibri"/>
                  <w:lang w:eastAsia="lt-LT"/>
                </w:rPr>
              </w:pPr>
              <w:r>
                <w:rPr>
                  <w:rFonts w:ascii="Calibri" w:hAnsi="Calibri"/>
                  <w:lang w:eastAsia="lt-LT"/>
                </w:rPr>
                <w:t>Visų rūšių socialinės paslaugos surinko ne mažiau kaip 72 proc., o tai reiškia, kad teikiamos socialinės paslaugos yra geros kokybės (žr. 1 lent.). Indeksui neigiamos įtakos turėjo individualių atvejų įvairovė, prie kurių socialinės įstaigos ne visuomet yra pasiruošusios reaguoti iš karto. Kaip rodo tyrimo duomenys, gyventojai kreipiasi į socialines įstaigas dėl labai įvairių dalykų, todėl kartais susiduriama su neįprastomis situacijomis. Nežiūrint į tai, gyventojai gerai vertina esamų socialinių paslaugų kokybę jų gyvenamojoje vietovėje.</w:t>
              </w:r>
            </w:p>
            <w:p>
              <w:pPr>
                <w:spacing w:line="360" w:lineRule="auto"/>
                <w:ind w:firstLine="284"/>
                <w:jc w:val="both"/>
                <w:rPr>
                  <w:rFonts w:ascii="Calibri" w:hAnsi="Calibri"/>
                  <w:lang w:eastAsia="lt-LT"/>
                </w:rPr>
              </w:pPr>
              <w:r>
                <w:rPr>
                  <w:rFonts w:ascii="Calibri" w:hAnsi="Calibri"/>
                  <w:lang w:eastAsia="lt-LT"/>
                </w:rPr>
                <w:t xml:space="preserve">Tyrimo rezultatai rodo, kad absoliučiai daugumai Telšių rajono gyventojų socialinės paslaugos gyvenamojoje vietovėje yra svarbios. Beveik 80 proc. respondentų nurodė, kad jiems svarbios bendrosios socialinės paslaugos, 73 proc. respondentų – socialinė priežiūra, socialinė globa – 65 proc. respondentų, o prevencinės socialinės paslaugos – 61 proc. respondentų (žr. 2 pav.). Kita vertus, 30 proc. respondentų nurodė, kad socialinė globa nėra svarbi jų gyvenamojoje vietovėje, o apie 20 proc. respondentų nurodė, kad socialinė priežiūra ar prevencinės socialinės paslaugos nėra svarbios jų gyvenamojoje vietovėje. </w:t>
              </w:r>
            </w:p>
            <w:p>
              <w:pPr>
                <w:spacing w:line="360" w:lineRule="auto"/>
                <w:ind w:firstLine="284"/>
                <w:jc w:val="both"/>
                <w:rPr>
                  <w:rFonts w:ascii="Calibri" w:hAnsi="Calibri"/>
                  <w:lang w:eastAsia="lt-LT"/>
                </w:rPr>
              </w:pPr>
            </w:p>
            <w:p>
              <w:pPr>
                <w:keepNext/>
                <w:rPr>
                  <w:rFonts w:ascii="Calibri" w:hAnsi="Calibri"/>
                  <w:b/>
                  <w:bCs/>
                  <w:sz w:val="20"/>
                  <w:lang w:eastAsia="lt-LT"/>
                </w:rPr>
              </w:pPr>
              <w:r>
                <w:rPr>
                  <w:rFonts w:ascii="Calibri" w:hAnsi="Calibri"/>
                  <w:b/>
                  <w:bCs/>
                  <w:sz w:val="20"/>
                  <w:lang w:eastAsia="lt-LT"/>
                </w:rPr>
                <w:t>2 pav. Kiek Jums yra svarbios socialinės paslaugos Jūsų gyvenamojoje vietovėje?</w:t>
              </w:r>
            </w:p>
            <w:p>
              <w:pPr>
                <w:rPr>
                  <w:rFonts w:ascii="Calibri" w:hAnsi="Calibri"/>
                  <w:lang w:eastAsia="lt-LT"/>
                </w:rPr>
              </w:pPr>
              <w:r>
                <w:rPr>
                  <w:rFonts w:ascii="Calibri" w:hAnsi="Calibri"/>
                  <w:lang w:val="en-US"/>
                </w:rPr>
                <w:drawing>
                  <wp:inline distT="0" distB="0" distL="0" distR="0" wp14:anchorId="6ADD7CE0" wp14:editId="48520715">
                    <wp:extent cx="6299835" cy="1727835"/>
                    <wp:effectExtent l="0" t="0" r="0" b="0"/>
                    <wp:docPr id="2" name="Paveikslėlis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299835" cy="1727835"/>
                            </a:xfrm>
                            <a:prstGeom prst="rect">
                              <a:avLst/>
                            </a:prstGeom>
                            <a:noFill/>
                            <a:ln>
                              <a:noFill/>
                            </a:ln>
                          </pic:spPr>
                        </pic:pic>
                      </a:graphicData>
                    </a:graphic>
                  </wp:inline>
                </w:drawing>
              </w:r>
            </w:p>
            <w:p>
              <w:pPr>
                <w:jc w:val="center"/>
                <w:rPr>
                  <w:rFonts w:ascii="Calibri" w:hAnsi="Calibri"/>
                  <w:highlight w:val="yellow"/>
                  <w:lang w:eastAsia="lt-LT"/>
                </w:rPr>
              </w:pPr>
            </w:p>
            <w:p>
              <w:pPr>
                <w:spacing w:line="360" w:lineRule="auto"/>
                <w:ind w:firstLine="284"/>
                <w:jc w:val="both"/>
                <w:rPr>
                  <w:rFonts w:ascii="Calibri" w:hAnsi="Calibri"/>
                  <w:lang w:eastAsia="lt-LT"/>
                </w:rPr>
              </w:pPr>
              <w:r>
                <w:rPr>
                  <w:rFonts w:ascii="Calibri" w:hAnsi="Calibri"/>
                  <w:lang w:eastAsia="lt-LT"/>
                </w:rPr>
                <w:t>Respondentai dažniausiai neturėjo nuomonės dėl teikiamų socialinių paslaugų kokybės (žr. 3 pav.). Sunkiausia respondentams buvo įvertinti šeimos konferencijas (51 proc. respondentų neturėjo nuomonės), ilgalaikę / trumpalaikę socialinę globą vaikams su negalia (47 proc. respondentų), vaikų laikinąją priežiūrą tėvų prašymu (46 proc. respondentų), laikiną apnakvindinimą (nakvynės ir būtinųjų higienos paslaugų suteikimą) (46 proc. respondentų) ir kt. Santykinai mažiausia dalis neturėjusių nuomonės respondentų buvo dėl informavimo, konsultavimo, tarpininkavimo ir atstovavimo (16 proc. respondentų), sociokultūrinių paslaugų (laisvalaikio organizavimo paslaugų) (18 proc. respondentų) ir asmeninės higienos ir priežiūros paslaugų organizavimo (19 proc. respondentų).</w:t>
              </w:r>
            </w:p>
            <w:p>
              <w:pPr>
                <w:spacing w:line="360" w:lineRule="auto"/>
                <w:ind w:firstLine="284"/>
                <w:jc w:val="both"/>
                <w:rPr>
                  <w:rFonts w:ascii="Calibri" w:hAnsi="Calibri"/>
                  <w:lang w:eastAsia="lt-LT"/>
                </w:rPr>
              </w:pPr>
              <w:r>
                <w:rPr>
                  <w:rFonts w:ascii="Calibri" w:hAnsi="Calibri"/>
                  <w:lang w:eastAsia="lt-LT"/>
                </w:rPr>
                <w:t xml:space="preserve">Iš esmės, vartotojai yra patenkinti teikiamomis socialinėmis paslaugomis. Nuo 33 proc. iki 67 proc. respondentų teikiamas paslaugas įvertino gerai arba labai gerai. Geriausiai vertinamos buvo informavimas, konsultavimas, tarpininkavimas ir atstovavimas (67 proc. respondentų įvertino gerai arba labai gerai), pagalba į namus (pagalba kasdieniuose darbuose, kambarių tvarkymas, pagalba apsiperkant ir pan.) (63 proc. respondentų), specialiųjų poreikių vertinimas (63 proc. respondentų) ir asmeninės higienos ir priežiūros paslaugų organizavimas (63 proc. respondentų). </w:t>
              </w:r>
            </w:p>
            <w:p>
              <w:pPr>
                <w:keepNext/>
                <w:rPr>
                  <w:rFonts w:ascii="Calibri" w:hAnsi="Calibri"/>
                  <w:b/>
                  <w:bCs/>
                  <w:sz w:val="20"/>
                  <w:lang w:eastAsia="lt-LT"/>
                </w:rPr>
              </w:pPr>
              <w:r>
                <w:rPr>
                  <w:rFonts w:ascii="Calibri" w:hAnsi="Calibri"/>
                  <w:b/>
                  <w:bCs/>
                  <w:sz w:val="20"/>
                  <w:lang w:eastAsia="lt-LT"/>
                </w:rPr>
                <w:t>3 pav. Kaip vertinate socialines paslaugas Jūsų gyvenamojoje vietovėje?</w:t>
              </w:r>
            </w:p>
            <w:p>
              <w:pPr>
                <w:rPr>
                  <w:rFonts w:ascii="Calibri" w:hAnsi="Calibri"/>
                  <w:lang w:eastAsia="lt-LT"/>
                </w:rPr>
              </w:pPr>
              <w:r>
                <w:rPr>
                  <w:rFonts w:ascii="Calibri" w:hAnsi="Calibri"/>
                  <w:lang w:val="en-US"/>
                </w:rPr>
                <w:drawing>
                  <wp:inline distT="0" distB="0" distL="0" distR="0" wp14:anchorId="4E0C9483" wp14:editId="2B5B220B">
                    <wp:extent cx="6284595" cy="4998085"/>
                    <wp:effectExtent l="0" t="0" r="0" b="0"/>
                    <wp:docPr id="3" name="Paveikslėlis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284595" cy="4998085"/>
                            </a:xfrm>
                            <a:prstGeom prst="rect">
                              <a:avLst/>
                            </a:prstGeom>
                            <a:noFill/>
                            <a:ln>
                              <a:noFill/>
                            </a:ln>
                          </pic:spPr>
                        </pic:pic>
                      </a:graphicData>
                    </a:graphic>
                  </wp:inline>
                </w:drawing>
              </w:r>
            </w:p>
            <w:p>
              <w:pPr>
                <w:spacing w:line="360" w:lineRule="auto"/>
                <w:ind w:firstLine="284"/>
                <w:jc w:val="both"/>
                <w:rPr>
                  <w:rFonts w:ascii="Calibri" w:hAnsi="Calibri"/>
                  <w:lang w:eastAsia="lt-LT"/>
                </w:rPr>
              </w:pPr>
            </w:p>
            <w:p>
              <w:pPr>
                <w:spacing w:line="360" w:lineRule="auto"/>
                <w:ind w:firstLine="284"/>
                <w:jc w:val="both"/>
                <w:rPr>
                  <w:rFonts w:ascii="Calibri" w:hAnsi="Calibri"/>
                  <w:lang w:eastAsia="lt-LT"/>
                </w:rPr>
              </w:pPr>
              <w:r>
                <w:rPr>
                  <w:rFonts w:ascii="Calibri" w:hAnsi="Calibri"/>
                  <w:lang w:eastAsia="lt-LT"/>
                </w:rPr>
                <w:t>Santykinai daugiausiai neigiamų vertinimų sulaukė būsto pritaikymas neįgaliesiems (12 proc. respondentų įvertino blogai arba labai blogai), intensyvi krizių įveikimo pagalba (15 proc. respondentų) ir laikinas apgyvendinimas (12 proc. respondentų).</w:t>
              </w:r>
            </w:p>
            <w:p>
              <w:pPr>
                <w:spacing w:line="360" w:lineRule="auto"/>
                <w:ind w:firstLine="284"/>
                <w:jc w:val="both"/>
                <w:rPr>
                  <w:rFonts w:ascii="Calibri" w:hAnsi="Calibri"/>
                  <w:lang w:eastAsia="lt-LT"/>
                </w:rPr>
              </w:pPr>
              <w:r>
                <w:rPr>
                  <w:rFonts w:ascii="Calibri" w:hAnsi="Calibri"/>
                  <w:lang w:eastAsia="lt-LT"/>
                </w:rPr>
                <w:t>Lyginant su 2017 m., pasitenkinimas socialinėmis paslaugomis yra įvertintas labai panašiai. Pavyzdžiui, informavimas, konsultavimas, tarpininkavimas ir atstovavimas 2017 m. buvo gerai įvertintas 64 proc. respondentų, o 2023 m. – 67 proc., sociokultūrinės paslaugos (laisvalaikio organizavimo paslaugos) 2017 m. gerai įvertintos 65 proc., o 2023 m. – 61 proc., maitinimo organizavimo paslaugos 2017 m. buvo gerai įvertintos 59 proc. respondentų, o 2023 m. – 56 proc.</w:t>
              </w:r>
            </w:p>
            <w:p>
              <w:pPr>
                <w:spacing w:line="360" w:lineRule="auto"/>
                <w:ind w:firstLine="284"/>
                <w:jc w:val="both"/>
                <w:rPr>
                  <w:rFonts w:ascii="Calibri" w:hAnsi="Calibri"/>
                  <w:lang w:eastAsia="lt-LT"/>
                </w:rPr>
              </w:pPr>
              <w:r>
                <w:rPr>
                  <w:rFonts w:ascii="Calibri" w:hAnsi="Calibri"/>
                  <w:lang w:eastAsia="lt-LT"/>
                </w:rPr>
                <w:t xml:space="preserve">Socialines paslaugas teikiančios įstaigos yra prieinamos vietos gyventojams. Dauguma respondentų (nuo 75-80 proc.) buvo patenkinti šių įstaigų pakankamumu, pasiekiamumu, jų darbo laiku ir prieinamumu (žr. 4 pav.). Nepatenkintų respondentų dalis svyravo nuo 4 proc. iki 9 proc. Dažniausiai respondentai buvo nepatenkinti socialinių įstaigų prieinamumu. Respondentai nurodė, kad jų gyvenamojoje vietovėje trūksta psichologo, palaikymo ar pagalbos grupių, sporto veiklos neįgaliesiems, apgyvendinimo ir pavėžėjimo paslaugų. </w:t>
              </w:r>
            </w:p>
            <w:p>
              <w:pPr>
                <w:spacing w:line="360" w:lineRule="auto"/>
                <w:ind w:firstLine="284"/>
                <w:jc w:val="both"/>
                <w:rPr>
                  <w:rFonts w:ascii="Calibri" w:hAnsi="Calibri"/>
                  <w:lang w:eastAsia="lt-LT"/>
                </w:rPr>
              </w:pPr>
            </w:p>
            <w:p>
              <w:pPr>
                <w:keepNext/>
                <w:jc w:val="both"/>
                <w:rPr>
                  <w:rFonts w:ascii="Calibri" w:hAnsi="Calibri"/>
                  <w:b/>
                  <w:bCs/>
                  <w:sz w:val="20"/>
                  <w:lang w:eastAsia="lt-LT"/>
                </w:rPr>
              </w:pPr>
              <w:r>
                <w:rPr>
                  <w:rFonts w:ascii="Calibri" w:hAnsi="Calibri"/>
                  <w:b/>
                  <w:bCs/>
                  <w:sz w:val="20"/>
                  <w:lang w:eastAsia="lt-LT"/>
                </w:rPr>
                <w:t>4 pav. Socialines paslaugas teikiančių įstaigų Jūsų gyvenamojoje vietovėje...</w:t>
              </w:r>
            </w:p>
            <w:p>
              <w:pPr>
                <w:rPr>
                  <w:rFonts w:ascii="Calibri" w:hAnsi="Calibri"/>
                  <w:lang w:eastAsia="lt-LT"/>
                </w:rPr>
              </w:pPr>
              <w:r>
                <w:rPr>
                  <w:rFonts w:ascii="Calibri" w:hAnsi="Calibri"/>
                  <w:lang w:val="en-US"/>
                </w:rPr>
                <w:drawing>
                  <wp:inline distT="0" distB="0" distL="0" distR="0" wp14:anchorId="53AA383C" wp14:editId="7C1334B7">
                    <wp:extent cx="6292215" cy="2526030"/>
                    <wp:effectExtent l="0" t="0" r="0" b="0"/>
                    <wp:docPr id="4" name="Paveikslėlis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292215" cy="2526030"/>
                            </a:xfrm>
                            <a:prstGeom prst="rect">
                              <a:avLst/>
                            </a:prstGeom>
                            <a:noFill/>
                            <a:ln>
                              <a:noFill/>
                            </a:ln>
                          </pic:spPr>
                        </pic:pic>
                      </a:graphicData>
                    </a:graphic>
                  </wp:inline>
                </w:drawing>
              </w:r>
            </w:p>
            <w:p>
              <w:pPr>
                <w:spacing w:line="360" w:lineRule="auto"/>
                <w:ind w:firstLine="284"/>
                <w:jc w:val="both"/>
                <w:rPr>
                  <w:rFonts w:ascii="Calibri" w:hAnsi="Calibri"/>
                  <w:lang w:eastAsia="lt-LT"/>
                </w:rPr>
              </w:pPr>
            </w:p>
            <w:p>
              <w:pPr>
                <w:spacing w:line="360" w:lineRule="auto"/>
                <w:ind w:firstLine="284"/>
                <w:jc w:val="both"/>
                <w:rPr>
                  <w:rFonts w:ascii="Calibri" w:hAnsi="Calibri"/>
                  <w:lang w:eastAsia="lt-LT"/>
                </w:rPr>
              </w:pPr>
              <w:r>
                <w:rPr>
                  <w:rFonts w:ascii="Calibri" w:hAnsi="Calibri"/>
                  <w:lang w:eastAsia="lt-LT"/>
                </w:rPr>
                <w:t>Apie du trečdalius respondentų yra patenkinti viešai pateikiama informacija apie Telšių rajone teikiamas socialines paslaugas ir iki 14 proc. respondentų – nepatenkinti. Respondentai vienodai patenkinti tiek šios informacijos sklaida (lengvumu ją rasti), tiek jos suprantamumu, tiek jos kiekiu (žr. 5 pav.).</w:t>
              </w:r>
            </w:p>
            <w:p>
              <w:pPr>
                <w:spacing w:line="360" w:lineRule="auto"/>
                <w:ind w:firstLine="284"/>
                <w:jc w:val="both"/>
                <w:rPr>
                  <w:rFonts w:ascii="Calibri" w:hAnsi="Calibri"/>
                  <w:lang w:eastAsia="lt-LT"/>
                </w:rPr>
              </w:pPr>
              <w:r>
                <w:rPr>
                  <w:rFonts w:ascii="Calibri" w:hAnsi="Calibri"/>
                  <w:lang w:eastAsia="lt-LT"/>
                </w:rPr>
                <w:t>Lyginant su 2017 m. tyrimu, respondentų patenkinimas informacija apie socialines paslaugas teikiančias įmones šiek tiek sumažėjo (2017 m. respondentų pasitenkinimas siekė 70-75 proc.), o nepatenkintų respondentų dalis padidėjo (2017 m. tokių respondentų buvo iki 6 proc.).</w:t>
              </w:r>
            </w:p>
            <w:p>
              <w:pPr>
                <w:spacing w:line="360" w:lineRule="auto"/>
                <w:ind w:firstLine="284"/>
                <w:jc w:val="both"/>
                <w:rPr>
                  <w:rFonts w:ascii="Calibri" w:hAnsi="Calibri"/>
                  <w:lang w:eastAsia="lt-LT"/>
                </w:rPr>
              </w:pPr>
            </w:p>
            <w:p>
              <w:pPr>
                <w:keepNext/>
                <w:jc w:val="both"/>
                <w:rPr>
                  <w:rFonts w:ascii="Calibri" w:hAnsi="Calibri"/>
                  <w:b/>
                  <w:bCs/>
                  <w:sz w:val="20"/>
                  <w:lang w:eastAsia="lt-LT"/>
                </w:rPr>
              </w:pPr>
              <w:r>
                <w:rPr>
                  <w:rFonts w:ascii="Calibri" w:hAnsi="Calibri"/>
                  <w:b/>
                  <w:bCs/>
                  <w:sz w:val="20"/>
                  <w:lang w:eastAsia="lt-LT"/>
                </w:rPr>
                <w:t>5 pav. Kaip vertinate viešai pateiktą informaciją apie Telšių rajone teikiamas socialines paslaugas?</w:t>
              </w:r>
            </w:p>
            <w:p>
              <w:pPr>
                <w:rPr>
                  <w:rFonts w:ascii="Calibri" w:hAnsi="Calibri"/>
                  <w:lang w:eastAsia="lt-LT"/>
                </w:rPr>
              </w:pPr>
              <w:r>
                <w:rPr>
                  <w:rFonts w:ascii="Calibri" w:hAnsi="Calibri"/>
                  <w:lang w:val="en-US"/>
                </w:rPr>
                <w:drawing>
                  <wp:inline distT="0" distB="0" distL="0" distR="0" wp14:anchorId="443C3D0C" wp14:editId="5E3752C2">
                    <wp:extent cx="6299835" cy="1712595"/>
                    <wp:effectExtent l="0" t="0" r="0" b="0"/>
                    <wp:docPr id="5" name="Paveikslėlis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299835" cy="1712595"/>
                            </a:xfrm>
                            <a:prstGeom prst="rect">
                              <a:avLst/>
                            </a:prstGeom>
                            <a:noFill/>
                            <a:ln>
                              <a:noFill/>
                            </a:ln>
                          </pic:spPr>
                        </pic:pic>
                      </a:graphicData>
                    </a:graphic>
                  </wp:inline>
                </w:drawing>
              </w:r>
            </w:p>
            <w:p>
              <w:pPr>
                <w:spacing w:line="360" w:lineRule="auto"/>
                <w:ind w:firstLine="284"/>
                <w:jc w:val="both"/>
                <w:rPr>
                  <w:rFonts w:ascii="Calibri" w:hAnsi="Calibri"/>
                  <w:highlight w:val="yellow"/>
                  <w:lang w:eastAsia="lt-LT"/>
                </w:rPr>
              </w:pPr>
            </w:p>
            <w:p>
              <w:pPr>
                <w:spacing w:line="360" w:lineRule="auto"/>
                <w:ind w:firstLine="284"/>
                <w:jc w:val="both"/>
                <w:rPr>
                  <w:rFonts w:ascii="Calibri" w:hAnsi="Calibri"/>
                  <w:lang w:eastAsia="lt-LT"/>
                </w:rPr>
              </w:pPr>
              <w:r>
                <w:rPr>
                  <w:rFonts w:ascii="Calibri" w:hAnsi="Calibri"/>
                  <w:lang w:eastAsia="lt-LT"/>
                </w:rPr>
                <w:t xml:space="preserve">Apklausoje dalyvavo respondentai, iš kurių 39 proc. kreipėsi į viešąsias socialines paslaugas teikiančią įstaigą (žr. 6 pav.). Lyginant su 2017 m. tyrimu (69 proc. visų respondentų), ši dalis sumažėjo beveik trečdaliu. </w:t>
              </w:r>
            </w:p>
            <w:p>
              <w:pPr>
                <w:keepNext/>
                <w:jc w:val="both"/>
                <w:rPr>
                  <w:rFonts w:ascii="Calibri" w:hAnsi="Calibri"/>
                  <w:b/>
                  <w:bCs/>
                  <w:sz w:val="20"/>
                  <w:lang w:eastAsia="lt-LT"/>
                </w:rPr>
              </w:pPr>
              <w:r>
                <w:rPr>
                  <w:rFonts w:ascii="Calibri" w:hAnsi="Calibri"/>
                  <w:b/>
                  <w:bCs/>
                  <w:sz w:val="20"/>
                  <w:lang w:eastAsia="lt-LT"/>
                </w:rPr>
                <w:t>6 pav. Ar per pastaruosius 12 mėn. kreipėtės į viešąsias socialines paslaugas teikiančią įstaigą?</w:t>
              </w:r>
            </w:p>
            <w:p>
              <w:pPr>
                <w:spacing w:line="360" w:lineRule="auto"/>
                <w:ind w:firstLine="284"/>
                <w:jc w:val="center"/>
                <w:rPr>
                  <w:rFonts w:ascii="Calibri" w:hAnsi="Calibri"/>
                  <w:lang w:eastAsia="lt-LT"/>
                </w:rPr>
              </w:pPr>
              <w:r>
                <w:rPr>
                  <w:rFonts w:ascii="Calibri" w:hAnsi="Calibri"/>
                  <w:lang w:val="en-US"/>
                </w:rPr>
                <w:drawing>
                  <wp:inline distT="0" distB="0" distL="0" distR="0" wp14:anchorId="55FEDABD" wp14:editId="7A482A2C">
                    <wp:extent cx="1983740" cy="1983740"/>
                    <wp:effectExtent l="0" t="0" r="0" b="0"/>
                    <wp:docPr id="6" name="Paveikslėlis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983740" cy="1983740"/>
                            </a:xfrm>
                            <a:prstGeom prst="rect">
                              <a:avLst/>
                            </a:prstGeom>
                            <a:noFill/>
                            <a:ln>
                              <a:noFill/>
                            </a:ln>
                          </pic:spPr>
                        </pic:pic>
                      </a:graphicData>
                    </a:graphic>
                  </wp:inline>
                </w:drawing>
              </w:r>
            </w:p>
            <w:p>
              <w:pPr>
                <w:spacing w:line="360" w:lineRule="auto"/>
                <w:ind w:firstLine="284"/>
                <w:jc w:val="both"/>
                <w:rPr>
                  <w:rFonts w:ascii="Calibri" w:hAnsi="Calibri"/>
                  <w:lang w:eastAsia="lt-LT"/>
                </w:rPr>
              </w:pPr>
              <w:r>
                <w:rPr>
                  <w:rFonts w:ascii="Calibri" w:hAnsi="Calibri"/>
                  <w:lang w:eastAsia="lt-LT"/>
                </w:rPr>
                <w:t xml:space="preserve">Apie socialines paslaugas informacijos dažniausiai kreipiamasi į specialistus ar socialinius darbuotojus (70 proc. visų respondentų) (žr. 7 pav.). Kiek daugiau nei pusė respondentų (54 proc.) informacijos ieško internete. Apie ketvirtadalis respondentų informaciją gauną iš kaimynų, bendradarbių, o apie penktadalis respondentų – iš spaudos. Remiantis tuo, galima teigti, jog siekiant kuo geriau paskleisti informaciją apie socialines paslaugas, reikia pasirūpinti, kad informacija būtų prieinama internete, o taip pat, kad būtų nesunku susisiekti su atitinkamais specialistais. </w:t>
              </w:r>
            </w:p>
            <w:p>
              <w:pPr>
                <w:keepNext/>
                <w:jc w:val="both"/>
                <w:rPr>
                  <w:rFonts w:ascii="Calibri" w:hAnsi="Calibri"/>
                  <w:b/>
                  <w:bCs/>
                  <w:sz w:val="20"/>
                  <w:lang w:eastAsia="lt-LT"/>
                </w:rPr>
              </w:pPr>
            </w:p>
            <w:p>
              <w:pPr>
                <w:rPr>
                  <w:rFonts w:ascii="Calibri" w:hAnsi="Calibri"/>
                  <w:lang w:eastAsia="lt-LT"/>
                </w:rPr>
                <w:sectPr>
                  <w:headerReference w:type="even" r:id="rId15"/>
                  <w:headerReference w:type="default" r:id="rId16"/>
                  <w:footerReference w:type="even" r:id="rId17"/>
                  <w:footerReference w:type="default" r:id="rId18"/>
                  <w:headerReference w:type="first" r:id="rId19"/>
                  <w:footerReference w:type="first" r:id="rId20"/>
                  <w:pgSz w:w="11909" w:h="16834" w:code="9"/>
                  <w:pgMar w:top="1134" w:right="567" w:bottom="1134" w:left="1418" w:header="284" w:footer="0" w:gutter="0"/>
                  <w:cols w:space="720"/>
                  <w:titlePg/>
                  <w:docGrid w:linePitch="1632" w:charSpace="47630"/>
                </w:sectPr>
              </w:pPr>
            </w:p>
            <w:p>
              <w:pPr>
                <w:tabs>
                  <w:tab w:val="center" w:pos="4320"/>
                  <w:tab w:val="right" w:pos="8640"/>
                </w:tabs>
                <w:rPr>
                  <w:rFonts w:ascii="Calibri" w:hAnsi="Calibri"/>
                  <w:lang w:eastAsia="lt-LT"/>
                </w:rPr>
              </w:pPr>
            </w:p>
            <w:p>
              <w:pPr>
                <w:keepNext/>
                <w:jc w:val="both"/>
                <w:rPr>
                  <w:rFonts w:ascii="Calibri" w:hAnsi="Calibri"/>
                  <w:b/>
                  <w:bCs/>
                  <w:sz w:val="20"/>
                  <w:lang w:eastAsia="lt-LT"/>
                </w:rPr>
              </w:pPr>
              <w:r>
                <w:rPr>
                  <w:rFonts w:ascii="Calibri" w:hAnsi="Calibri"/>
                  <w:b/>
                  <w:bCs/>
                  <w:sz w:val="20"/>
                  <w:lang w:eastAsia="lt-LT"/>
                </w:rPr>
                <w:t>7 pav. Iš kur sužinojote apie Telšių rajone teikiamas socialines paslaugas? (Galimi keli atsakymai)</w:t>
              </w:r>
            </w:p>
            <w:p>
              <w:pPr>
                <w:spacing w:line="360" w:lineRule="auto"/>
                <w:ind w:firstLine="284"/>
                <w:jc w:val="center"/>
                <w:rPr>
                  <w:rFonts w:ascii="Calibri" w:hAnsi="Calibri"/>
                  <w:lang w:eastAsia="lt-LT"/>
                </w:rPr>
              </w:pPr>
              <w:r>
                <w:rPr>
                  <w:rFonts w:ascii="Calibri" w:hAnsi="Calibri"/>
                  <w:lang w:val="en-US"/>
                </w:rPr>
                <w:drawing>
                  <wp:inline distT="0" distB="0" distL="0" distR="0" wp14:anchorId="2D1A5549" wp14:editId="54F6D19E">
                    <wp:extent cx="2526030" cy="2952115"/>
                    <wp:effectExtent l="0" t="0" r="0" b="0"/>
                    <wp:docPr id="7" name="Paveikslėlis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526030" cy="2952115"/>
                            </a:xfrm>
                            <a:prstGeom prst="rect">
                              <a:avLst/>
                            </a:prstGeom>
                            <a:noFill/>
                            <a:ln>
                              <a:noFill/>
                            </a:ln>
                          </pic:spPr>
                        </pic:pic>
                      </a:graphicData>
                    </a:graphic>
                  </wp:inline>
                </w:drawing>
              </w:r>
            </w:p>
            <w:p>
              <w:pPr>
                <w:keepNext/>
                <w:rPr>
                  <w:rFonts w:ascii="Calibri" w:hAnsi="Calibri"/>
                  <w:b/>
                  <w:bCs/>
                  <w:sz w:val="20"/>
                  <w:lang w:eastAsia="lt-LT"/>
                </w:rPr>
              </w:pPr>
              <w:r>
                <w:rPr>
                  <w:rFonts w:ascii="Calibri" w:hAnsi="Calibri"/>
                  <w:b/>
                  <w:bCs/>
                  <w:sz w:val="20"/>
                  <w:lang w:eastAsia="lt-LT"/>
                </w:rPr>
                <w:t>8 pav. Kokiu būdu kreipėtės dėl socialinių paslaugų?</w:t>
              </w:r>
            </w:p>
            <w:p>
              <w:pPr>
                <w:ind w:firstLine="284"/>
                <w:jc w:val="center"/>
                <w:rPr>
                  <w:rFonts w:ascii="Calibri" w:hAnsi="Calibri"/>
                  <w:lang w:eastAsia="lt-LT"/>
                </w:rPr>
              </w:pPr>
            </w:p>
            <w:p>
              <w:pPr>
                <w:ind w:firstLine="284"/>
                <w:jc w:val="center"/>
                <w:rPr>
                  <w:rFonts w:ascii="Calibri" w:hAnsi="Calibri"/>
                  <w:lang w:eastAsia="lt-LT"/>
                </w:rPr>
                <w:sectPr>
                  <w:type w:val="continuous"/>
                  <w:pgSz w:w="11909" w:h="16834" w:code="9"/>
                  <w:pgMar w:top="1134" w:right="567" w:bottom="1134" w:left="1418" w:header="284" w:footer="0" w:gutter="0"/>
                  <w:cols w:num="2" w:space="720"/>
                  <w:titlePg/>
                  <w:docGrid w:linePitch="1632" w:charSpace="47630"/>
                </w:sectPr>
              </w:pPr>
              <w:r>
                <w:rPr>
                  <w:rFonts w:ascii="Calibri" w:hAnsi="Calibri"/>
                  <w:lang w:val="en-US"/>
                </w:rPr>
                <w:drawing>
                  <wp:inline distT="0" distB="0" distL="0" distR="0" wp14:anchorId="66469614" wp14:editId="1C543CBD">
                    <wp:extent cx="2526030" cy="2952115"/>
                    <wp:effectExtent l="0" t="0" r="0" b="0"/>
                    <wp:docPr id="8" name="Paveikslėlis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526030" cy="2952115"/>
                            </a:xfrm>
                            <a:prstGeom prst="rect">
                              <a:avLst/>
                            </a:prstGeom>
                            <a:noFill/>
                            <a:ln>
                              <a:noFill/>
                            </a:ln>
                          </pic:spPr>
                        </pic:pic>
                      </a:graphicData>
                    </a:graphic>
                  </wp:inline>
                </w:drawing>
              </w:r>
            </w:p>
            <w:p>
              <w:pPr>
                <w:tabs>
                  <w:tab w:val="center" w:pos="4320"/>
                  <w:tab w:val="right" w:pos="8640"/>
                </w:tabs>
                <w:rPr>
                  <w:rFonts w:ascii="Calibri" w:hAnsi="Calibri"/>
                  <w:lang w:eastAsia="lt-LT"/>
                </w:rPr>
              </w:pPr>
            </w:p>
            <w:p>
              <w:pPr>
                <w:ind w:firstLine="284"/>
                <w:jc w:val="center"/>
                <w:rPr>
                  <w:rFonts w:ascii="Calibri" w:hAnsi="Calibri"/>
                  <w:lang w:eastAsia="lt-LT"/>
                </w:rPr>
              </w:pPr>
            </w:p>
            <w:p>
              <w:pPr>
                <w:spacing w:line="360" w:lineRule="auto"/>
                <w:ind w:firstLine="284"/>
                <w:jc w:val="both"/>
                <w:rPr>
                  <w:rFonts w:ascii="Calibri" w:hAnsi="Calibri"/>
                  <w:color w:val="808080"/>
                  <w:lang w:eastAsia="lt-LT"/>
                </w:rPr>
              </w:pPr>
              <w:r>
                <w:rPr>
                  <w:rFonts w:ascii="Calibri" w:hAnsi="Calibri"/>
                  <w:lang w:eastAsia="lt-LT"/>
                </w:rPr>
                <w:t>Tyrimo rezultatai rodo, kad dėl socialinių paslaugų dažniausiai buvo kreipiamasi asmeniškai nuvykstant į įstaigą (žr. 8 pav.). Tokiu būdu į socialines įstaigas kreipėsi 81 proc. respondentų. Apie pusė respondentų į įstaigas kreipėsi telefonu, o dešimtadalis – elektroniniu paštu ar internetu. Lyginant su 2017 m. tyrimo duomenimis, situacija yra panaši: dauguma vartotojų į įstaigas kreipiasi asmeniškai arba telefonu.</w:t>
              </w:r>
            </w:p>
            <w:p>
              <w:pPr>
                <w:spacing w:line="360" w:lineRule="auto"/>
                <w:ind w:firstLine="284"/>
                <w:jc w:val="both"/>
                <w:rPr>
                  <w:rFonts w:ascii="Calibri" w:hAnsi="Calibri"/>
                  <w:lang w:eastAsia="lt-LT"/>
                </w:rPr>
              </w:pPr>
              <w:r>
                <w:rPr>
                  <w:rFonts w:ascii="Calibri" w:hAnsi="Calibri"/>
                  <w:lang w:eastAsia="lt-LT"/>
                </w:rPr>
                <w:t xml:space="preserve">Respondentai kreipiasi į socialines įstaigas dėl įvairių priežasčių. Dėl tam tikros informacijos gavimo dažniausiai kreipiamasi, kai reikia nukreipimo pas specialistus (pvz., gydytojus, teisininkus ir pan.) ar kitokių konsultacijų (55 proc. visų kreipimųsi), dėl maitinimo organizavimo paslaugų (50 proc. visų kreipimųsi), dėl socialinės reabilitacijos neįgaliesiems bendruomenėje (42 proc.) ir dėl pagalbos pinigų skyrimo (41 proc. visų kreipimųsi) (žr. 9 pav.). Norėdami susitvarkyti dokumentus (pvz., pateikti prašymą) dažniausiai kreipiamasi dėl asmeninės higienos ir priežiūros paslaugų organizavimo (41 proc. visų kreipimųsi), transporto priemonių organizavimo (32 proc. visų kreipimųsi) ir dėl pagalbos į namus paslaugų (32 proc. visų kreipimųsi). </w:t>
              </w:r>
            </w:p>
            <w:p>
              <w:pPr>
                <w:spacing w:line="360" w:lineRule="auto"/>
                <w:ind w:firstLine="284"/>
                <w:jc w:val="both"/>
                <w:rPr>
                  <w:rFonts w:ascii="Calibri" w:hAnsi="Calibri"/>
                  <w:lang w:eastAsia="lt-LT"/>
                </w:rPr>
              </w:pPr>
            </w:p>
            <w:p>
              <w:pPr>
                <w:keepNext/>
                <w:jc w:val="both"/>
                <w:rPr>
                  <w:rFonts w:ascii="Calibri" w:hAnsi="Calibri"/>
                  <w:b/>
                  <w:bCs/>
                  <w:sz w:val="20"/>
                  <w:lang w:eastAsia="lt-LT"/>
                </w:rPr>
              </w:pPr>
              <w:r>
                <w:rPr>
                  <w:rFonts w:ascii="Calibri" w:hAnsi="Calibri"/>
                  <w:b/>
                  <w:bCs/>
                  <w:sz w:val="20"/>
                  <w:lang w:eastAsia="lt-LT"/>
                </w:rPr>
                <w:t>9 pav. Priežastis, dėl kurios kreipėtės į socialinę įstaigą/as</w:t>
              </w:r>
            </w:p>
            <w:p>
              <w:pPr>
                <w:rPr>
                  <w:rFonts w:ascii="Calibri" w:hAnsi="Calibri"/>
                  <w:lang w:eastAsia="lt-LT"/>
                </w:rPr>
              </w:pPr>
              <w:r>
                <w:rPr>
                  <w:rFonts w:ascii="Calibri" w:hAnsi="Calibri"/>
                  <w:lang w:val="en-US"/>
                </w:rPr>
                <w:drawing>
                  <wp:inline distT="0" distB="0" distL="0" distR="0" wp14:anchorId="3CF85ED3" wp14:editId="0110C3C0">
                    <wp:extent cx="6299835" cy="5835015"/>
                    <wp:effectExtent l="0" t="0" r="0" b="0"/>
                    <wp:docPr id="9" name="Paveikslėli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299835" cy="5835015"/>
                            </a:xfrm>
                            <a:prstGeom prst="rect">
                              <a:avLst/>
                            </a:prstGeom>
                            <a:noFill/>
                            <a:ln>
                              <a:noFill/>
                            </a:ln>
                          </pic:spPr>
                        </pic:pic>
                      </a:graphicData>
                    </a:graphic>
                  </wp:inline>
                </w:drawing>
              </w:r>
            </w:p>
            <w:p>
              <w:pPr>
                <w:rPr>
                  <w:rFonts w:ascii="Calibri" w:hAnsi="Calibri"/>
                  <w:lang w:eastAsia="lt-LT"/>
                </w:rPr>
              </w:pPr>
            </w:p>
            <w:p>
              <w:pPr>
                <w:spacing w:line="360" w:lineRule="auto"/>
                <w:ind w:firstLine="284"/>
                <w:jc w:val="both"/>
                <w:rPr>
                  <w:rFonts w:ascii="Calibri" w:hAnsi="Calibri"/>
                  <w:lang w:eastAsia="lt-LT"/>
                </w:rPr>
              </w:pPr>
            </w:p>
            <w:p>
              <w:pPr>
                <w:spacing w:line="360" w:lineRule="auto"/>
                <w:ind w:firstLine="284"/>
                <w:jc w:val="both"/>
                <w:rPr>
                  <w:rFonts w:ascii="Calibri" w:hAnsi="Calibri"/>
                  <w:lang w:eastAsia="lt-LT"/>
                </w:rPr>
              </w:pPr>
              <w:r>
                <w:rPr>
                  <w:rFonts w:ascii="Calibri" w:hAnsi="Calibri"/>
                  <w:lang w:eastAsia="lt-LT"/>
                </w:rPr>
                <w:t xml:space="preserve">Nuo 5 proc. iki 10 proc. respondentų kreipėsi į socialines įstaigas su pasiūlymais, šiek tiek mažiau respondentų kreipėsi su nusiskundimais(žr. 9 pav.). Kitos kreipimosi į socialines įstaigas priežastys (t. y. ne dokumentų susitvarkymo, informacijos ar konsultacijų gavimo, pasiūlymų ar nusiskundimų pateikimo) dažniausi yra, kai kreipiamasi dėl apgyvendinimo nakvynės namuose, dėl intensyvios krizių įveikimo pagalbos, dėl pagalbos globėjams, palydėjimo paslaugų jaunuoliams, socialinės priežiūros šeimoms, socialinės globos, dėl atvejų vadybos ir kt. </w:t>
              </w:r>
            </w:p>
            <w:p>
              <w:pPr>
                <w:spacing w:line="360" w:lineRule="auto"/>
                <w:ind w:firstLine="284"/>
                <w:jc w:val="both"/>
                <w:rPr>
                  <w:rFonts w:ascii="Calibri" w:hAnsi="Calibri"/>
                  <w:lang w:eastAsia="lt-LT"/>
                </w:rPr>
              </w:pPr>
              <w:r>
                <w:rPr>
                  <w:rFonts w:ascii="Calibri" w:hAnsi="Calibri"/>
                  <w:lang w:eastAsia="lt-LT"/>
                </w:rPr>
                <w:t xml:space="preserve">Lyginant su 2017 m. vertinimu, 2023 m. labai sumažėjo santykinė dalis respondentų, kurie kreipiasi į socialines įstaigas dėl informacijos gavimo ar konsultacijų, o išaugo kreipimųsi dėl kitų priežasčių dalis. Tai rodo, kad gyventojai susiduria su specifiniais poreikiais, todėl socialinės įstaigos turi būti pasiruošusios įvairiems nenumatytiems atvejams. </w:t>
              </w:r>
            </w:p>
            <w:p>
              <w:pPr>
                <w:spacing w:line="360" w:lineRule="auto"/>
                <w:ind w:firstLine="284"/>
                <w:jc w:val="both"/>
                <w:rPr>
                  <w:rFonts w:ascii="Calibri" w:hAnsi="Calibri"/>
                  <w:lang w:eastAsia="lt-LT"/>
                </w:rPr>
              </w:pPr>
              <w:r>
                <w:rPr>
                  <w:rFonts w:ascii="Calibri" w:hAnsi="Calibri"/>
                  <w:lang w:eastAsia="lt-LT"/>
                </w:rPr>
                <w:t xml:space="preserve">Septintadalis respondentų, kurie kreipėsi į socialines įstaigas, negavo tai dėl ko kreipėsi (žr. 10 pav.). Kai kurie šių respondentų nurodė, kad įstaigos abejingai arba, apskritai, nebendravo su jais. </w:t>
              </w:r>
            </w:p>
            <w:p>
              <w:pPr>
                <w:spacing w:line="360" w:lineRule="auto"/>
                <w:ind w:firstLine="284"/>
                <w:jc w:val="both"/>
                <w:rPr>
                  <w:rFonts w:ascii="Calibri" w:hAnsi="Calibri"/>
                  <w:lang w:eastAsia="lt-LT"/>
                </w:rPr>
              </w:pPr>
            </w:p>
            <w:p>
              <w:pPr>
                <w:keepNext/>
                <w:rPr>
                  <w:rFonts w:ascii="Calibri" w:hAnsi="Calibri"/>
                  <w:b/>
                  <w:bCs/>
                  <w:sz w:val="20"/>
                  <w:lang w:eastAsia="lt-LT"/>
                </w:rPr>
              </w:pPr>
              <w:r>
                <w:rPr>
                  <w:rFonts w:ascii="Calibri" w:hAnsi="Calibri"/>
                  <w:b/>
                  <w:bCs/>
                  <w:sz w:val="20"/>
                  <w:lang w:eastAsia="lt-LT"/>
                </w:rPr>
                <w:t xml:space="preserve">10 pav. Ar iš socialinės įstaigos (-ų) gavote tai, dėl ko kreipėtės?  </w:t>
              </w:r>
            </w:p>
            <w:p>
              <w:pPr>
                <w:spacing w:line="360" w:lineRule="auto"/>
                <w:ind w:firstLine="284"/>
                <w:jc w:val="center"/>
                <w:rPr>
                  <w:rFonts w:ascii="Calibri" w:hAnsi="Calibri"/>
                  <w:lang w:eastAsia="lt-LT"/>
                </w:rPr>
              </w:pPr>
              <w:r>
                <w:rPr>
                  <w:rFonts w:ascii="Calibri" w:hAnsi="Calibri"/>
                  <w:lang w:val="en-US"/>
                </w:rPr>
                <w:drawing>
                  <wp:inline distT="0" distB="0" distL="0" distR="0" wp14:anchorId="1F5A8B2A" wp14:editId="688256AB">
                    <wp:extent cx="1906270" cy="1906270"/>
                    <wp:effectExtent l="0" t="0" r="0" b="0"/>
                    <wp:docPr id="10" name="Paveikslėlis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906270" cy="1906270"/>
                            </a:xfrm>
                            <a:prstGeom prst="rect">
                              <a:avLst/>
                            </a:prstGeom>
                            <a:noFill/>
                            <a:ln>
                              <a:noFill/>
                            </a:ln>
                          </pic:spPr>
                        </pic:pic>
                      </a:graphicData>
                    </a:graphic>
                  </wp:inline>
                </w:drawing>
              </w:r>
            </w:p>
            <w:p>
              <w:pPr>
                <w:spacing w:line="360" w:lineRule="auto"/>
                <w:ind w:left="-426"/>
                <w:jc w:val="center"/>
                <w:rPr>
                  <w:rFonts w:ascii="Calibri" w:hAnsi="Calibri"/>
                  <w:lang w:eastAsia="lt-LT"/>
                </w:rPr>
              </w:pPr>
            </w:p>
            <w:p>
              <w:pPr>
                <w:spacing w:line="360" w:lineRule="auto"/>
                <w:ind w:firstLine="284"/>
                <w:jc w:val="both"/>
                <w:rPr>
                  <w:rFonts w:ascii="Calibri" w:hAnsi="Calibri"/>
                  <w:lang w:eastAsia="lt-LT"/>
                </w:rPr>
              </w:pPr>
              <w:r>
                <w:rPr>
                  <w:rFonts w:ascii="Calibri" w:hAnsi="Calibri"/>
                  <w:lang w:eastAsia="lt-LT"/>
                </w:rPr>
                <w:t>Respondentai, kurie kreipėsi į socialines įstaigas, labai teigiamai įvertino jų teikiamas paslaugas (žr. 11 pav.). Geriausiai buvo vertinami darbuotojų ir specialistų kultūringas ir mandagus bendravimas (95 proc. respondentų įvertino tai kaip gerai arba labai gerai; 2017 m. – 92 proc.), jų kompetencija (90 proc. respondentų; 2017 m. – 89 proc.), įstaigų švarios ir tvarkingos patalpos (91 proc. respondentų; 2017 m. – 94 proc.). Santykinai mažiausiai gerų vertinimų sulaukė tai, kad įstaigos nėra lengvai pasiekiamoje ar patogioje vietoje (73 proc. respondentų nurodė, kad įstaigos patogioje vietoje; 2017 m. – 82 proc.) ir kad į problemą buvo reaguojama iš karto (77 proc. respondentų; 2017 m. – 80 proc.). Lyginant rezultatus su 2017 m. duomenimis, jie yra santykinai panašūs.</w:t>
              </w:r>
            </w:p>
            <w:p>
              <w:pPr>
                <w:spacing w:line="360" w:lineRule="auto"/>
                <w:ind w:firstLine="284"/>
                <w:jc w:val="both"/>
                <w:rPr>
                  <w:rFonts w:ascii="Calibri" w:hAnsi="Calibri"/>
                  <w:lang w:eastAsia="lt-LT"/>
                </w:rPr>
              </w:pPr>
            </w:p>
            <w:p>
              <w:pPr>
                <w:keepNext/>
                <w:jc w:val="both"/>
                <w:rPr>
                  <w:rFonts w:ascii="Calibri" w:hAnsi="Calibri"/>
                  <w:b/>
                  <w:bCs/>
                  <w:sz w:val="20"/>
                  <w:lang w:eastAsia="lt-LT"/>
                </w:rPr>
              </w:pPr>
              <w:r>
                <w:rPr>
                  <w:rFonts w:ascii="Calibri" w:hAnsi="Calibri"/>
                  <w:b/>
                  <w:bCs/>
                  <w:sz w:val="20"/>
                  <w:lang w:eastAsia="lt-LT"/>
                </w:rPr>
                <w:t>11 pav. Vertindami socialines įstaigas, į kurias kreipėtės, ir jų teikiamas paslaugas kaip vertinate:</w:t>
              </w:r>
            </w:p>
            <w:p>
              <w:pPr>
                <w:rPr>
                  <w:rFonts w:ascii="Calibri" w:hAnsi="Calibri"/>
                  <w:lang w:eastAsia="lt-LT"/>
                </w:rPr>
              </w:pPr>
              <w:r>
                <w:rPr>
                  <w:rFonts w:ascii="Calibri" w:hAnsi="Calibri"/>
                  <w:lang w:val="en-US"/>
                </w:rPr>
                <w:drawing>
                  <wp:inline distT="0" distB="0" distL="0" distR="0" wp14:anchorId="6F997ACF" wp14:editId="0396C891">
                    <wp:extent cx="6299835" cy="2440940"/>
                    <wp:effectExtent l="0" t="0" r="0" b="0"/>
                    <wp:docPr id="11" name="Paveikslėli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299835" cy="2440940"/>
                            </a:xfrm>
                            <a:prstGeom prst="rect">
                              <a:avLst/>
                            </a:prstGeom>
                            <a:noFill/>
                            <a:ln>
                              <a:noFill/>
                            </a:ln>
                          </pic:spPr>
                        </pic:pic>
                      </a:graphicData>
                    </a:graphic>
                  </wp:inline>
                </w:drawing>
              </w:r>
            </w:p>
            <w:p>
              <w:pPr>
                <w:spacing w:line="360" w:lineRule="auto"/>
                <w:ind w:firstLine="284"/>
                <w:jc w:val="both"/>
                <w:rPr>
                  <w:rFonts w:ascii="Calibri" w:hAnsi="Calibri"/>
                  <w:lang w:eastAsia="lt-LT"/>
                </w:rPr>
              </w:pPr>
            </w:p>
            <w:p>
              <w:pPr>
                <w:spacing w:line="360" w:lineRule="auto"/>
                <w:ind w:firstLine="284"/>
                <w:jc w:val="both"/>
                <w:rPr>
                  <w:rFonts w:ascii="Calibri" w:hAnsi="Calibri"/>
                  <w:lang w:eastAsia="lt-LT"/>
                </w:rPr>
              </w:pPr>
            </w:p>
            <w:sdt>
              <w:sdtPr>
                <w:alias w:val="lentele"/>
                <w:tag w:val="part_c8fa1118365846a1bfcf81b52d023bbc"/>
                <w:lock w:val="sdtLocked"/>
                <w:richText/>
              </w:sdtPr>
              <w:sdtContent>
                <w:p>
                  <w:pPr>
                    <w:spacing w:line="360" w:lineRule="auto"/>
                    <w:ind w:firstLine="284"/>
                    <w:jc w:val="both"/>
                    <w:rPr>
                      <w:rFonts w:ascii="Calibri" w:hAnsi="Calibri"/>
                      <w:b/>
                      <w:color w:val="C00000"/>
                      <w:lang w:eastAsia="lt-LT"/>
                    </w:rPr>
                  </w:pPr>
                  <w:r>
                    <w:rPr>
                      <w:rFonts w:ascii="Calibri" w:hAnsi="Calibri"/>
                      <w:b/>
                      <w:color w:val="C00000"/>
                      <w:lang w:eastAsia="lt-LT"/>
                    </w:rPr>
                    <w:br w:type="page"/>
                  </w:r>
                  <w:sdt>
                    <w:sdtPr>
                      <w:alias w:val="Pavadinimas"/>
                      <w:tag w:val="title_c8fa1118365846a1bfcf81b52d023bbc"/>
                      <w:lock w:val="sdtLocked"/>
                      <w:richText/>
                    </w:sdtPr>
                    <w:sdtContent>
                      <w:r>
                        <w:rPr>
                          <w:rFonts w:ascii="Calibri" w:hAnsi="Calibri"/>
                          <w:b/>
                          <w:color w:val="C00000"/>
                          <w:lang w:eastAsia="lt-LT"/>
                        </w:rPr>
                        <w:t>Respondentų demografinės charakteristikos</w:t>
                      </w:r>
                    </w:sdtContent>
                  </w:sdt>
                </w:p>
                <w:p>
                  <w:pPr>
                    <w:spacing w:line="360" w:lineRule="auto"/>
                    <w:ind w:firstLine="284"/>
                    <w:jc w:val="both"/>
                    <w:rPr>
                      <w:rFonts w:ascii="Calibri" w:hAnsi="Calibri"/>
                      <w:b/>
                      <w:color w:val="C00000"/>
                      <w:highlight w:val="yellow"/>
                      <w:lang w:eastAsia="lt-LT"/>
                    </w:rPr>
                  </w:pPr>
                </w:p>
                <w:tbl>
                  <w:tblPr>
                    <w:tblW w:w="10314" w:type="dxa"/>
                    <w:tblLayout w:type="fixed"/>
                    <w:tblLook w:val="04A0" w:firstRow="1" w:lastRow="0" w:firstColumn="1" w:lastColumn="0" w:noHBand="0" w:noVBand="1"/>
                  </w:tblPr>
                  <w:tblGrid>
                    <w:gridCol w:w="5292"/>
                    <w:gridCol w:w="5022"/>
                  </w:tblGrid>
                  <w:tr>
                    <w:tc>
                      <w:tcPr>
                        <w:tcW w:w="5292" w:type="dxa"/>
                        <w:shd w:val="clear" w:color="auto" w:fill="auto"/>
                      </w:tcPr>
                      <w:p>
                        <w:pPr>
                          <w:keepNext/>
                          <w:rPr>
                            <w:rFonts w:ascii="Calibri" w:hAnsi="Calibri"/>
                            <w:b/>
                            <w:bCs/>
                            <w:sz w:val="20"/>
                            <w:lang w:eastAsia="lt-LT"/>
                          </w:rPr>
                        </w:pPr>
                        <w:r>
                          <w:rPr>
                            <w:rFonts w:ascii="Calibri" w:hAnsi="Calibri"/>
                            <w:b/>
                            <w:bCs/>
                            <w:sz w:val="20"/>
                            <w:lang w:eastAsia="lt-LT"/>
                          </w:rPr>
                          <w:t xml:space="preserve">12 pav. </w:t>
                        </w:r>
                        <w:r>
                          <w:rPr>
                            <w:rFonts w:ascii="Calibri" w:hAnsi="Calibri"/>
                            <w:b/>
                            <w:bCs/>
                            <w:sz w:val="22"/>
                            <w:szCs w:val="22"/>
                            <w:lang w:eastAsia="lt-LT"/>
                          </w:rPr>
                          <w:t>Respondentų pasiskirstymas pagal lytį</w:t>
                        </w:r>
                      </w:p>
                      <w:p>
                        <w:pPr>
                          <w:rPr>
                            <w:rFonts w:ascii="Calibri" w:hAnsi="Calibri"/>
                            <w:sz w:val="22"/>
                            <w:szCs w:val="22"/>
                            <w:lang w:eastAsia="lt-LT"/>
                          </w:rPr>
                        </w:pPr>
                        <w:r>
                          <w:rPr>
                            <w:rFonts w:ascii="Calibri" w:hAnsi="Calibri"/>
                            <w:lang w:val="en-US"/>
                          </w:rPr>
                          <w:drawing>
                            <wp:inline distT="0" distB="0" distL="0" distR="0" wp14:anchorId="6E094C03" wp14:editId="284E7746">
                              <wp:extent cx="2053590" cy="1797685"/>
                              <wp:effectExtent l="0" t="0" r="0" b="0"/>
                              <wp:docPr id="12" name="Paveikslėlis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53590" cy="1797685"/>
                                      </a:xfrm>
                                      <a:prstGeom prst="rect">
                                        <a:avLst/>
                                      </a:prstGeom>
                                      <a:noFill/>
                                      <a:ln>
                                        <a:noFill/>
                                      </a:ln>
                                    </pic:spPr>
                                  </pic:pic>
                                </a:graphicData>
                              </a:graphic>
                            </wp:inline>
                          </w:drawing>
                        </w:r>
                      </w:p>
                      <w:p>
                        <w:pPr>
                          <w:rPr>
                            <w:rFonts w:ascii="Calibri" w:hAnsi="Calibri"/>
                            <w:color w:val="C00000"/>
                            <w:sz w:val="22"/>
                            <w:szCs w:val="22"/>
                            <w:lang w:eastAsia="lt-LT"/>
                          </w:rPr>
                        </w:pPr>
                      </w:p>
                    </w:tc>
                    <w:tc>
                      <w:tcPr>
                        <w:tcW w:w="5022" w:type="dxa"/>
                        <w:shd w:val="clear" w:color="auto" w:fill="auto"/>
                      </w:tcPr>
                      <w:p>
                        <w:pPr>
                          <w:keepNext/>
                          <w:jc w:val="both"/>
                          <w:rPr>
                            <w:rFonts w:ascii="Calibri" w:hAnsi="Calibri"/>
                            <w:b/>
                            <w:bCs/>
                            <w:sz w:val="20"/>
                            <w:lang w:eastAsia="lt-LT"/>
                          </w:rPr>
                        </w:pPr>
                        <w:r>
                          <w:rPr>
                            <w:rFonts w:ascii="Calibri" w:hAnsi="Calibri"/>
                            <w:b/>
                            <w:bCs/>
                            <w:sz w:val="20"/>
                            <w:lang w:eastAsia="lt-LT"/>
                          </w:rPr>
                          <w:t xml:space="preserve">13 pav. </w:t>
                        </w:r>
                        <w:r>
                          <w:rPr>
                            <w:rFonts w:ascii="Calibri" w:hAnsi="Calibri"/>
                            <w:b/>
                            <w:bCs/>
                            <w:sz w:val="22"/>
                            <w:szCs w:val="22"/>
                            <w:lang w:eastAsia="lt-LT"/>
                          </w:rPr>
                          <w:t>Respondentų pasiskirstymas pagal amžių</w:t>
                        </w:r>
                      </w:p>
                      <w:p>
                        <w:pPr>
                          <w:jc w:val="both"/>
                          <w:rPr>
                            <w:rFonts w:ascii="Calibri" w:hAnsi="Calibri"/>
                            <w:sz w:val="22"/>
                            <w:szCs w:val="22"/>
                            <w:lang w:eastAsia="lt-LT"/>
                          </w:rPr>
                        </w:pPr>
                        <w:r>
                          <w:rPr>
                            <w:rFonts w:ascii="Calibri" w:hAnsi="Calibri"/>
                            <w:sz w:val="22"/>
                            <w:szCs w:val="22"/>
                            <w:lang w:val="en-US"/>
                          </w:rPr>
                          <w:drawing>
                            <wp:inline distT="0" distB="0" distL="0" distR="0" wp14:anchorId="75B5EFD2" wp14:editId="30475E42">
                              <wp:extent cx="2053590" cy="1797685"/>
                              <wp:effectExtent l="0" t="0" r="0" b="0"/>
                              <wp:docPr id="13" name="Paveikslėlis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053590" cy="1797685"/>
                                      </a:xfrm>
                                      <a:prstGeom prst="rect">
                                        <a:avLst/>
                                      </a:prstGeom>
                                      <a:noFill/>
                                      <a:ln>
                                        <a:noFill/>
                                      </a:ln>
                                    </pic:spPr>
                                  </pic:pic>
                                </a:graphicData>
                              </a:graphic>
                            </wp:inline>
                          </w:drawing>
                        </w:r>
                      </w:p>
                      <w:p>
                        <w:pPr>
                          <w:jc w:val="both"/>
                          <w:rPr>
                            <w:rFonts w:ascii="Calibri" w:hAnsi="Calibri"/>
                            <w:color w:val="C00000"/>
                            <w:sz w:val="22"/>
                            <w:szCs w:val="22"/>
                            <w:lang w:eastAsia="lt-LT"/>
                          </w:rPr>
                        </w:pPr>
                      </w:p>
                    </w:tc>
                  </w:tr>
                  <w:tr>
                    <w:trPr>
                      <w:trHeight w:val="3262"/>
                    </w:trPr>
                    <w:tc>
                      <w:tcPr>
                        <w:tcW w:w="5292" w:type="dxa"/>
                        <w:shd w:val="clear" w:color="auto" w:fill="auto"/>
                      </w:tcPr>
                      <w:p>
                        <w:pPr>
                          <w:keepNext/>
                          <w:jc w:val="both"/>
                          <w:rPr>
                            <w:rFonts w:ascii="Calibri" w:hAnsi="Calibri"/>
                            <w:b/>
                            <w:bCs/>
                            <w:sz w:val="20"/>
                            <w:lang w:eastAsia="lt-LT"/>
                          </w:rPr>
                        </w:pPr>
                        <w:r>
                          <w:rPr>
                            <w:rFonts w:ascii="Calibri" w:hAnsi="Calibri"/>
                            <w:b/>
                            <w:bCs/>
                            <w:sz w:val="20"/>
                            <w:lang w:eastAsia="lt-LT"/>
                          </w:rPr>
                          <w:t xml:space="preserve">14 pav. </w:t>
                        </w:r>
                        <w:r>
                          <w:rPr>
                            <w:rFonts w:ascii="Calibri" w:hAnsi="Calibri"/>
                            <w:b/>
                            <w:bCs/>
                            <w:sz w:val="22"/>
                            <w:szCs w:val="22"/>
                            <w:lang w:eastAsia="lt-LT"/>
                          </w:rPr>
                          <w:t>Respondentų pasiskirstymas pagal išsilavinimą</w:t>
                        </w:r>
                      </w:p>
                      <w:p>
                        <w:pPr>
                          <w:jc w:val="both"/>
                          <w:rPr>
                            <w:rFonts w:ascii="Calibri" w:hAnsi="Calibri"/>
                            <w:sz w:val="22"/>
                            <w:szCs w:val="22"/>
                            <w:lang w:eastAsia="lt-LT"/>
                          </w:rPr>
                        </w:pPr>
                        <w:r>
                          <w:rPr>
                            <w:rFonts w:ascii="Calibri" w:hAnsi="Calibri"/>
                            <w:sz w:val="22"/>
                            <w:szCs w:val="22"/>
                            <w:lang w:val="en-US"/>
                          </w:rPr>
                          <w:drawing>
                            <wp:inline distT="0" distB="0" distL="0" distR="0" wp14:anchorId="5FBE384F" wp14:editId="1528C651">
                              <wp:extent cx="2053590" cy="1797685"/>
                              <wp:effectExtent l="0" t="0" r="0" b="0"/>
                              <wp:docPr id="14" name="Paveikslėlis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053590" cy="1797685"/>
                                      </a:xfrm>
                                      <a:prstGeom prst="rect">
                                        <a:avLst/>
                                      </a:prstGeom>
                                      <a:noFill/>
                                      <a:ln>
                                        <a:noFill/>
                                      </a:ln>
                                    </pic:spPr>
                                  </pic:pic>
                                </a:graphicData>
                              </a:graphic>
                            </wp:inline>
                          </w:drawing>
                        </w:r>
                      </w:p>
                    </w:tc>
                    <w:tc>
                      <w:tcPr>
                        <w:tcW w:w="5022" w:type="dxa"/>
                        <w:shd w:val="clear" w:color="auto" w:fill="auto"/>
                      </w:tcPr>
                      <w:p>
                        <w:pPr>
                          <w:keepNext/>
                          <w:jc w:val="both"/>
                          <w:rPr>
                            <w:rFonts w:ascii="Calibri" w:hAnsi="Calibri"/>
                            <w:b/>
                            <w:bCs/>
                            <w:sz w:val="20"/>
                            <w:lang w:eastAsia="lt-LT"/>
                          </w:rPr>
                        </w:pPr>
                        <w:r>
                          <w:rPr>
                            <w:rFonts w:ascii="Calibri" w:hAnsi="Calibri"/>
                            <w:b/>
                            <w:bCs/>
                            <w:sz w:val="20"/>
                            <w:lang w:eastAsia="lt-LT"/>
                          </w:rPr>
                          <w:t xml:space="preserve">15 pav. </w:t>
                        </w:r>
                        <w:r>
                          <w:rPr>
                            <w:rFonts w:ascii="Calibri" w:hAnsi="Calibri"/>
                            <w:b/>
                            <w:bCs/>
                            <w:sz w:val="22"/>
                            <w:szCs w:val="22"/>
                            <w:lang w:eastAsia="lt-LT"/>
                          </w:rPr>
                          <w:t>Respondentai pagal užsiėmimą</w:t>
                        </w:r>
                      </w:p>
                      <w:p>
                        <w:pPr>
                          <w:jc w:val="both"/>
                          <w:rPr>
                            <w:rFonts w:ascii="Calibri" w:hAnsi="Calibri"/>
                            <w:sz w:val="22"/>
                            <w:szCs w:val="22"/>
                            <w:lang w:eastAsia="lt-LT"/>
                          </w:rPr>
                        </w:pPr>
                        <w:r>
                          <w:rPr>
                            <w:rFonts w:ascii="Calibri" w:hAnsi="Calibri"/>
                            <w:sz w:val="22"/>
                            <w:szCs w:val="22"/>
                            <w:lang w:val="en-US"/>
                          </w:rPr>
                          <w:drawing>
                            <wp:inline distT="0" distB="0" distL="0" distR="0" wp14:anchorId="1F8313A1" wp14:editId="1C4063FC">
                              <wp:extent cx="2053590" cy="1797685"/>
                              <wp:effectExtent l="0" t="0" r="0" b="0"/>
                              <wp:docPr id="15" name="Paveikslėlis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053590" cy="1797685"/>
                                      </a:xfrm>
                                      <a:prstGeom prst="rect">
                                        <a:avLst/>
                                      </a:prstGeom>
                                      <a:noFill/>
                                      <a:ln>
                                        <a:noFill/>
                                      </a:ln>
                                    </pic:spPr>
                                  </pic:pic>
                                </a:graphicData>
                              </a:graphic>
                            </wp:inline>
                          </w:drawing>
                        </w:r>
                      </w:p>
                    </w:tc>
                  </w:tr>
                  <w:tr>
                    <w:tc>
                      <w:tcPr>
                        <w:tcW w:w="5292" w:type="dxa"/>
                        <w:shd w:val="clear" w:color="auto" w:fill="auto"/>
                      </w:tcPr>
                      <w:p>
                        <w:pPr>
                          <w:keepNext/>
                          <w:jc w:val="both"/>
                          <w:rPr>
                            <w:rFonts w:ascii="Calibri" w:hAnsi="Calibri"/>
                            <w:b/>
                            <w:bCs/>
                            <w:sz w:val="20"/>
                            <w:lang w:eastAsia="lt-LT"/>
                          </w:rPr>
                        </w:pPr>
                        <w:r>
                          <w:rPr>
                            <w:rFonts w:ascii="Calibri" w:hAnsi="Calibri"/>
                            <w:b/>
                            <w:bCs/>
                            <w:sz w:val="20"/>
                            <w:lang w:eastAsia="lt-LT"/>
                          </w:rPr>
                          <w:t xml:space="preserve">16 pav. </w:t>
                        </w:r>
                        <w:r>
                          <w:rPr>
                            <w:rFonts w:ascii="Calibri" w:hAnsi="Calibri"/>
                            <w:b/>
                            <w:bCs/>
                            <w:sz w:val="22"/>
                            <w:szCs w:val="22"/>
                            <w:lang w:eastAsia="lt-LT"/>
                          </w:rPr>
                          <w:t>Respondentai pagal šeimos narių skaičių</w:t>
                        </w:r>
                      </w:p>
                      <w:p>
                        <w:pPr>
                          <w:jc w:val="both"/>
                          <w:rPr>
                            <w:rFonts w:ascii="Calibri" w:hAnsi="Calibri"/>
                            <w:sz w:val="22"/>
                            <w:szCs w:val="22"/>
                            <w:lang w:eastAsia="lt-LT"/>
                          </w:rPr>
                        </w:pPr>
                        <w:r>
                          <w:rPr>
                            <w:rFonts w:ascii="Calibri" w:hAnsi="Calibri"/>
                            <w:sz w:val="22"/>
                            <w:szCs w:val="22"/>
                            <w:lang w:val="en-US"/>
                          </w:rPr>
                          <w:drawing>
                            <wp:inline distT="0" distB="0" distL="0" distR="0" wp14:anchorId="0294D4AB" wp14:editId="1C58A630">
                              <wp:extent cx="2053590" cy="1797685"/>
                              <wp:effectExtent l="0" t="0" r="0" b="0"/>
                              <wp:docPr id="16" name="Paveikslėlis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053590" cy="1797685"/>
                                      </a:xfrm>
                                      <a:prstGeom prst="rect">
                                        <a:avLst/>
                                      </a:prstGeom>
                                      <a:noFill/>
                                      <a:ln>
                                        <a:noFill/>
                                      </a:ln>
                                    </pic:spPr>
                                  </pic:pic>
                                </a:graphicData>
                              </a:graphic>
                            </wp:inline>
                          </w:drawing>
                        </w:r>
                      </w:p>
                    </w:tc>
                    <w:tc>
                      <w:tcPr>
                        <w:tcW w:w="5022" w:type="dxa"/>
                        <w:shd w:val="clear" w:color="auto" w:fill="auto"/>
                      </w:tcPr>
                      <w:p>
                        <w:pPr>
                          <w:keepNext/>
                          <w:jc w:val="both"/>
                          <w:rPr>
                            <w:rFonts w:ascii="Calibri" w:hAnsi="Calibri"/>
                            <w:b/>
                            <w:bCs/>
                            <w:sz w:val="20"/>
                            <w:lang w:eastAsia="lt-LT"/>
                          </w:rPr>
                        </w:pPr>
                        <w:r>
                          <w:rPr>
                            <w:rFonts w:ascii="Calibri" w:hAnsi="Calibri"/>
                            <w:b/>
                            <w:bCs/>
                            <w:sz w:val="20"/>
                            <w:lang w:eastAsia="lt-LT"/>
                          </w:rPr>
                          <w:t xml:space="preserve">17 pav. </w:t>
                        </w:r>
                        <w:r>
                          <w:rPr>
                            <w:rFonts w:ascii="Calibri" w:hAnsi="Calibri"/>
                            <w:b/>
                            <w:bCs/>
                            <w:sz w:val="22"/>
                            <w:szCs w:val="22"/>
                            <w:lang w:eastAsia="lt-LT"/>
                          </w:rPr>
                          <w:t>Respondentai pagal gyvenamą vietą</w:t>
                        </w:r>
                      </w:p>
                      <w:p>
                        <w:pPr>
                          <w:jc w:val="both"/>
                          <w:rPr>
                            <w:rFonts w:ascii="Calibri" w:hAnsi="Calibri"/>
                            <w:sz w:val="22"/>
                            <w:szCs w:val="22"/>
                            <w:lang w:eastAsia="lt-LT"/>
                          </w:rPr>
                        </w:pPr>
                        <w:r>
                          <w:rPr>
                            <w:rFonts w:ascii="Calibri" w:hAnsi="Calibri"/>
                            <w:sz w:val="22"/>
                            <w:szCs w:val="22"/>
                            <w:lang w:val="en-US"/>
                          </w:rPr>
                          <w:drawing>
                            <wp:inline distT="0" distB="0" distL="0" distR="0" wp14:anchorId="22AF5B0C" wp14:editId="212BFCAA">
                              <wp:extent cx="2053590" cy="1797685"/>
                              <wp:effectExtent l="0" t="0" r="0" b="0"/>
                              <wp:docPr id="17" name="Paveikslėlis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053590" cy="1797685"/>
                                      </a:xfrm>
                                      <a:prstGeom prst="rect">
                                        <a:avLst/>
                                      </a:prstGeom>
                                      <a:noFill/>
                                      <a:ln>
                                        <a:noFill/>
                                      </a:ln>
                                    </pic:spPr>
                                  </pic:pic>
                                </a:graphicData>
                              </a:graphic>
                            </wp:inline>
                          </w:drawing>
                        </w:r>
                      </w:p>
                      <w:p>
                        <w:pPr>
                          <w:jc w:val="both"/>
                          <w:rPr>
                            <w:rFonts w:ascii="Calibri" w:hAnsi="Calibri"/>
                            <w:sz w:val="22"/>
                            <w:szCs w:val="22"/>
                            <w:lang w:eastAsia="lt-LT"/>
                          </w:rPr>
                        </w:pPr>
                      </w:p>
                    </w:tc>
                  </w:tr>
                  <w:tr>
                    <w:tc>
                      <w:tcPr>
                        <w:tcW w:w="5292" w:type="dxa"/>
                        <w:shd w:val="clear" w:color="auto" w:fill="auto"/>
                      </w:tcPr>
                      <w:p>
                        <w:pPr>
                          <w:keepNext/>
                          <w:jc w:val="both"/>
                          <w:rPr>
                            <w:rFonts w:ascii="Calibri" w:hAnsi="Calibri"/>
                            <w:b/>
                            <w:bCs/>
                            <w:sz w:val="20"/>
                            <w:lang w:eastAsia="lt-LT"/>
                          </w:rPr>
                        </w:pPr>
                        <w:r>
                          <w:rPr>
                            <w:rFonts w:ascii="Calibri" w:hAnsi="Calibri"/>
                            <w:b/>
                            <w:bCs/>
                            <w:sz w:val="20"/>
                            <w:lang w:eastAsia="lt-LT"/>
                          </w:rPr>
                          <w:t xml:space="preserve">18 pav. </w:t>
                        </w:r>
                        <w:r>
                          <w:rPr>
                            <w:rFonts w:ascii="Calibri" w:hAnsi="Calibri"/>
                            <w:b/>
                            <w:bCs/>
                            <w:sz w:val="22"/>
                            <w:szCs w:val="22"/>
                            <w:lang w:eastAsia="lt-LT"/>
                          </w:rPr>
                          <w:t>Respondentų pasiskirstymas pagal sumą, tenkančią vienam šeimos nariui per mėnesį</w:t>
                        </w:r>
                      </w:p>
                      <w:p>
                        <w:pPr>
                          <w:jc w:val="both"/>
                          <w:rPr>
                            <w:rFonts w:ascii="Calibri" w:hAnsi="Calibri"/>
                            <w:color w:val="C00000"/>
                            <w:sz w:val="22"/>
                            <w:szCs w:val="22"/>
                            <w:lang w:eastAsia="lt-LT"/>
                          </w:rPr>
                        </w:pPr>
                        <w:r>
                          <w:rPr>
                            <w:rFonts w:ascii="Calibri" w:hAnsi="Calibri"/>
                            <w:color w:val="C00000"/>
                            <w:sz w:val="22"/>
                            <w:szCs w:val="22"/>
                            <w:lang w:val="en-US"/>
                          </w:rPr>
                          <w:drawing>
                            <wp:inline distT="0" distB="0" distL="0" distR="0" wp14:anchorId="3C44944F" wp14:editId="15D04C0B">
                              <wp:extent cx="2053590" cy="1797685"/>
                              <wp:effectExtent l="0" t="0" r="0" b="0"/>
                              <wp:docPr id="18" name="Paveikslėlis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053590" cy="1797685"/>
                                      </a:xfrm>
                                      <a:prstGeom prst="rect">
                                        <a:avLst/>
                                      </a:prstGeom>
                                      <a:noFill/>
                                      <a:ln>
                                        <a:noFill/>
                                      </a:ln>
                                    </pic:spPr>
                                  </pic:pic>
                                </a:graphicData>
                              </a:graphic>
                            </wp:inline>
                          </w:drawing>
                        </w:r>
                      </w:p>
                    </w:tc>
                    <w:tc>
                      <w:tcPr>
                        <w:tcW w:w="5022" w:type="dxa"/>
                        <w:shd w:val="clear" w:color="auto" w:fill="auto"/>
                      </w:tcPr>
                      <w:p>
                        <w:pPr>
                          <w:jc w:val="both"/>
                          <w:rPr>
                            <w:rFonts w:ascii="Calibri" w:hAnsi="Calibri"/>
                            <w:color w:val="C00000"/>
                            <w:sz w:val="22"/>
                            <w:szCs w:val="22"/>
                            <w:lang w:eastAsia="lt-LT"/>
                          </w:rPr>
                        </w:pPr>
                      </w:p>
                    </w:tc>
                  </w:tr>
                </w:tbl>
                <w:p>
                  <w:pPr>
                    <w:rPr>
                      <w:sz w:val="20"/>
                    </w:rPr>
                  </w:pPr>
                </w:p>
                <w:p>
                  <w:pPr>
                    <w:rPr>
                      <w:rFonts w:ascii="Calibri" w:hAnsi="Calibri"/>
                      <w:bCs/>
                      <w:color w:val="C00000"/>
                      <w:kern w:val="28"/>
                      <w:sz w:val="28"/>
                      <w:szCs w:val="32"/>
                      <w:lang w:eastAsia="lt-LT"/>
                    </w:rPr>
                  </w:pPr>
                  <w:r>
                    <w:rPr>
                      <w:rFonts w:ascii="Calibri" w:hAnsi="Calibri"/>
                      <w:b/>
                      <w:bCs/>
                      <w:color w:val="C00000"/>
                      <w:kern w:val="28"/>
                      <w:sz w:val="28"/>
                      <w:szCs w:val="28"/>
                      <w:lang w:eastAsia="lt-LT"/>
                    </w:rPr>
                    <w:br w:type="page"/>
                  </w:r>
                </w:p>
                <w:p>
                  <w:pPr>
                    <w:rPr>
                      <w:sz w:val="6"/>
                      <w:szCs w:val="6"/>
                    </w:rPr>
                  </w:pPr>
                </w:p>
              </w:sdtContent>
            </w:sdt>
            <w:sdt>
              <w:sdtPr>
                <w:alias w:val="lentele"/>
                <w:tag w:val="part_cf03bfc07776412a8ad7c5db9270c2c0"/>
                <w:lock w:val="sdtLocked"/>
                <w:richText/>
              </w:sdtPr>
              <w:sdtContent>
                <w:p>
                  <w:pPr>
                    <w:rPr>
                      <w:rFonts w:ascii="Calibri" w:hAnsi="Calibri"/>
                      <w:b/>
                      <w:color w:val="C00000"/>
                      <w:lang w:eastAsia="lt-LT"/>
                    </w:rPr>
                  </w:pPr>
                  <w:sdt>
                    <w:sdtPr>
                      <w:alias w:val="Pavadinimas"/>
                      <w:tag w:val="title_cf03bfc07776412a8ad7c5db9270c2c0"/>
                      <w:lock w:val="sdtLocked"/>
                      <w:richText/>
                    </w:sdtPr>
                    <w:sdtContent>
                      <w:r>
                        <w:rPr>
                          <w:rFonts w:ascii="Calibri" w:hAnsi="Calibri"/>
                          <w:b/>
                          <w:color w:val="C00000"/>
                          <w:lang w:eastAsia="lt-LT"/>
                        </w:rPr>
                        <w:t>TOBULINTINOS SRITYS, SIŪLYMAI IR PRIEMONĖS</w:t>
                      </w:r>
                    </w:sdtContent>
                  </w:sdt>
                </w:p>
                <w:p>
                  <w:pPr>
                    <w:rPr>
                      <w:rFonts w:ascii="Calibri" w:hAnsi="Calibri"/>
                      <w:lang w:eastAsia="lt-LT"/>
                    </w:rPr>
                  </w:pPr>
                </w:p>
                <w:tbl>
                  <w:tblPr>
                    <w:tblW w:w="10209" w:type="dxa"/>
                    <w:tblCellMar>
                      <w:left w:w="0" w:type="dxa"/>
                      <w:right w:w="0" w:type="dxa"/>
                    </w:tblCellMar>
                    <w:tblLook w:val="0420" w:firstRow="1" w:lastRow="0" w:firstColumn="0" w:lastColumn="0" w:noHBand="0" w:noVBand="1"/>
                  </w:tblPr>
                  <w:tblGrid>
                    <w:gridCol w:w="2129"/>
                    <w:gridCol w:w="4040"/>
                    <w:gridCol w:w="4040"/>
                  </w:tblGrid>
                  <w:tr>
                    <w:trPr>
                      <w:trHeight w:val="890"/>
                    </w:trPr>
                    <w:tc>
                      <w:tcPr>
                        <w:tcW w:w="2129" w:type="dxa"/>
                        <w:tcBorders>
                          <w:top w:val="single" w:sz="8" w:space="0" w:color="000000"/>
                          <w:left w:val="single" w:sz="8" w:space="0" w:color="000000"/>
                          <w:bottom w:val="single" w:sz="8" w:space="0" w:color="000000"/>
                          <w:right w:val="single" w:sz="8" w:space="0" w:color="000000"/>
                        </w:tcBorders>
                        <w:shd w:val="clear" w:color="auto" w:fill="C00000"/>
                        <w:tcMar>
                          <w:top w:w="72" w:type="dxa"/>
                          <w:left w:w="144" w:type="dxa"/>
                          <w:bottom w:w="72" w:type="dxa"/>
                          <w:right w:w="144" w:type="dxa"/>
                        </w:tcMar>
                      </w:tcPr>
                      <w:p>
                        <w:pPr>
                          <w:tabs>
                            <w:tab w:val="left" w:pos="0"/>
                          </w:tabs>
                          <w:jc w:val="center"/>
                          <w:rPr>
                            <w:rFonts w:ascii="Calibri" w:hAnsi="Calibri"/>
                            <w:b/>
                            <w:color w:val="FFFFFF"/>
                            <w:lang w:eastAsia="lt-LT"/>
                          </w:rPr>
                        </w:pPr>
                        <w:r>
                          <w:rPr>
                            <w:rFonts w:ascii="Calibri" w:hAnsi="Calibri"/>
                            <w:b/>
                            <w:color w:val="FFFFFF"/>
                            <w:lang w:eastAsia="lt-LT"/>
                          </w:rPr>
                          <w:t>Tobulintinos administracinių paslaugų sritys</w:t>
                        </w:r>
                      </w:p>
                    </w:tc>
                    <w:tc>
                      <w:tcPr>
                        <w:tcW w:w="4040" w:type="dxa"/>
                        <w:tcBorders>
                          <w:top w:val="single" w:sz="8" w:space="0" w:color="000000"/>
                          <w:left w:val="single" w:sz="8" w:space="0" w:color="000000"/>
                          <w:bottom w:val="single" w:sz="8" w:space="0" w:color="000000"/>
                          <w:right w:val="single" w:sz="8" w:space="0" w:color="000000"/>
                        </w:tcBorders>
                        <w:shd w:val="clear" w:color="auto" w:fill="C00000"/>
                        <w:tcMar>
                          <w:top w:w="72" w:type="dxa"/>
                          <w:left w:w="144" w:type="dxa"/>
                          <w:bottom w:w="72" w:type="dxa"/>
                          <w:right w:w="144" w:type="dxa"/>
                        </w:tcMar>
                      </w:tcPr>
                      <w:p>
                        <w:pPr>
                          <w:tabs>
                            <w:tab w:val="left" w:pos="0"/>
                          </w:tabs>
                          <w:ind w:left="-851" w:firstLine="1135"/>
                          <w:jc w:val="center"/>
                          <w:rPr>
                            <w:rFonts w:ascii="Calibri" w:hAnsi="Calibri"/>
                            <w:b/>
                            <w:color w:val="FFFFFF"/>
                            <w:lang w:eastAsia="lt-LT"/>
                          </w:rPr>
                        </w:pPr>
                        <w:r>
                          <w:rPr>
                            <w:rFonts w:ascii="Calibri" w:hAnsi="Calibri"/>
                            <w:b/>
                            <w:color w:val="FFFFFF"/>
                            <w:lang w:eastAsia="lt-LT"/>
                          </w:rPr>
                          <w:t>Siūlymai</w:t>
                        </w:r>
                      </w:p>
                      <w:p>
                        <w:pPr>
                          <w:jc w:val="both"/>
                          <w:rPr>
                            <w:rFonts w:ascii="Calibri" w:hAnsi="Calibri"/>
                            <w:bCs/>
                            <w:color w:val="FFFFFF"/>
                            <w:kern w:val="28"/>
                            <w:szCs w:val="24"/>
                            <w:lang w:eastAsia="lt-LT"/>
                          </w:rPr>
                        </w:pPr>
                      </w:p>
                    </w:tc>
                    <w:tc>
                      <w:tcPr>
                        <w:tcW w:w="4040" w:type="dxa"/>
                        <w:tcBorders>
                          <w:top w:val="single" w:sz="8" w:space="0" w:color="000000"/>
                          <w:left w:val="single" w:sz="8" w:space="0" w:color="000000"/>
                          <w:bottom w:val="single" w:sz="8" w:space="0" w:color="000000"/>
                          <w:right w:val="single" w:sz="8" w:space="0" w:color="000000"/>
                        </w:tcBorders>
                        <w:shd w:val="clear" w:color="auto" w:fill="C00000"/>
                      </w:tcPr>
                      <w:p>
                        <w:pPr>
                          <w:jc w:val="center"/>
                          <w:rPr>
                            <w:rFonts w:ascii="Calibri" w:hAnsi="Calibri"/>
                            <w:bCs/>
                            <w:color w:val="FFFFFF"/>
                            <w:kern w:val="28"/>
                            <w:szCs w:val="24"/>
                            <w:lang w:eastAsia="lt-LT"/>
                          </w:rPr>
                        </w:pPr>
                        <w:r>
                          <w:rPr>
                            <w:rFonts w:ascii="Calibri" w:hAnsi="Calibri"/>
                            <w:b/>
                            <w:color w:val="FFFFFF"/>
                            <w:lang w:eastAsia="lt-LT"/>
                          </w:rPr>
                          <w:t>Priemonė</w:t>
                        </w:r>
                      </w:p>
                    </w:tc>
                  </w:tr>
                  <w:tr>
                    <w:trPr>
                      <w:trHeight w:val="1166"/>
                    </w:trPr>
                    <w:tc>
                      <w:tcPr>
                        <w:tcW w:w="212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pPr>
                          <w:tabs>
                            <w:tab w:val="left" w:pos="284"/>
                          </w:tabs>
                          <w:ind w:left="142" w:hanging="142"/>
                          <w:jc w:val="both"/>
                          <w:rPr>
                            <w:rFonts w:ascii="Calibri" w:hAnsi="Calibri"/>
                            <w:lang w:eastAsia="lt-LT"/>
                          </w:rPr>
                        </w:pPr>
                        <w:r>
                          <w:rPr>
                            <w:rFonts w:ascii="Wingdings" w:hAnsi="Wingdings"/>
                            <w:lang w:eastAsia="lt-LT"/>
                          </w:rPr>
                          <w:t></w:t>
                          <w:tab/>
                        </w:r>
                        <w:r>
                          <w:rPr>
                            <w:rFonts w:ascii="Calibri" w:hAnsi="Calibri"/>
                            <w:lang w:eastAsia="lt-LT"/>
                          </w:rPr>
                          <w:t xml:space="preserve">Informacijos prieinamumas ir išsamumas. </w:t>
                        </w:r>
                      </w:p>
                    </w:tc>
                    <w:tc>
                      <w:tcPr>
                        <w:tcW w:w="404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pPr>
                          <w:jc w:val="both"/>
                          <w:rPr>
                            <w:rFonts w:ascii="Calibri" w:hAnsi="Calibri"/>
                            <w:bCs/>
                            <w:kern w:val="28"/>
                            <w:szCs w:val="24"/>
                            <w:lang w:eastAsia="lt-LT"/>
                          </w:rPr>
                        </w:pPr>
                        <w:r>
                          <w:rPr>
                            <w:rFonts w:ascii="Calibri" w:hAnsi="Calibri"/>
                            <w:bCs/>
                            <w:kern w:val="28"/>
                            <w:szCs w:val="24"/>
                            <w:lang w:eastAsia="lt-LT"/>
                          </w:rPr>
                          <w:t>Didinti gebėjimus prisiderinti prie labiau specifinių vartotojų poreikių; Skatinti gyventojus aktyviau naudoti informacines technologijas, internetą, mažinti gyventojų poreikį asmeniškai eiti į įstaigą.</w:t>
                        </w:r>
                      </w:p>
                    </w:tc>
                    <w:tc>
                      <w:tcPr>
                        <w:tcW w:w="4040" w:type="dxa"/>
                        <w:tcBorders>
                          <w:top w:val="single" w:sz="8" w:space="0" w:color="000000"/>
                          <w:left w:val="single" w:sz="8" w:space="0" w:color="000000"/>
                          <w:bottom w:val="single" w:sz="8" w:space="0" w:color="000000"/>
                          <w:right w:val="single" w:sz="8" w:space="0" w:color="000000"/>
                        </w:tcBorders>
                        <w:shd w:val="clear" w:color="auto" w:fill="auto"/>
                      </w:tcPr>
                      <w:p>
                        <w:pPr>
                          <w:ind w:firstLine="53"/>
                          <w:jc w:val="both"/>
                          <w:rPr>
                            <w:rFonts w:ascii="Calibri" w:hAnsi="Calibri"/>
                            <w:bCs/>
                            <w:color w:val="000000"/>
                            <w:kern w:val="28"/>
                            <w:szCs w:val="24"/>
                            <w:lang w:eastAsia="lt-LT"/>
                          </w:rPr>
                        </w:pPr>
                        <w:r>
                          <w:rPr>
                            <w:rFonts w:ascii="Calibri" w:hAnsi="Calibri"/>
                            <w:bCs/>
                            <w:color w:val="000000"/>
                            <w:kern w:val="28"/>
                            <w:szCs w:val="24"/>
                            <w:lang w:eastAsia="lt-LT"/>
                          </w:rPr>
                          <w:t xml:space="preserve">Specifinių (unikalių) asmeninių poreikių socialinėms paslaugoms sąrašo sudarymas bei galimybių ir perspektyvos  teikti tokias paslaugas įvertinimas.</w:t>
                        </w:r>
                      </w:p>
                    </w:tc>
                  </w:tr>
                </w:tbl>
                <w:p>
                  <w:pPr>
                    <w:rPr>
                      <w:rFonts w:ascii="Calibri" w:hAnsi="Calibri"/>
                      <w:lang w:eastAsia="lt-LT"/>
                    </w:rPr>
                  </w:pPr>
                </w:p>
                <w:p>
                  <w:pPr>
                    <w:rPr>
                      <w:rFonts w:ascii="Calibri" w:hAnsi="Calibri"/>
                      <w:lang w:eastAsia="lt-LT"/>
                    </w:rPr>
                  </w:pPr>
                </w:p>
              </w:sdtContent>
            </w:sdt>
            <w:sdt>
              <w:sdtPr>
                <w:alias w:val="pastraipa"/>
                <w:tag w:val="part_e770b59c14184edd936073c0fc0608fd"/>
                <w:lock w:val="sdtLocked"/>
                <w:richText/>
              </w:sdtPr>
              <w:sdtContent>
                <w:p>
                  <w:pPr>
                    <w:jc w:val="center"/>
                    <w:rPr>
                      <w:rFonts w:ascii="Calibri" w:hAnsi="Calibri"/>
                      <w:lang w:eastAsia="lt-LT"/>
                    </w:rPr>
                  </w:pPr>
                  <w:r>
                    <w:rPr>
                      <w:rFonts w:ascii="Calibri" w:hAnsi="Calibri"/>
                      <w:lang w:eastAsia="lt-LT"/>
                    </w:rPr>
                    <w:t>_________________________________</w:t>
                  </w:r>
                </w:p>
                <w:p>
                  <w:pPr>
                    <w:jc w:val="cente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p>
                  <w:pPr>
                    <w:rPr>
                      <w:rFonts w:ascii="Calibri" w:hAnsi="Calibri"/>
                      <w:lang w:eastAsia="lt-LT"/>
                    </w:rPr>
                  </w:pPr>
                </w:p>
              </w:sdtContent>
            </w:sdt>
          </w:sdtContent>
        </w:sdt>
      </w:sdtContent>
    </w:sdt>
    <w:sectPr>
      <w:type w:val="continuous"/>
      <w:pgSz w:w="11909" w:h="16834" w:code="9"/>
      <w:pgMar w:top="1134" w:right="567" w:bottom="1134" w:left="1418" w:header="284" w:footer="0" w:gutter="0"/>
      <w:cols w:space="720"/>
      <w:titlePg/>
      <w:docGrid w:linePitch="1632" w:charSpace="4763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hAnsi="Calibri"/>
          <w:lang w:eastAsia="lt-LT"/>
        </w:rPr>
      </w:pPr>
      <w:r>
        <w:rPr>
          <w:rFonts w:ascii="Calibri" w:hAnsi="Calibri"/>
          <w:lang w:eastAsia="lt-LT"/>
        </w:rPr>
        <w:separator/>
      </w:r>
    </w:p>
  </w:endnote>
  <w:endnote w:type="continuationSeparator" w:id="0">
    <w:p>
      <w:pPr>
        <w:rPr>
          <w:rFonts w:ascii="Calibri" w:hAnsi="Calibri"/>
          <w:lang w:eastAsia="lt-LT"/>
        </w:rPr>
      </w:pPr>
      <w:r>
        <w:rPr>
          <w:rFonts w:ascii="Calibri" w:hAnsi="Calibri"/>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ascii="Calibri" w:hAnsi="Calibri"/>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jc w:val="right"/>
      <w:rPr>
        <w:rFonts w:ascii="Calibri" w:hAnsi="Calibri"/>
        <w:lang w:eastAsia="lt-LT"/>
      </w:rPr>
    </w:pPr>
    <w:r>
      <w:rPr>
        <w:rFonts w:ascii="Calibri" w:hAnsi="Calibri"/>
        <w:lang w:eastAsia="lt-LT"/>
      </w:rPr>
      <w:fldChar w:fldCharType="begin"/>
    </w:r>
    <w:r>
      <w:rPr>
        <w:rFonts w:ascii="Calibri" w:hAnsi="Calibri"/>
        <w:lang w:eastAsia="lt-LT"/>
      </w:rPr>
      <w:instrText xml:space="preserve"> PAGE   \* MERGEFORMAT </w:instrText>
    </w:r>
    <w:r>
      <w:rPr>
        <w:rFonts w:ascii="Calibri" w:hAnsi="Calibri"/>
        <w:lang w:eastAsia="lt-LT"/>
      </w:rPr>
      <w:fldChar w:fldCharType="separate"/>
    </w:r>
    <w:r>
      <w:rPr>
        <w:rFonts w:ascii="Calibri" w:hAnsi="Calibri"/>
        <w:lang w:eastAsia="lt-LT"/>
      </w:rPr>
      <w:t>14</w:t>
    </w:r>
    <w:r>
      <w:rPr>
        <w:rFonts w:ascii="Calibri" w:hAnsi="Calibri"/>
        <w:lang w:eastAsia="lt-LT"/>
      </w:rPr>
      <w:fldChar w:fldCharType="end"/>
    </w:r>
  </w:p>
  <w:p>
    <w:pPr>
      <w:spacing w:after="60"/>
      <w:ind w:right="-320"/>
      <w:rPr>
        <w:rFonts w:ascii="Calibri" w:hAnsi="Calibri"/>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ascii="Calibri" w:hAnsi="Calibri"/>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hAnsi="Calibri"/>
          <w:lang w:eastAsia="lt-LT"/>
        </w:rPr>
      </w:pPr>
      <w:r>
        <w:rPr>
          <w:rFonts w:ascii="Calibri" w:hAnsi="Calibri"/>
          <w:lang w:eastAsia="lt-LT"/>
        </w:rPr>
        <w:separator/>
      </w:r>
    </w:p>
  </w:footnote>
  <w:footnote w:type="continuationSeparator" w:id="0">
    <w:p>
      <w:pPr>
        <w:rPr>
          <w:rFonts w:ascii="Calibri" w:hAnsi="Calibri"/>
          <w:lang w:eastAsia="lt-LT"/>
        </w:rPr>
      </w:pPr>
      <w:r>
        <w:rPr>
          <w:rFonts w:ascii="Calibri" w:hAnsi="Calibri"/>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ascii="Calibri" w:hAnsi="Calibri"/>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ascii="Calibri" w:hAnsi="Calibri"/>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ascii="Calibri" w:hAnsi="Calibri"/>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473"/>
  <w:drawingGridVerticalSpacing w:val="816"/>
  <w:displayVerticalDrawingGridEvery w:val="2"/>
  <w:characterSpacingControl w:val="doNotCompress"/>
  <w:hdrShapeDefaults>
    <o:shapedefaults v:ext="edit" spidmax="2050">
      <o:colormru v:ext="edit" colors="#c00"/>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789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c00"/>
    </o:shapedefaults>
    <o:shapelayout v:ext="edit">
      <o:idmap v:ext="edit" data="2"/>
    </o:shapelayout>
  </w:shapeDefaults>
  <w:decimalSymbol w:val="."/>
  <w:listSeparator w:val=","/>
  <w15:chartTrackingRefBased/>
  <w15:docId w15:val="{62E25297-8649-40FE-9A49-5AFEF22576F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0816078">
      <w:bodyDiv w:val="1"/>
      <w:marLeft w:val="0"/>
      <w:marRight w:val="0"/>
      <w:marTop w:val="0"/>
      <w:marBottom w:val="0"/>
      <w:divBdr>
        <w:top w:val="none" w:sz="0" w:space="0" w:color="auto"/>
        <w:left w:val="none" w:sz="0" w:space="0" w:color="auto"/>
        <w:bottom w:val="none" w:sz="0" w:space="0" w:color="auto"/>
        <w:right w:val="none" w:sz="0" w:space="0" w:color="auto"/>
      </w:divBdr>
    </w:div>
    <w:div w:id="51271695">
      <w:bodyDiv w:val="1"/>
      <w:marLeft w:val="0"/>
      <w:marRight w:val="0"/>
      <w:marTop w:val="0"/>
      <w:marBottom w:val="0"/>
      <w:divBdr>
        <w:top w:val="none" w:sz="0" w:space="0" w:color="auto"/>
        <w:left w:val="none" w:sz="0" w:space="0" w:color="auto"/>
        <w:bottom w:val="none" w:sz="0" w:space="0" w:color="auto"/>
        <w:right w:val="none" w:sz="0" w:space="0" w:color="auto"/>
      </w:divBdr>
    </w:div>
    <w:div w:id="57018370">
      <w:bodyDiv w:val="1"/>
      <w:marLeft w:val="0"/>
      <w:marRight w:val="0"/>
      <w:marTop w:val="0"/>
      <w:marBottom w:val="0"/>
      <w:divBdr>
        <w:top w:val="none" w:sz="0" w:space="0" w:color="auto"/>
        <w:left w:val="none" w:sz="0" w:space="0" w:color="auto"/>
        <w:bottom w:val="none" w:sz="0" w:space="0" w:color="auto"/>
        <w:right w:val="none" w:sz="0" w:space="0" w:color="auto"/>
      </w:divBdr>
    </w:div>
    <w:div w:id="86124687">
      <w:bodyDiv w:val="1"/>
      <w:marLeft w:val="0"/>
      <w:marRight w:val="0"/>
      <w:marTop w:val="0"/>
      <w:marBottom w:val="0"/>
      <w:divBdr>
        <w:top w:val="none" w:sz="0" w:space="0" w:color="auto"/>
        <w:left w:val="none" w:sz="0" w:space="0" w:color="auto"/>
        <w:bottom w:val="none" w:sz="0" w:space="0" w:color="auto"/>
        <w:right w:val="none" w:sz="0" w:space="0" w:color="auto"/>
      </w:divBdr>
    </w:div>
    <w:div w:id="87819062">
      <w:bodyDiv w:val="1"/>
      <w:marLeft w:val="0"/>
      <w:marRight w:val="0"/>
      <w:marTop w:val="0"/>
      <w:marBottom w:val="0"/>
      <w:divBdr>
        <w:top w:val="none" w:sz="0" w:space="0" w:color="auto"/>
        <w:left w:val="none" w:sz="0" w:space="0" w:color="auto"/>
        <w:bottom w:val="none" w:sz="0" w:space="0" w:color="auto"/>
        <w:right w:val="none" w:sz="0" w:space="0" w:color="auto"/>
      </w:divBdr>
    </w:div>
    <w:div w:id="93332643">
      <w:bodyDiv w:val="1"/>
      <w:marLeft w:val="0"/>
      <w:marRight w:val="0"/>
      <w:marTop w:val="0"/>
      <w:marBottom w:val="0"/>
      <w:divBdr>
        <w:top w:val="none" w:sz="0" w:space="0" w:color="auto"/>
        <w:left w:val="none" w:sz="0" w:space="0" w:color="auto"/>
        <w:bottom w:val="none" w:sz="0" w:space="0" w:color="auto"/>
        <w:right w:val="none" w:sz="0" w:space="0" w:color="auto"/>
      </w:divBdr>
    </w:div>
    <w:div w:id="99884382">
      <w:bodyDiv w:val="1"/>
      <w:marLeft w:val="0"/>
      <w:marRight w:val="0"/>
      <w:marTop w:val="0"/>
      <w:marBottom w:val="0"/>
      <w:divBdr>
        <w:top w:val="none" w:sz="0" w:space="0" w:color="auto"/>
        <w:left w:val="none" w:sz="0" w:space="0" w:color="auto"/>
        <w:bottom w:val="none" w:sz="0" w:space="0" w:color="auto"/>
        <w:right w:val="none" w:sz="0" w:space="0" w:color="auto"/>
      </w:divBdr>
    </w:div>
    <w:div w:id="101194048">
      <w:bodyDiv w:val="1"/>
      <w:marLeft w:val="0"/>
      <w:marRight w:val="0"/>
      <w:marTop w:val="0"/>
      <w:marBottom w:val="0"/>
      <w:divBdr>
        <w:top w:val="none" w:sz="0" w:space="0" w:color="auto"/>
        <w:left w:val="none" w:sz="0" w:space="0" w:color="auto"/>
        <w:bottom w:val="none" w:sz="0" w:space="0" w:color="auto"/>
        <w:right w:val="none" w:sz="0" w:space="0" w:color="auto"/>
      </w:divBdr>
    </w:div>
    <w:div w:id="111290967">
      <w:bodyDiv w:val="1"/>
      <w:marLeft w:val="0"/>
      <w:marRight w:val="0"/>
      <w:marTop w:val="0"/>
      <w:marBottom w:val="0"/>
      <w:divBdr>
        <w:top w:val="none" w:sz="0" w:space="0" w:color="auto"/>
        <w:left w:val="none" w:sz="0" w:space="0" w:color="auto"/>
        <w:bottom w:val="none" w:sz="0" w:space="0" w:color="auto"/>
        <w:right w:val="none" w:sz="0" w:space="0" w:color="auto"/>
      </w:divBdr>
    </w:div>
    <w:div w:id="140075018">
      <w:bodyDiv w:val="1"/>
      <w:marLeft w:val="0"/>
      <w:marRight w:val="0"/>
      <w:marTop w:val="0"/>
      <w:marBottom w:val="0"/>
      <w:divBdr>
        <w:top w:val="none" w:sz="0" w:space="0" w:color="auto"/>
        <w:left w:val="none" w:sz="0" w:space="0" w:color="auto"/>
        <w:bottom w:val="none" w:sz="0" w:space="0" w:color="auto"/>
        <w:right w:val="none" w:sz="0" w:space="0" w:color="auto"/>
      </w:divBdr>
    </w:div>
    <w:div w:id="156115656">
      <w:bodyDiv w:val="1"/>
      <w:marLeft w:val="0"/>
      <w:marRight w:val="0"/>
      <w:marTop w:val="0"/>
      <w:marBottom w:val="0"/>
      <w:divBdr>
        <w:top w:val="none" w:sz="0" w:space="0" w:color="auto"/>
        <w:left w:val="none" w:sz="0" w:space="0" w:color="auto"/>
        <w:bottom w:val="none" w:sz="0" w:space="0" w:color="auto"/>
        <w:right w:val="none" w:sz="0" w:space="0" w:color="auto"/>
      </w:divBdr>
    </w:div>
    <w:div w:id="167403973">
      <w:bodyDiv w:val="1"/>
      <w:marLeft w:val="0"/>
      <w:marRight w:val="0"/>
      <w:marTop w:val="0"/>
      <w:marBottom w:val="0"/>
      <w:divBdr>
        <w:top w:val="none" w:sz="0" w:space="0" w:color="auto"/>
        <w:left w:val="none" w:sz="0" w:space="0" w:color="auto"/>
        <w:bottom w:val="none" w:sz="0" w:space="0" w:color="auto"/>
        <w:right w:val="none" w:sz="0" w:space="0" w:color="auto"/>
      </w:divBdr>
    </w:div>
    <w:div w:id="214507817">
      <w:bodyDiv w:val="1"/>
      <w:marLeft w:val="0"/>
      <w:marRight w:val="0"/>
      <w:marTop w:val="0"/>
      <w:marBottom w:val="0"/>
      <w:divBdr>
        <w:top w:val="none" w:sz="0" w:space="0" w:color="auto"/>
        <w:left w:val="none" w:sz="0" w:space="0" w:color="auto"/>
        <w:bottom w:val="none" w:sz="0" w:space="0" w:color="auto"/>
        <w:right w:val="none" w:sz="0" w:space="0" w:color="auto"/>
      </w:divBdr>
    </w:div>
    <w:div w:id="280845503">
      <w:bodyDiv w:val="1"/>
      <w:marLeft w:val="0"/>
      <w:marRight w:val="0"/>
      <w:marTop w:val="0"/>
      <w:marBottom w:val="0"/>
      <w:divBdr>
        <w:top w:val="none" w:sz="0" w:space="0" w:color="auto"/>
        <w:left w:val="none" w:sz="0" w:space="0" w:color="auto"/>
        <w:bottom w:val="none" w:sz="0" w:space="0" w:color="auto"/>
        <w:right w:val="none" w:sz="0" w:space="0" w:color="auto"/>
      </w:divBdr>
    </w:div>
    <w:div w:id="293564301">
      <w:bodyDiv w:val="1"/>
      <w:marLeft w:val="0"/>
      <w:marRight w:val="0"/>
      <w:marTop w:val="0"/>
      <w:marBottom w:val="0"/>
      <w:divBdr>
        <w:top w:val="none" w:sz="0" w:space="0" w:color="auto"/>
        <w:left w:val="none" w:sz="0" w:space="0" w:color="auto"/>
        <w:bottom w:val="none" w:sz="0" w:space="0" w:color="auto"/>
        <w:right w:val="none" w:sz="0" w:space="0" w:color="auto"/>
      </w:divBdr>
    </w:div>
    <w:div w:id="359933512">
      <w:bodyDiv w:val="1"/>
      <w:marLeft w:val="0"/>
      <w:marRight w:val="0"/>
      <w:marTop w:val="0"/>
      <w:marBottom w:val="0"/>
      <w:divBdr>
        <w:top w:val="none" w:sz="0" w:space="0" w:color="auto"/>
        <w:left w:val="none" w:sz="0" w:space="0" w:color="auto"/>
        <w:bottom w:val="none" w:sz="0" w:space="0" w:color="auto"/>
        <w:right w:val="none" w:sz="0" w:space="0" w:color="auto"/>
      </w:divBdr>
    </w:div>
    <w:div w:id="372116498">
      <w:bodyDiv w:val="1"/>
      <w:marLeft w:val="0"/>
      <w:marRight w:val="0"/>
      <w:marTop w:val="0"/>
      <w:marBottom w:val="0"/>
      <w:divBdr>
        <w:top w:val="none" w:sz="0" w:space="0" w:color="auto"/>
        <w:left w:val="none" w:sz="0" w:space="0" w:color="auto"/>
        <w:bottom w:val="none" w:sz="0" w:space="0" w:color="auto"/>
        <w:right w:val="none" w:sz="0" w:space="0" w:color="auto"/>
      </w:divBdr>
    </w:div>
    <w:div w:id="396828177">
      <w:bodyDiv w:val="1"/>
      <w:marLeft w:val="0"/>
      <w:marRight w:val="0"/>
      <w:marTop w:val="0"/>
      <w:marBottom w:val="0"/>
      <w:divBdr>
        <w:top w:val="none" w:sz="0" w:space="0" w:color="auto"/>
        <w:left w:val="none" w:sz="0" w:space="0" w:color="auto"/>
        <w:bottom w:val="none" w:sz="0" w:space="0" w:color="auto"/>
        <w:right w:val="none" w:sz="0" w:space="0" w:color="auto"/>
      </w:divBdr>
    </w:div>
    <w:div w:id="397871059">
      <w:bodyDiv w:val="1"/>
      <w:marLeft w:val="0"/>
      <w:marRight w:val="0"/>
      <w:marTop w:val="0"/>
      <w:marBottom w:val="0"/>
      <w:divBdr>
        <w:top w:val="none" w:sz="0" w:space="0" w:color="auto"/>
        <w:left w:val="none" w:sz="0" w:space="0" w:color="auto"/>
        <w:bottom w:val="none" w:sz="0" w:space="0" w:color="auto"/>
        <w:right w:val="none" w:sz="0" w:space="0" w:color="auto"/>
      </w:divBdr>
    </w:div>
    <w:div w:id="493498807">
      <w:bodyDiv w:val="1"/>
      <w:marLeft w:val="0"/>
      <w:marRight w:val="0"/>
      <w:marTop w:val="0"/>
      <w:marBottom w:val="0"/>
      <w:divBdr>
        <w:top w:val="none" w:sz="0" w:space="0" w:color="auto"/>
        <w:left w:val="none" w:sz="0" w:space="0" w:color="auto"/>
        <w:bottom w:val="none" w:sz="0" w:space="0" w:color="auto"/>
        <w:right w:val="none" w:sz="0" w:space="0" w:color="auto"/>
      </w:divBdr>
    </w:div>
    <w:div w:id="523712413">
      <w:bodyDiv w:val="1"/>
      <w:marLeft w:val="0"/>
      <w:marRight w:val="0"/>
      <w:marTop w:val="0"/>
      <w:marBottom w:val="0"/>
      <w:divBdr>
        <w:top w:val="none" w:sz="0" w:space="0" w:color="auto"/>
        <w:left w:val="none" w:sz="0" w:space="0" w:color="auto"/>
        <w:bottom w:val="none" w:sz="0" w:space="0" w:color="auto"/>
        <w:right w:val="none" w:sz="0" w:space="0" w:color="auto"/>
      </w:divBdr>
    </w:div>
    <w:div w:id="524447520">
      <w:bodyDiv w:val="1"/>
      <w:marLeft w:val="0"/>
      <w:marRight w:val="0"/>
      <w:marTop w:val="0"/>
      <w:marBottom w:val="0"/>
      <w:divBdr>
        <w:top w:val="none" w:sz="0" w:space="0" w:color="auto"/>
        <w:left w:val="none" w:sz="0" w:space="0" w:color="auto"/>
        <w:bottom w:val="none" w:sz="0" w:space="0" w:color="auto"/>
        <w:right w:val="none" w:sz="0" w:space="0" w:color="auto"/>
      </w:divBdr>
    </w:div>
    <w:div w:id="633678037">
      <w:bodyDiv w:val="1"/>
      <w:marLeft w:val="0"/>
      <w:marRight w:val="0"/>
      <w:marTop w:val="0"/>
      <w:marBottom w:val="0"/>
      <w:divBdr>
        <w:top w:val="none" w:sz="0" w:space="0" w:color="auto"/>
        <w:left w:val="none" w:sz="0" w:space="0" w:color="auto"/>
        <w:bottom w:val="none" w:sz="0" w:space="0" w:color="auto"/>
        <w:right w:val="none" w:sz="0" w:space="0" w:color="auto"/>
      </w:divBdr>
    </w:div>
    <w:div w:id="665135511">
      <w:bodyDiv w:val="1"/>
      <w:marLeft w:val="0"/>
      <w:marRight w:val="0"/>
      <w:marTop w:val="0"/>
      <w:marBottom w:val="0"/>
      <w:divBdr>
        <w:top w:val="none" w:sz="0" w:space="0" w:color="auto"/>
        <w:left w:val="none" w:sz="0" w:space="0" w:color="auto"/>
        <w:bottom w:val="none" w:sz="0" w:space="0" w:color="auto"/>
        <w:right w:val="none" w:sz="0" w:space="0" w:color="auto"/>
      </w:divBdr>
    </w:div>
    <w:div w:id="688457032">
      <w:bodyDiv w:val="1"/>
      <w:marLeft w:val="0"/>
      <w:marRight w:val="0"/>
      <w:marTop w:val="0"/>
      <w:marBottom w:val="0"/>
      <w:divBdr>
        <w:top w:val="none" w:sz="0" w:space="0" w:color="auto"/>
        <w:left w:val="none" w:sz="0" w:space="0" w:color="auto"/>
        <w:bottom w:val="none" w:sz="0" w:space="0" w:color="auto"/>
        <w:right w:val="none" w:sz="0" w:space="0" w:color="auto"/>
      </w:divBdr>
    </w:div>
    <w:div w:id="698553762">
      <w:bodyDiv w:val="1"/>
      <w:marLeft w:val="0"/>
      <w:marRight w:val="0"/>
      <w:marTop w:val="0"/>
      <w:marBottom w:val="0"/>
      <w:divBdr>
        <w:top w:val="none" w:sz="0" w:space="0" w:color="auto"/>
        <w:left w:val="none" w:sz="0" w:space="0" w:color="auto"/>
        <w:bottom w:val="none" w:sz="0" w:space="0" w:color="auto"/>
        <w:right w:val="none" w:sz="0" w:space="0" w:color="auto"/>
      </w:divBdr>
    </w:div>
    <w:div w:id="717820354">
      <w:bodyDiv w:val="1"/>
      <w:marLeft w:val="0"/>
      <w:marRight w:val="0"/>
      <w:marTop w:val="0"/>
      <w:marBottom w:val="0"/>
      <w:divBdr>
        <w:top w:val="none" w:sz="0" w:space="0" w:color="auto"/>
        <w:left w:val="none" w:sz="0" w:space="0" w:color="auto"/>
        <w:bottom w:val="none" w:sz="0" w:space="0" w:color="auto"/>
        <w:right w:val="none" w:sz="0" w:space="0" w:color="auto"/>
      </w:divBdr>
    </w:div>
    <w:div w:id="734625751">
      <w:bodyDiv w:val="1"/>
      <w:marLeft w:val="0"/>
      <w:marRight w:val="0"/>
      <w:marTop w:val="0"/>
      <w:marBottom w:val="0"/>
      <w:divBdr>
        <w:top w:val="none" w:sz="0" w:space="0" w:color="auto"/>
        <w:left w:val="none" w:sz="0" w:space="0" w:color="auto"/>
        <w:bottom w:val="none" w:sz="0" w:space="0" w:color="auto"/>
        <w:right w:val="none" w:sz="0" w:space="0" w:color="auto"/>
      </w:divBdr>
    </w:div>
    <w:div w:id="745883897">
      <w:bodyDiv w:val="1"/>
      <w:marLeft w:val="0"/>
      <w:marRight w:val="0"/>
      <w:marTop w:val="0"/>
      <w:marBottom w:val="0"/>
      <w:divBdr>
        <w:top w:val="none" w:sz="0" w:space="0" w:color="auto"/>
        <w:left w:val="none" w:sz="0" w:space="0" w:color="auto"/>
        <w:bottom w:val="none" w:sz="0" w:space="0" w:color="auto"/>
        <w:right w:val="none" w:sz="0" w:space="0" w:color="auto"/>
      </w:divBdr>
    </w:div>
    <w:div w:id="748311435">
      <w:bodyDiv w:val="1"/>
      <w:marLeft w:val="0"/>
      <w:marRight w:val="0"/>
      <w:marTop w:val="0"/>
      <w:marBottom w:val="0"/>
      <w:divBdr>
        <w:top w:val="none" w:sz="0" w:space="0" w:color="auto"/>
        <w:left w:val="none" w:sz="0" w:space="0" w:color="auto"/>
        <w:bottom w:val="none" w:sz="0" w:space="0" w:color="auto"/>
        <w:right w:val="none" w:sz="0" w:space="0" w:color="auto"/>
      </w:divBdr>
    </w:div>
    <w:div w:id="754785005">
      <w:bodyDiv w:val="1"/>
      <w:marLeft w:val="0"/>
      <w:marRight w:val="0"/>
      <w:marTop w:val="0"/>
      <w:marBottom w:val="0"/>
      <w:divBdr>
        <w:top w:val="none" w:sz="0" w:space="0" w:color="auto"/>
        <w:left w:val="none" w:sz="0" w:space="0" w:color="auto"/>
        <w:bottom w:val="none" w:sz="0" w:space="0" w:color="auto"/>
        <w:right w:val="none" w:sz="0" w:space="0" w:color="auto"/>
      </w:divBdr>
    </w:div>
    <w:div w:id="785470580">
      <w:bodyDiv w:val="1"/>
      <w:marLeft w:val="0"/>
      <w:marRight w:val="0"/>
      <w:marTop w:val="0"/>
      <w:marBottom w:val="0"/>
      <w:divBdr>
        <w:top w:val="none" w:sz="0" w:space="0" w:color="auto"/>
        <w:left w:val="none" w:sz="0" w:space="0" w:color="auto"/>
        <w:bottom w:val="none" w:sz="0" w:space="0" w:color="auto"/>
        <w:right w:val="none" w:sz="0" w:space="0" w:color="auto"/>
      </w:divBdr>
    </w:div>
    <w:div w:id="839199515">
      <w:bodyDiv w:val="1"/>
      <w:marLeft w:val="0"/>
      <w:marRight w:val="0"/>
      <w:marTop w:val="0"/>
      <w:marBottom w:val="0"/>
      <w:divBdr>
        <w:top w:val="none" w:sz="0" w:space="0" w:color="auto"/>
        <w:left w:val="none" w:sz="0" w:space="0" w:color="auto"/>
        <w:bottom w:val="none" w:sz="0" w:space="0" w:color="auto"/>
        <w:right w:val="none" w:sz="0" w:space="0" w:color="auto"/>
      </w:divBdr>
    </w:div>
    <w:div w:id="865026589">
      <w:bodyDiv w:val="1"/>
      <w:marLeft w:val="0"/>
      <w:marRight w:val="0"/>
      <w:marTop w:val="0"/>
      <w:marBottom w:val="0"/>
      <w:divBdr>
        <w:top w:val="none" w:sz="0" w:space="0" w:color="auto"/>
        <w:left w:val="none" w:sz="0" w:space="0" w:color="auto"/>
        <w:bottom w:val="none" w:sz="0" w:space="0" w:color="auto"/>
        <w:right w:val="none" w:sz="0" w:space="0" w:color="auto"/>
      </w:divBdr>
    </w:div>
    <w:div w:id="867718291">
      <w:bodyDiv w:val="1"/>
      <w:marLeft w:val="0"/>
      <w:marRight w:val="0"/>
      <w:marTop w:val="0"/>
      <w:marBottom w:val="0"/>
      <w:divBdr>
        <w:top w:val="none" w:sz="0" w:space="0" w:color="auto"/>
        <w:left w:val="none" w:sz="0" w:space="0" w:color="auto"/>
        <w:bottom w:val="none" w:sz="0" w:space="0" w:color="auto"/>
        <w:right w:val="none" w:sz="0" w:space="0" w:color="auto"/>
      </w:divBdr>
    </w:div>
    <w:div w:id="882717978">
      <w:bodyDiv w:val="1"/>
      <w:marLeft w:val="0"/>
      <w:marRight w:val="0"/>
      <w:marTop w:val="0"/>
      <w:marBottom w:val="0"/>
      <w:divBdr>
        <w:top w:val="none" w:sz="0" w:space="0" w:color="auto"/>
        <w:left w:val="none" w:sz="0" w:space="0" w:color="auto"/>
        <w:bottom w:val="none" w:sz="0" w:space="0" w:color="auto"/>
        <w:right w:val="none" w:sz="0" w:space="0" w:color="auto"/>
      </w:divBdr>
    </w:div>
    <w:div w:id="907151318">
      <w:bodyDiv w:val="1"/>
      <w:marLeft w:val="0"/>
      <w:marRight w:val="0"/>
      <w:marTop w:val="0"/>
      <w:marBottom w:val="0"/>
      <w:divBdr>
        <w:top w:val="none" w:sz="0" w:space="0" w:color="auto"/>
        <w:left w:val="none" w:sz="0" w:space="0" w:color="auto"/>
        <w:bottom w:val="none" w:sz="0" w:space="0" w:color="auto"/>
        <w:right w:val="none" w:sz="0" w:space="0" w:color="auto"/>
      </w:divBdr>
    </w:div>
    <w:div w:id="980770887">
      <w:bodyDiv w:val="1"/>
      <w:marLeft w:val="0"/>
      <w:marRight w:val="0"/>
      <w:marTop w:val="0"/>
      <w:marBottom w:val="0"/>
      <w:divBdr>
        <w:top w:val="none" w:sz="0" w:space="0" w:color="auto"/>
        <w:left w:val="none" w:sz="0" w:space="0" w:color="auto"/>
        <w:bottom w:val="none" w:sz="0" w:space="0" w:color="auto"/>
        <w:right w:val="none" w:sz="0" w:space="0" w:color="auto"/>
      </w:divBdr>
    </w:div>
    <w:div w:id="981736752">
      <w:bodyDiv w:val="1"/>
      <w:marLeft w:val="0"/>
      <w:marRight w:val="0"/>
      <w:marTop w:val="0"/>
      <w:marBottom w:val="0"/>
      <w:divBdr>
        <w:top w:val="none" w:sz="0" w:space="0" w:color="auto"/>
        <w:left w:val="none" w:sz="0" w:space="0" w:color="auto"/>
        <w:bottom w:val="none" w:sz="0" w:space="0" w:color="auto"/>
        <w:right w:val="none" w:sz="0" w:space="0" w:color="auto"/>
      </w:divBdr>
    </w:div>
    <w:div w:id="1009529515">
      <w:bodyDiv w:val="1"/>
      <w:marLeft w:val="0"/>
      <w:marRight w:val="0"/>
      <w:marTop w:val="0"/>
      <w:marBottom w:val="0"/>
      <w:divBdr>
        <w:top w:val="none" w:sz="0" w:space="0" w:color="auto"/>
        <w:left w:val="none" w:sz="0" w:space="0" w:color="auto"/>
        <w:bottom w:val="none" w:sz="0" w:space="0" w:color="auto"/>
        <w:right w:val="none" w:sz="0" w:space="0" w:color="auto"/>
      </w:divBdr>
    </w:div>
    <w:div w:id="1020820128">
      <w:bodyDiv w:val="1"/>
      <w:marLeft w:val="0"/>
      <w:marRight w:val="0"/>
      <w:marTop w:val="0"/>
      <w:marBottom w:val="0"/>
      <w:divBdr>
        <w:top w:val="none" w:sz="0" w:space="0" w:color="auto"/>
        <w:left w:val="none" w:sz="0" w:space="0" w:color="auto"/>
        <w:bottom w:val="none" w:sz="0" w:space="0" w:color="auto"/>
        <w:right w:val="none" w:sz="0" w:space="0" w:color="auto"/>
      </w:divBdr>
    </w:div>
    <w:div w:id="1034579145">
      <w:bodyDiv w:val="1"/>
      <w:marLeft w:val="0"/>
      <w:marRight w:val="0"/>
      <w:marTop w:val="0"/>
      <w:marBottom w:val="0"/>
      <w:divBdr>
        <w:top w:val="none" w:sz="0" w:space="0" w:color="auto"/>
        <w:left w:val="none" w:sz="0" w:space="0" w:color="auto"/>
        <w:bottom w:val="none" w:sz="0" w:space="0" w:color="auto"/>
        <w:right w:val="none" w:sz="0" w:space="0" w:color="auto"/>
      </w:divBdr>
    </w:div>
    <w:div w:id="1038891426">
      <w:bodyDiv w:val="1"/>
      <w:marLeft w:val="0"/>
      <w:marRight w:val="0"/>
      <w:marTop w:val="0"/>
      <w:marBottom w:val="0"/>
      <w:divBdr>
        <w:top w:val="none" w:sz="0" w:space="0" w:color="auto"/>
        <w:left w:val="none" w:sz="0" w:space="0" w:color="auto"/>
        <w:bottom w:val="none" w:sz="0" w:space="0" w:color="auto"/>
        <w:right w:val="none" w:sz="0" w:space="0" w:color="auto"/>
      </w:divBdr>
    </w:div>
    <w:div w:id="1073430809">
      <w:bodyDiv w:val="1"/>
      <w:marLeft w:val="0"/>
      <w:marRight w:val="0"/>
      <w:marTop w:val="0"/>
      <w:marBottom w:val="0"/>
      <w:divBdr>
        <w:top w:val="none" w:sz="0" w:space="0" w:color="auto"/>
        <w:left w:val="none" w:sz="0" w:space="0" w:color="auto"/>
        <w:bottom w:val="none" w:sz="0" w:space="0" w:color="auto"/>
        <w:right w:val="none" w:sz="0" w:space="0" w:color="auto"/>
      </w:divBdr>
    </w:div>
    <w:div w:id="1102998207">
      <w:bodyDiv w:val="1"/>
      <w:marLeft w:val="0"/>
      <w:marRight w:val="0"/>
      <w:marTop w:val="0"/>
      <w:marBottom w:val="0"/>
      <w:divBdr>
        <w:top w:val="none" w:sz="0" w:space="0" w:color="auto"/>
        <w:left w:val="none" w:sz="0" w:space="0" w:color="auto"/>
        <w:bottom w:val="none" w:sz="0" w:space="0" w:color="auto"/>
        <w:right w:val="none" w:sz="0" w:space="0" w:color="auto"/>
      </w:divBdr>
    </w:div>
    <w:div w:id="1162237757">
      <w:bodyDiv w:val="1"/>
      <w:marLeft w:val="0"/>
      <w:marRight w:val="0"/>
      <w:marTop w:val="0"/>
      <w:marBottom w:val="0"/>
      <w:divBdr>
        <w:top w:val="none" w:sz="0" w:space="0" w:color="auto"/>
        <w:left w:val="none" w:sz="0" w:space="0" w:color="auto"/>
        <w:bottom w:val="none" w:sz="0" w:space="0" w:color="auto"/>
        <w:right w:val="none" w:sz="0" w:space="0" w:color="auto"/>
      </w:divBdr>
    </w:div>
    <w:div w:id="1196844059">
      <w:bodyDiv w:val="1"/>
      <w:marLeft w:val="0"/>
      <w:marRight w:val="0"/>
      <w:marTop w:val="0"/>
      <w:marBottom w:val="0"/>
      <w:divBdr>
        <w:top w:val="none" w:sz="0" w:space="0" w:color="auto"/>
        <w:left w:val="none" w:sz="0" w:space="0" w:color="auto"/>
        <w:bottom w:val="none" w:sz="0" w:space="0" w:color="auto"/>
        <w:right w:val="none" w:sz="0" w:space="0" w:color="auto"/>
      </w:divBdr>
    </w:div>
    <w:div w:id="1215966797">
      <w:bodyDiv w:val="1"/>
      <w:marLeft w:val="0"/>
      <w:marRight w:val="0"/>
      <w:marTop w:val="0"/>
      <w:marBottom w:val="0"/>
      <w:divBdr>
        <w:top w:val="none" w:sz="0" w:space="0" w:color="auto"/>
        <w:left w:val="none" w:sz="0" w:space="0" w:color="auto"/>
        <w:bottom w:val="none" w:sz="0" w:space="0" w:color="auto"/>
        <w:right w:val="none" w:sz="0" w:space="0" w:color="auto"/>
      </w:divBdr>
    </w:div>
    <w:div w:id="1245185463">
      <w:bodyDiv w:val="1"/>
      <w:marLeft w:val="0"/>
      <w:marRight w:val="0"/>
      <w:marTop w:val="0"/>
      <w:marBottom w:val="0"/>
      <w:divBdr>
        <w:top w:val="none" w:sz="0" w:space="0" w:color="auto"/>
        <w:left w:val="none" w:sz="0" w:space="0" w:color="auto"/>
        <w:bottom w:val="none" w:sz="0" w:space="0" w:color="auto"/>
        <w:right w:val="none" w:sz="0" w:space="0" w:color="auto"/>
      </w:divBdr>
    </w:div>
    <w:div w:id="1246260923">
      <w:bodyDiv w:val="1"/>
      <w:marLeft w:val="0"/>
      <w:marRight w:val="0"/>
      <w:marTop w:val="0"/>
      <w:marBottom w:val="0"/>
      <w:divBdr>
        <w:top w:val="none" w:sz="0" w:space="0" w:color="auto"/>
        <w:left w:val="none" w:sz="0" w:space="0" w:color="auto"/>
        <w:bottom w:val="none" w:sz="0" w:space="0" w:color="auto"/>
        <w:right w:val="none" w:sz="0" w:space="0" w:color="auto"/>
      </w:divBdr>
    </w:div>
    <w:div w:id="1290822082">
      <w:bodyDiv w:val="1"/>
      <w:marLeft w:val="0"/>
      <w:marRight w:val="0"/>
      <w:marTop w:val="0"/>
      <w:marBottom w:val="0"/>
      <w:divBdr>
        <w:top w:val="none" w:sz="0" w:space="0" w:color="auto"/>
        <w:left w:val="none" w:sz="0" w:space="0" w:color="auto"/>
        <w:bottom w:val="none" w:sz="0" w:space="0" w:color="auto"/>
        <w:right w:val="none" w:sz="0" w:space="0" w:color="auto"/>
      </w:divBdr>
    </w:div>
    <w:div w:id="1322931647">
      <w:bodyDiv w:val="1"/>
      <w:marLeft w:val="0"/>
      <w:marRight w:val="0"/>
      <w:marTop w:val="0"/>
      <w:marBottom w:val="0"/>
      <w:divBdr>
        <w:top w:val="none" w:sz="0" w:space="0" w:color="auto"/>
        <w:left w:val="none" w:sz="0" w:space="0" w:color="auto"/>
        <w:bottom w:val="none" w:sz="0" w:space="0" w:color="auto"/>
        <w:right w:val="none" w:sz="0" w:space="0" w:color="auto"/>
      </w:divBdr>
    </w:div>
    <w:div w:id="1348755912">
      <w:bodyDiv w:val="1"/>
      <w:marLeft w:val="0"/>
      <w:marRight w:val="0"/>
      <w:marTop w:val="0"/>
      <w:marBottom w:val="0"/>
      <w:divBdr>
        <w:top w:val="none" w:sz="0" w:space="0" w:color="auto"/>
        <w:left w:val="none" w:sz="0" w:space="0" w:color="auto"/>
        <w:bottom w:val="none" w:sz="0" w:space="0" w:color="auto"/>
        <w:right w:val="none" w:sz="0" w:space="0" w:color="auto"/>
      </w:divBdr>
    </w:div>
    <w:div w:id="1386414216">
      <w:bodyDiv w:val="1"/>
      <w:marLeft w:val="0"/>
      <w:marRight w:val="0"/>
      <w:marTop w:val="0"/>
      <w:marBottom w:val="0"/>
      <w:divBdr>
        <w:top w:val="none" w:sz="0" w:space="0" w:color="auto"/>
        <w:left w:val="none" w:sz="0" w:space="0" w:color="auto"/>
        <w:bottom w:val="none" w:sz="0" w:space="0" w:color="auto"/>
        <w:right w:val="none" w:sz="0" w:space="0" w:color="auto"/>
      </w:divBdr>
    </w:div>
    <w:div w:id="1422025014">
      <w:bodyDiv w:val="1"/>
      <w:marLeft w:val="0"/>
      <w:marRight w:val="0"/>
      <w:marTop w:val="0"/>
      <w:marBottom w:val="0"/>
      <w:divBdr>
        <w:top w:val="none" w:sz="0" w:space="0" w:color="auto"/>
        <w:left w:val="none" w:sz="0" w:space="0" w:color="auto"/>
        <w:bottom w:val="none" w:sz="0" w:space="0" w:color="auto"/>
        <w:right w:val="none" w:sz="0" w:space="0" w:color="auto"/>
      </w:divBdr>
    </w:div>
    <w:div w:id="1441334346">
      <w:bodyDiv w:val="1"/>
      <w:marLeft w:val="0"/>
      <w:marRight w:val="0"/>
      <w:marTop w:val="0"/>
      <w:marBottom w:val="0"/>
      <w:divBdr>
        <w:top w:val="none" w:sz="0" w:space="0" w:color="auto"/>
        <w:left w:val="none" w:sz="0" w:space="0" w:color="auto"/>
        <w:bottom w:val="none" w:sz="0" w:space="0" w:color="auto"/>
        <w:right w:val="none" w:sz="0" w:space="0" w:color="auto"/>
      </w:divBdr>
    </w:div>
    <w:div w:id="1441879364">
      <w:bodyDiv w:val="1"/>
      <w:marLeft w:val="0"/>
      <w:marRight w:val="0"/>
      <w:marTop w:val="0"/>
      <w:marBottom w:val="0"/>
      <w:divBdr>
        <w:top w:val="none" w:sz="0" w:space="0" w:color="auto"/>
        <w:left w:val="none" w:sz="0" w:space="0" w:color="auto"/>
        <w:bottom w:val="none" w:sz="0" w:space="0" w:color="auto"/>
        <w:right w:val="none" w:sz="0" w:space="0" w:color="auto"/>
      </w:divBdr>
    </w:div>
    <w:div w:id="1463838709">
      <w:bodyDiv w:val="1"/>
      <w:marLeft w:val="0"/>
      <w:marRight w:val="0"/>
      <w:marTop w:val="0"/>
      <w:marBottom w:val="0"/>
      <w:divBdr>
        <w:top w:val="none" w:sz="0" w:space="0" w:color="auto"/>
        <w:left w:val="none" w:sz="0" w:space="0" w:color="auto"/>
        <w:bottom w:val="none" w:sz="0" w:space="0" w:color="auto"/>
        <w:right w:val="none" w:sz="0" w:space="0" w:color="auto"/>
      </w:divBdr>
    </w:div>
    <w:div w:id="1496140414">
      <w:bodyDiv w:val="1"/>
      <w:marLeft w:val="0"/>
      <w:marRight w:val="0"/>
      <w:marTop w:val="0"/>
      <w:marBottom w:val="0"/>
      <w:divBdr>
        <w:top w:val="none" w:sz="0" w:space="0" w:color="auto"/>
        <w:left w:val="none" w:sz="0" w:space="0" w:color="auto"/>
        <w:bottom w:val="none" w:sz="0" w:space="0" w:color="auto"/>
        <w:right w:val="none" w:sz="0" w:space="0" w:color="auto"/>
      </w:divBdr>
    </w:div>
    <w:div w:id="1501652274">
      <w:bodyDiv w:val="1"/>
      <w:marLeft w:val="0"/>
      <w:marRight w:val="0"/>
      <w:marTop w:val="0"/>
      <w:marBottom w:val="0"/>
      <w:divBdr>
        <w:top w:val="none" w:sz="0" w:space="0" w:color="auto"/>
        <w:left w:val="none" w:sz="0" w:space="0" w:color="auto"/>
        <w:bottom w:val="none" w:sz="0" w:space="0" w:color="auto"/>
        <w:right w:val="none" w:sz="0" w:space="0" w:color="auto"/>
      </w:divBdr>
    </w:div>
    <w:div w:id="1532183600">
      <w:bodyDiv w:val="1"/>
      <w:marLeft w:val="0"/>
      <w:marRight w:val="0"/>
      <w:marTop w:val="0"/>
      <w:marBottom w:val="0"/>
      <w:divBdr>
        <w:top w:val="none" w:sz="0" w:space="0" w:color="auto"/>
        <w:left w:val="none" w:sz="0" w:space="0" w:color="auto"/>
        <w:bottom w:val="none" w:sz="0" w:space="0" w:color="auto"/>
        <w:right w:val="none" w:sz="0" w:space="0" w:color="auto"/>
      </w:divBdr>
    </w:div>
    <w:div w:id="1589922638">
      <w:bodyDiv w:val="1"/>
      <w:marLeft w:val="0"/>
      <w:marRight w:val="0"/>
      <w:marTop w:val="0"/>
      <w:marBottom w:val="0"/>
      <w:divBdr>
        <w:top w:val="none" w:sz="0" w:space="0" w:color="auto"/>
        <w:left w:val="none" w:sz="0" w:space="0" w:color="auto"/>
        <w:bottom w:val="none" w:sz="0" w:space="0" w:color="auto"/>
        <w:right w:val="none" w:sz="0" w:space="0" w:color="auto"/>
      </w:divBdr>
    </w:div>
    <w:div w:id="1594819940">
      <w:bodyDiv w:val="1"/>
      <w:marLeft w:val="0"/>
      <w:marRight w:val="0"/>
      <w:marTop w:val="0"/>
      <w:marBottom w:val="0"/>
      <w:divBdr>
        <w:top w:val="none" w:sz="0" w:space="0" w:color="auto"/>
        <w:left w:val="none" w:sz="0" w:space="0" w:color="auto"/>
        <w:bottom w:val="none" w:sz="0" w:space="0" w:color="auto"/>
        <w:right w:val="none" w:sz="0" w:space="0" w:color="auto"/>
      </w:divBdr>
    </w:div>
    <w:div w:id="1629433005">
      <w:bodyDiv w:val="1"/>
      <w:marLeft w:val="0"/>
      <w:marRight w:val="0"/>
      <w:marTop w:val="0"/>
      <w:marBottom w:val="0"/>
      <w:divBdr>
        <w:top w:val="none" w:sz="0" w:space="0" w:color="auto"/>
        <w:left w:val="none" w:sz="0" w:space="0" w:color="auto"/>
        <w:bottom w:val="none" w:sz="0" w:space="0" w:color="auto"/>
        <w:right w:val="none" w:sz="0" w:space="0" w:color="auto"/>
      </w:divBdr>
    </w:div>
    <w:div w:id="1680156361">
      <w:bodyDiv w:val="1"/>
      <w:marLeft w:val="0"/>
      <w:marRight w:val="0"/>
      <w:marTop w:val="0"/>
      <w:marBottom w:val="0"/>
      <w:divBdr>
        <w:top w:val="none" w:sz="0" w:space="0" w:color="auto"/>
        <w:left w:val="none" w:sz="0" w:space="0" w:color="auto"/>
        <w:bottom w:val="none" w:sz="0" w:space="0" w:color="auto"/>
        <w:right w:val="none" w:sz="0" w:space="0" w:color="auto"/>
      </w:divBdr>
    </w:div>
    <w:div w:id="1684362347">
      <w:bodyDiv w:val="1"/>
      <w:marLeft w:val="0"/>
      <w:marRight w:val="0"/>
      <w:marTop w:val="0"/>
      <w:marBottom w:val="0"/>
      <w:divBdr>
        <w:top w:val="none" w:sz="0" w:space="0" w:color="auto"/>
        <w:left w:val="none" w:sz="0" w:space="0" w:color="auto"/>
        <w:bottom w:val="none" w:sz="0" w:space="0" w:color="auto"/>
        <w:right w:val="none" w:sz="0" w:space="0" w:color="auto"/>
      </w:divBdr>
    </w:div>
    <w:div w:id="1742411705">
      <w:bodyDiv w:val="1"/>
      <w:marLeft w:val="0"/>
      <w:marRight w:val="0"/>
      <w:marTop w:val="0"/>
      <w:marBottom w:val="0"/>
      <w:divBdr>
        <w:top w:val="none" w:sz="0" w:space="0" w:color="auto"/>
        <w:left w:val="none" w:sz="0" w:space="0" w:color="auto"/>
        <w:bottom w:val="none" w:sz="0" w:space="0" w:color="auto"/>
        <w:right w:val="none" w:sz="0" w:space="0" w:color="auto"/>
      </w:divBdr>
    </w:div>
    <w:div w:id="1765421632">
      <w:bodyDiv w:val="1"/>
      <w:marLeft w:val="0"/>
      <w:marRight w:val="0"/>
      <w:marTop w:val="0"/>
      <w:marBottom w:val="0"/>
      <w:divBdr>
        <w:top w:val="none" w:sz="0" w:space="0" w:color="auto"/>
        <w:left w:val="none" w:sz="0" w:space="0" w:color="auto"/>
        <w:bottom w:val="none" w:sz="0" w:space="0" w:color="auto"/>
        <w:right w:val="none" w:sz="0" w:space="0" w:color="auto"/>
      </w:divBdr>
    </w:div>
    <w:div w:id="1787577576">
      <w:bodyDiv w:val="1"/>
      <w:marLeft w:val="0"/>
      <w:marRight w:val="0"/>
      <w:marTop w:val="0"/>
      <w:marBottom w:val="0"/>
      <w:divBdr>
        <w:top w:val="none" w:sz="0" w:space="0" w:color="auto"/>
        <w:left w:val="none" w:sz="0" w:space="0" w:color="auto"/>
        <w:bottom w:val="none" w:sz="0" w:space="0" w:color="auto"/>
        <w:right w:val="none" w:sz="0" w:space="0" w:color="auto"/>
      </w:divBdr>
    </w:div>
    <w:div w:id="1809854118">
      <w:bodyDiv w:val="1"/>
      <w:marLeft w:val="0"/>
      <w:marRight w:val="0"/>
      <w:marTop w:val="0"/>
      <w:marBottom w:val="0"/>
      <w:divBdr>
        <w:top w:val="none" w:sz="0" w:space="0" w:color="auto"/>
        <w:left w:val="none" w:sz="0" w:space="0" w:color="auto"/>
        <w:bottom w:val="none" w:sz="0" w:space="0" w:color="auto"/>
        <w:right w:val="none" w:sz="0" w:space="0" w:color="auto"/>
      </w:divBdr>
    </w:div>
    <w:div w:id="1818762887">
      <w:bodyDiv w:val="1"/>
      <w:marLeft w:val="0"/>
      <w:marRight w:val="0"/>
      <w:marTop w:val="0"/>
      <w:marBottom w:val="0"/>
      <w:divBdr>
        <w:top w:val="none" w:sz="0" w:space="0" w:color="auto"/>
        <w:left w:val="none" w:sz="0" w:space="0" w:color="auto"/>
        <w:bottom w:val="none" w:sz="0" w:space="0" w:color="auto"/>
        <w:right w:val="none" w:sz="0" w:space="0" w:color="auto"/>
      </w:divBdr>
    </w:div>
    <w:div w:id="1842430019">
      <w:bodyDiv w:val="1"/>
      <w:marLeft w:val="0"/>
      <w:marRight w:val="0"/>
      <w:marTop w:val="0"/>
      <w:marBottom w:val="0"/>
      <w:divBdr>
        <w:top w:val="none" w:sz="0" w:space="0" w:color="auto"/>
        <w:left w:val="none" w:sz="0" w:space="0" w:color="auto"/>
        <w:bottom w:val="none" w:sz="0" w:space="0" w:color="auto"/>
        <w:right w:val="none" w:sz="0" w:space="0" w:color="auto"/>
      </w:divBdr>
    </w:div>
    <w:div w:id="1856533779">
      <w:bodyDiv w:val="1"/>
      <w:marLeft w:val="0"/>
      <w:marRight w:val="0"/>
      <w:marTop w:val="0"/>
      <w:marBottom w:val="0"/>
      <w:divBdr>
        <w:top w:val="none" w:sz="0" w:space="0" w:color="auto"/>
        <w:left w:val="none" w:sz="0" w:space="0" w:color="auto"/>
        <w:bottom w:val="none" w:sz="0" w:space="0" w:color="auto"/>
        <w:right w:val="none" w:sz="0" w:space="0" w:color="auto"/>
      </w:divBdr>
    </w:div>
    <w:div w:id="1915356373">
      <w:bodyDiv w:val="1"/>
      <w:marLeft w:val="0"/>
      <w:marRight w:val="0"/>
      <w:marTop w:val="0"/>
      <w:marBottom w:val="0"/>
      <w:divBdr>
        <w:top w:val="none" w:sz="0" w:space="0" w:color="auto"/>
        <w:left w:val="none" w:sz="0" w:space="0" w:color="auto"/>
        <w:bottom w:val="none" w:sz="0" w:space="0" w:color="auto"/>
        <w:right w:val="none" w:sz="0" w:space="0" w:color="auto"/>
      </w:divBdr>
    </w:div>
    <w:div w:id="1928541392">
      <w:bodyDiv w:val="1"/>
      <w:marLeft w:val="0"/>
      <w:marRight w:val="0"/>
      <w:marTop w:val="0"/>
      <w:marBottom w:val="0"/>
      <w:divBdr>
        <w:top w:val="none" w:sz="0" w:space="0" w:color="auto"/>
        <w:left w:val="none" w:sz="0" w:space="0" w:color="auto"/>
        <w:bottom w:val="none" w:sz="0" w:space="0" w:color="auto"/>
        <w:right w:val="none" w:sz="0" w:space="0" w:color="auto"/>
      </w:divBdr>
    </w:div>
    <w:div w:id="1930460287">
      <w:bodyDiv w:val="1"/>
      <w:marLeft w:val="0"/>
      <w:marRight w:val="0"/>
      <w:marTop w:val="0"/>
      <w:marBottom w:val="0"/>
      <w:divBdr>
        <w:top w:val="none" w:sz="0" w:space="0" w:color="auto"/>
        <w:left w:val="none" w:sz="0" w:space="0" w:color="auto"/>
        <w:bottom w:val="none" w:sz="0" w:space="0" w:color="auto"/>
        <w:right w:val="none" w:sz="0" w:space="0" w:color="auto"/>
      </w:divBdr>
    </w:div>
    <w:div w:id="1950624157">
      <w:bodyDiv w:val="1"/>
      <w:marLeft w:val="0"/>
      <w:marRight w:val="0"/>
      <w:marTop w:val="0"/>
      <w:marBottom w:val="0"/>
      <w:divBdr>
        <w:top w:val="none" w:sz="0" w:space="0" w:color="auto"/>
        <w:left w:val="none" w:sz="0" w:space="0" w:color="auto"/>
        <w:bottom w:val="none" w:sz="0" w:space="0" w:color="auto"/>
        <w:right w:val="none" w:sz="0" w:space="0" w:color="auto"/>
      </w:divBdr>
    </w:div>
    <w:div w:id="1951473858">
      <w:bodyDiv w:val="1"/>
      <w:marLeft w:val="0"/>
      <w:marRight w:val="0"/>
      <w:marTop w:val="0"/>
      <w:marBottom w:val="0"/>
      <w:divBdr>
        <w:top w:val="none" w:sz="0" w:space="0" w:color="auto"/>
        <w:left w:val="none" w:sz="0" w:space="0" w:color="auto"/>
        <w:bottom w:val="none" w:sz="0" w:space="0" w:color="auto"/>
        <w:right w:val="none" w:sz="0" w:space="0" w:color="auto"/>
      </w:divBdr>
    </w:div>
    <w:div w:id="1959679469">
      <w:bodyDiv w:val="1"/>
      <w:marLeft w:val="0"/>
      <w:marRight w:val="0"/>
      <w:marTop w:val="0"/>
      <w:marBottom w:val="0"/>
      <w:divBdr>
        <w:top w:val="none" w:sz="0" w:space="0" w:color="auto"/>
        <w:left w:val="none" w:sz="0" w:space="0" w:color="auto"/>
        <w:bottom w:val="none" w:sz="0" w:space="0" w:color="auto"/>
        <w:right w:val="none" w:sz="0" w:space="0" w:color="auto"/>
      </w:divBdr>
    </w:div>
    <w:div w:id="2006396741">
      <w:bodyDiv w:val="1"/>
      <w:marLeft w:val="0"/>
      <w:marRight w:val="0"/>
      <w:marTop w:val="0"/>
      <w:marBottom w:val="0"/>
      <w:divBdr>
        <w:top w:val="none" w:sz="0" w:space="0" w:color="auto"/>
        <w:left w:val="none" w:sz="0" w:space="0" w:color="auto"/>
        <w:bottom w:val="none" w:sz="0" w:space="0" w:color="auto"/>
        <w:right w:val="none" w:sz="0" w:space="0" w:color="auto"/>
      </w:divBdr>
    </w:div>
    <w:div w:id="2087417286">
      <w:bodyDiv w:val="1"/>
      <w:marLeft w:val="0"/>
      <w:marRight w:val="0"/>
      <w:marTop w:val="0"/>
      <w:marBottom w:val="0"/>
      <w:divBdr>
        <w:top w:val="none" w:sz="0" w:space="0" w:color="auto"/>
        <w:left w:val="none" w:sz="0" w:space="0" w:color="auto"/>
        <w:bottom w:val="none" w:sz="0" w:space="0" w:color="auto"/>
        <w:right w:val="none" w:sz="0" w:space="0" w:color="auto"/>
      </w:divBdr>
    </w:div>
    <w:div w:id="2110275813">
      <w:bodyDiv w:val="1"/>
      <w:marLeft w:val="0"/>
      <w:marRight w:val="0"/>
      <w:marTop w:val="0"/>
      <w:marBottom w:val="0"/>
      <w:divBdr>
        <w:top w:val="none" w:sz="0" w:space="0" w:color="auto"/>
        <w:left w:val="none" w:sz="0" w:space="0" w:color="auto"/>
        <w:bottom w:val="none" w:sz="0" w:space="0" w:color="auto"/>
        <w:right w:val="none" w:sz="0" w:space="0" w:color="auto"/>
      </w:divBdr>
    </w:div>
    <w:div w:id="2115510266">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4.emf"/>
  <Relationship Id="rId11" Type="http://schemas.openxmlformats.org/officeDocument/2006/relationships/image" Target="media/image5.emf"/>
  <Relationship Id="rId12" Type="http://schemas.openxmlformats.org/officeDocument/2006/relationships/image" Target="media/image6.emf"/>
  <Relationship Id="rId13" Type="http://schemas.openxmlformats.org/officeDocument/2006/relationships/image" Target="media/image7.emf"/>
  <Relationship Id="rId14" Type="http://schemas.openxmlformats.org/officeDocument/2006/relationships/image" Target="media/image8.emf"/>
  <Relationship Id="rId15" Type="http://schemas.openxmlformats.org/officeDocument/2006/relationships/header" Target="header1.xml"/>
  <Relationship Id="rId16" Type="http://schemas.openxmlformats.org/officeDocument/2006/relationships/header" Target="header2.xml"/>
  <Relationship Id="rId17" Type="http://schemas.openxmlformats.org/officeDocument/2006/relationships/footer" Target="footer1.xml"/>
  <Relationship Id="rId18" Type="http://schemas.openxmlformats.org/officeDocument/2006/relationships/footer" Target="footer2.xml"/>
  <Relationship Id="rId19" Type="http://schemas.openxmlformats.org/officeDocument/2006/relationships/header" Target="header3.xml"/>
  <Relationship Id="rId2" Type="http://schemas.openxmlformats.org/officeDocument/2006/relationships/styles" Target="styles.xml"/>
  <Relationship Id="rId20" Type="http://schemas.openxmlformats.org/officeDocument/2006/relationships/footer" Target="footer3.xml"/>
  <Relationship Id="rId21" Type="http://schemas.openxmlformats.org/officeDocument/2006/relationships/image" Target="media/image9.emf"/>
  <Relationship Id="rId22" Type="http://schemas.openxmlformats.org/officeDocument/2006/relationships/image" Target="media/image10.emf"/>
  <Relationship Id="rId23" Type="http://schemas.openxmlformats.org/officeDocument/2006/relationships/image" Target="media/image11.emf"/>
  <Relationship Id="rId24" Type="http://schemas.openxmlformats.org/officeDocument/2006/relationships/image" Target="media/image12.emf"/>
  <Relationship Id="rId25" Type="http://schemas.openxmlformats.org/officeDocument/2006/relationships/image" Target="media/image13.emf"/>
  <Relationship Id="rId26" Type="http://schemas.openxmlformats.org/officeDocument/2006/relationships/image" Target="media/image14.emf"/>
  <Relationship Id="rId27" Type="http://schemas.openxmlformats.org/officeDocument/2006/relationships/image" Target="media/image15.emf"/>
  <Relationship Id="rId28" Type="http://schemas.openxmlformats.org/officeDocument/2006/relationships/image" Target="media/image16.emf"/>
  <Relationship Id="rId29" Type="http://schemas.openxmlformats.org/officeDocument/2006/relationships/image" Target="media/image17.emf"/>
  <Relationship Id="rId3" Type="http://schemas.openxmlformats.org/officeDocument/2006/relationships/settings" Target="settings.xml"/>
  <Relationship Id="rId30" Type="http://schemas.openxmlformats.org/officeDocument/2006/relationships/image" Target="media/image18.emf"/>
  <Relationship Id="rId31" Type="http://schemas.openxmlformats.org/officeDocument/2006/relationships/image" Target="media/image19.emf"/>
  <Relationship Id="rId32" Type="http://schemas.openxmlformats.org/officeDocument/2006/relationships/image" Target="media/image20.emf"/>
  <Relationship Id="rId33" Type="http://schemas.openxmlformats.org/officeDocument/2006/relationships/fontTable" Target="fontTable.xml"/>
  <Relationship Id="rId34" Type="http://schemas.openxmlformats.org/officeDocument/2006/relationships/theme" Target="theme/theme1.xml"/>
  <Relationship Id="rId35" Type="http://schemas.openxmlformats.org/officeDocument/2006/relationships/customXml" Target="../customXml/item2.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image" Target="media/image2.png"/>
  <Relationship Id="rId9" Type="http://schemas.openxmlformats.org/officeDocument/2006/relationships/image" Target="media/image3.emf"/>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b8a8e13f21745c6a0b209db182ecfab" PartId="592e96a57990425fb7d6696ee3516dbc"/>
  <Part Type="patvirtinta" Title="TELŠIŲ RAJONO SAVIVALDYBĖS VARTOTOJŲ PATENKINIMAS VIEŠOSIOMIS / ADMINISTRACINĖMIS PASLAUGOMIS TYRIMO ATASKAITA" DocPartId="4c2cee9da60c47e9a690c8c30e85a8ab" PartId="0c42429e949d4407a7a18265fb8bc59b">
    <Part Type="skirsnis" Title="ANOTACIJA" DocPartId="9fd74619ebe74c28a036577d4e257674" PartId="994c410e7e1e4b048d4cd91be7979626">
      <Part Type="lentele" Title="TRUMPAS TYRIMO APRAŠYMAS" DocPartId="d27c045d958f4f3c96cf2d0d6765aea6" PartId="a3f3a17dd1844253aa4025adf6a016f2"/>
      <Part Type="lentele" DocPartId="d1931f7eced743f9847ce1076723f76b" PartId="182d7869490547cc93c251e49205f607"/>
      <Part Type="pastraipa" DocPartId="94b0703a7c664c0e9d2054a78d57649e" PartId="7b4e3119e07943e2bf4fbc6781509bcf"/>
      <Part Type="pastraipa" DocPartId="4e01e769bb9d408e8d2822245bdfb766" PartId="013c650b1c0b4f06a22c235bf048a114"/>
      <Part Type="pastraipa" DocPartId="25255e9e8e0b41b1a52396bb477b8231" PartId="16bff98b5d304c24bc835e6304d42fc6"/>
      <Part Type="lentele" DocPartId="04f47c5b5fbc45929c0866cf286d5e19" PartId="1de16bcc91c442cc8c920823a7c205bf"/>
    </Part>
    <Part Type="skirsnis" Title="VIEŠŲJŲ SOCIALINIŲ PASLAUGŲ VERTINIMAS" DocPartId="9ea1fca1d961465188971a3e1409863a" PartId="f4a4552d46c14034bebbc2933b44f278"/>
    <Part Type="skirsnis" Title="1 lent. Socialinių paslaugų vartotojų patenkinimo indeksas" DocPartId="193043b95a134332959eef0dca80d99a" PartId="ce9917d264b24eb395db5592fa9808dc">
      <Part Type="lentele" Title="Respondentų demografinės charakteristikos" DocPartId="3384438853c0446bb7d2bf998147460e" PartId="c8fa1118365846a1bfcf81b52d023bbc"/>
      <Part Type="lentele" Title="TOBULINTINOS SRITYS, SIŪLYMAI IR PRIEMONĖS" DocPartId="8a4a45779fa444359b66606eff63aed5" PartId="cf03bfc07776412a8ad7c5db9270c2c0"/>
      <Part Type="pastraipa" DocPartId="b7caeb5d3fd34368b0718cf4269e247b" PartId="e770b59c14184edd936073c0fc0608fd"/>
    </Part>
  </Part>
</Parts>
</file>

<file path=customXml/itemProps1.xml><?xml version="1.0" encoding="utf-8"?>
<ds:datastoreItem xmlns:ds="http://schemas.openxmlformats.org/officeDocument/2006/customXml" ds:itemID="{8FCB96C9-F53E-4257-9291-62CB0B04CFC1}">
  <ds:schemaRefs>
    <ds:schemaRef ds:uri="http://schemas.openxmlformats.org/officeDocument/2006/bibliography"/>
  </ds:schemaRefs>
</ds:datastoreItem>
</file>

<file path=customXml/itemProps2.xml><?xml version="1.0" encoding="utf-8"?>
<ds:datastoreItem xmlns:ds="http://schemas.openxmlformats.org/officeDocument/2006/customXml" ds:itemID="{3BA429A5-164E-4250-B182-599E5995152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2003</Words>
  <Characters>14226</Characters>
  <Application>Microsoft Office Word</Application>
  <DocSecurity>4</DocSecurity>
  <Lines>395</Lines>
  <Paragraphs>117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KONKURSO DALYVIO DEKLARACIJA</vt:lpstr>
      <vt:lpstr>KONKURSO DALYVIO DEKLARACIJA</vt:lpstr>
    </vt:vector>
  </TitlesOfParts>
  <Company>Microsoft</Company>
  <LinksUpToDate>false</LinksUpToDate>
  <CharactersWithSpaces>16112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2024-03-21T08:14:00Z</dcterms:created>
  <dc:creator>savas</dc:creator>
  <lastModifiedBy>adlibuser</lastModifiedBy>
  <lastPrinted>2017-06-05T09:46:00Z</lastPrinted>
  <dcterms:modified xsi:type="dcterms:W3CDTF">2024-03-21T08:14:00Z</dcterms:modified>
  <revision>2</revision>
  <dc:title>KONKURSO DALYVIO DEKLARACIJA</dc:title>
</coreProperties>
</file>