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22f90e8b15eb40e68eb5a17e30b6c04e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>
          <w:pPr>
            <w:ind w:left="9923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Nacionalinio vandenų srities 2022–2027  metų plano įgyvendinimo veiksmų plano</w:t>
          </w:r>
        </w:p>
        <w:p>
          <w:pPr>
            <w:ind w:left="10065" w:hanging="142"/>
            <w:rPr>
              <w:szCs w:val="24"/>
              <w:lang w:eastAsia="lt-LT"/>
            </w:rPr>
          </w:pPr>
          <w:sdt>
            <w:sdtPr>
              <w:alias w:val="Numeris"/>
              <w:tag w:val="nr_22f90e8b15eb40e68eb5a17e30b6c04e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4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jc w:val="right"/>
            <w:rPr>
              <w:sz w:val="20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22f90e8b15eb40e68eb5a17e30b6c04e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NUMATOMI STRUKTŪRINĖS APSAUGOS NUO POTVYNIŲ VEIKSMAI NEMUNO IR LIELUPĖS UPIŲ BASEINŲ RAJONUOSE</w:t>
              </w:r>
            </w:sdtContent>
          </w:sdt>
        </w:p>
        <w:p>
          <w:pPr>
            <w:jc w:val="center"/>
            <w:rPr>
              <w:b/>
              <w:sz w:val="20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4"/>
            <w:gridCol w:w="1276"/>
            <w:gridCol w:w="1134"/>
            <w:gridCol w:w="1417"/>
            <w:gridCol w:w="2410"/>
            <w:gridCol w:w="994"/>
            <w:gridCol w:w="1078"/>
            <w:gridCol w:w="1208"/>
            <w:gridCol w:w="1039"/>
            <w:gridCol w:w="1055"/>
            <w:gridCol w:w="1039"/>
            <w:gridCol w:w="1045"/>
          </w:tblGrid>
          <w:tr>
            <w:trPr>
              <w:trHeight w:val="184"/>
            </w:trPr>
            <w:tc>
              <w:tcPr>
                <w:tcW w:w="704" w:type="dxa"/>
                <w:vMerge w:val="restart"/>
              </w:tcPr>
              <w:p>
                <w:pPr>
                  <w:ind w:left="313" w:right="-674" w:hanging="284"/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 xml:space="preserve">Eil. </w:t>
                </w:r>
              </w:p>
              <w:p>
                <w:pPr>
                  <w:ind w:left="313" w:right="-674" w:hanging="284"/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>Nr.</w:t>
                </w:r>
              </w:p>
            </w:tc>
            <w:tc>
              <w:tcPr>
                <w:tcW w:w="1276" w:type="dxa"/>
                <w:vMerge w:val="restart"/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vMerge w:val="restart"/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>Veiksmo vieta</w:t>
                </w:r>
              </w:p>
            </w:tc>
            <w:tc>
              <w:tcPr>
                <w:tcW w:w="1417" w:type="dxa"/>
                <w:vMerge w:val="restart"/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>Apsaugomos teritorijos identifikacinis numeris</w:t>
                </w:r>
              </w:p>
            </w:tc>
            <w:tc>
              <w:tcPr>
                <w:tcW w:w="2410" w:type="dxa"/>
                <w:vMerge w:val="restart"/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>Veiksmo aprašymas</w:t>
                </w:r>
              </w:p>
            </w:tc>
            <w:tc>
              <w:tcPr>
                <w:tcW w:w="994" w:type="dxa"/>
                <w:vMerge w:val="restart"/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>Apsaugoma teritorija, ha</w:t>
                </w:r>
              </w:p>
            </w:tc>
            <w:tc>
              <w:tcPr>
                <w:tcW w:w="1078" w:type="dxa"/>
                <w:vMerge w:val="restart"/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>Gyventojų skaičius</w:t>
                </w:r>
              </w:p>
            </w:tc>
            <w:tc>
              <w:tcPr>
                <w:tcW w:w="1208" w:type="dxa"/>
                <w:vMerge w:val="restart"/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>Investicinės sąnaudos, tūkst. Eur.</w:t>
                </w:r>
              </w:p>
            </w:tc>
            <w:tc>
              <w:tcPr>
                <w:tcW w:w="4178" w:type="dxa"/>
                <w:gridSpan w:val="4"/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Žala, patiriama dėl teritorijos užliejimo vieną kartą (pagal potvynių rizikos žemėlapių duomenis), tūkst. Eur.</w:t>
                </w:r>
              </w:p>
            </w:tc>
          </w:tr>
          <w:tr>
            <w:trPr>
              <w:trHeight w:val="378"/>
            </w:trPr>
            <w:tc>
              <w:tcPr>
                <w:tcW w:w="704" w:type="dxa"/>
                <w:vMerge/>
                <w:tcBorders>
                  <w:bottom w:val="single" w:sz="4" w:space="0" w:color="auto"/>
                </w:tcBorders>
              </w:tcPr>
              <w:p>
                <w:pPr>
                  <w:ind w:left="313" w:right="-674" w:hanging="284"/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0"/>
                    <w:lang w:eastAsia="lt-LT"/>
                  </w:rPr>
                  <w:t>1.</w:t>
                  <w:tab/>
                </w:r>
              </w:p>
            </w:tc>
            <w:tc>
              <w:tcPr>
                <w:tcW w:w="1276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</w:p>
            </w:tc>
            <w:tc>
              <w:tcPr>
                <w:tcW w:w="1417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</w:p>
            </w:tc>
            <w:tc>
              <w:tcPr>
                <w:tcW w:w="2410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</w:p>
            </w:tc>
            <w:tc>
              <w:tcPr>
                <w:tcW w:w="994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</w:p>
            </w:tc>
            <w:tc>
              <w:tcPr>
                <w:tcW w:w="1078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</w:p>
            </w:tc>
            <w:tc>
              <w:tcPr>
                <w:tcW w:w="1208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Didelės tikimybės potvynis</w:t>
                </w:r>
              </w:p>
              <w:p>
                <w:pPr>
                  <w:rPr>
                    <w:rFonts w:eastAsia="Lucida Sans Unicode"/>
                    <w:kern w:val="1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upėse</w:t>
                </w:r>
              </w:p>
            </w:tc>
            <w:tc>
              <w:tcPr>
                <w:tcW w:w="1055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Vidutinės tikimybės potvynis upėse</w:t>
                </w:r>
              </w:p>
            </w:tc>
            <w:tc>
              <w:tcPr>
                <w:tcW w:w="1039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Didelės tikimybės potvynis 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Baltijos jūros ir (ar) Kuršių marių</w:t>
                </w:r>
              </w:p>
            </w:tc>
            <w:tc>
              <w:tcPr>
                <w:tcW w:w="1045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Vidutinės tikimybės potvynis 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Baltijos jūros ir (ar) Kuršių marių</w:t>
                </w:r>
              </w:p>
            </w:tc>
          </w:tr>
          <w:tr>
            <w:tc>
              <w:tcPr>
                <w:tcW w:w="14399" w:type="dxa"/>
                <w:gridSpan w:val="12"/>
              </w:tcPr>
              <w:p>
                <w:pPr>
                  <w:ind w:right="-674"/>
                  <w:rPr>
                    <w:color w:val="00000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Nemuno upių baseinų rajonas: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lang w:eastAsia="lt-LT"/>
                  </w:rPr>
                </w:pPr>
                <w:r>
                  <w:rPr>
                    <w:lang w:eastAsia="lt-LT"/>
                  </w:rPr>
                  <w:t>1.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m.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Nemuno ir Neries santaka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54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Esamų pylimų paaukštinimas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8,3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133,6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Kulautuva (Kranto g.)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56,0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455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1249,7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5,8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813,6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- 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m.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Žemutiniai Kaniūkai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Kelio apsauga, atitvėrimo nuo vandens siena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42,0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486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886,7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1187,5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m.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Mažasis kaimelis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20,8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388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1506,8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208,0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358,0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24,6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114,2</w:t>
                </w:r>
              </w:p>
            </w:tc>
          </w:tr>
          <w:tr>
            <w:trPr>
              <w:trHeight w:val="569"/>
            </w:trP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m.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Marvelė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>Kelio paaukštinimas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29,8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334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984,3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919,7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m.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nuotekų valykla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129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430,8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Šilutės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Tulkiaragės vasaros polderis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666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Esamų pylimų paaukštinimas. Priemonė skirta Meldinės nendrinukės (</w:t>
                </w:r>
                <w:r>
                  <w:rPr>
                    <w:i/>
                    <w:color w:val="000000"/>
                    <w:sz w:val="20"/>
                    <w:lang w:eastAsia="lt-LT"/>
                  </w:rPr>
                  <w:t>Acrocephalus paludicola</w:t>
                </w:r>
                <w:r>
                  <w:rPr>
                    <w:color w:val="000000"/>
                    <w:sz w:val="20"/>
                    <w:lang w:eastAsia="lt-LT"/>
                  </w:rPr>
                  <w:t>) buveinės atstatymui. Meldinė nendrinukė yra vienas rečiausių migruojančių šlapių pievų paukščių giesmininkų Europoje. Lietuva yra tarp aštuonių pasaulio šalių, kuriose šis sparnuotis dar gali perėti.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516,8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975,3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130,1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Jurbarkas (Lelijų g.)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73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178,5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82,8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Šilutės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Uostadvario žiemos polderis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Esamų pylimų paaukštinimas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34,8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73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676,2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502,7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Šilutės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Šilutės nuotekų valykla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128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Esamų pylimų paaukštinimas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261,4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35"/>
            </w:trP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m.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Kulautuvos g.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 xml:space="preserve">Kelio apsauga, atitvėrimo nuo vandens siena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31,2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113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975,3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510,0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Kėdainių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Kėdainiai (Skongalio g.)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381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841,0</w:t>
                </w:r>
              </w:p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6,5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114,5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rPr>
              <w:trHeight w:val="812"/>
            </w:trP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Marijampolės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Būdviečiai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82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Esamų pylimų paaukštinimas </w:t>
                  <w:br/>
                  <w:t>Vietinio kelio paaukštinimas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32,7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104,2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56,1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124,4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Jurbarkas (rytinė dalis)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5,4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108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851,4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5,2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136,3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m.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Karkazų Rato g.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1069,3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45,7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309,0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Purmaliai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Esamų pylimų paaukštinimas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333,6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74,8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102,7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4,7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Jurbarkas (vakarinė dalis)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7,5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113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1272,2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14,9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447,9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Pagėgių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Plaškiai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 xml:space="preserve">Kelio paaukštinimas </w:t>
                  <w:br/>
                  <w:t xml:space="preserve">Vietinių kelių paaukštinimas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42,3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113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4007,2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145,7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923,4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Šilutės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Skirvytės žiemos polderis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41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 xml:space="preserve">Esamų pylimų paaukštinimas </w:t>
                  <w:br/>
                  <w:t>Vietinių kelių paaukštinimas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154,1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112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1032,6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157,7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Ukmergės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Ukmergė (Gruodžio 17-osios g.)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40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>Vietinių kelių paaukštinimas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7,3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127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379,1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4,5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97,1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Greičiai (Greičių g.)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5,3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111,5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7,1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130,6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Dievogala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28,6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3807,2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66,0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1136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Kulautuva (Pamiškės g.)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16,4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249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2465,8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20,0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482,0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Kačerginė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11,3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144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1888,2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1,0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435,0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Skirsnemunė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30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20,9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96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1654,7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5,4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173,4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Kėdainių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Pašiliai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22,6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974,5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30,2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255,7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m.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Žemieji Šančiai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3,2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100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213,2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51,0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Kėdainių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Kėdainiai (Kęstučio g.)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72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4,5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326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311,3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50,0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Bernatoniai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7,8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41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1466,1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32,9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360,9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30.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Šilutės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Kintų, Sakučių žiemos polderiai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Esamų pylimų paaukštinimas </w:t>
                  <w:br/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1178,7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59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4088,03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928,1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31.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Prienų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Balbieriškis, Balbieriškio nuotekų valykla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131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Esamų pylimų paaukštinimas </w:t>
                  <w:br/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505,4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nuotekų valykla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130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562,3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m.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Saliai (Mėlynių takas)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 xml:space="preserve">Kelio apsauga, atitvėrimo nuo vandens siena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11,2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1230,1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19,7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183,6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Pagėgių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Pagėgiai (Gėgės g.)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21,4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1005,0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5,5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139,0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Raudondvaris </w:t>
                </w:r>
                <w:r>
                  <w:rPr>
                    <w:sz w:val="20"/>
                    <w:lang w:eastAsia="lt-LT"/>
                  </w:rPr>
                  <w:t>(Medelyno g.)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Vietinio kelio paaukštinimas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2270,0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3,0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307,0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Šilutės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Sausgalviai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52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>Kelio paaukštinimas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21,5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82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2318,0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16,6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84,8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37.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Pagėgių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Šakininkai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51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>Vietinių kelių paaukštinimas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13,7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68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2246,2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15,1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98,1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rPr>
              <w:trHeight w:val="583"/>
            </w:trP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Šilutės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Alka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Esamų pylimų paaukštinimas </w:t>
                  <w:br/>
                  <w:t xml:space="preserve">Naujų pylimų įrengimas </w:t>
                  <w:br/>
                  <w:t xml:space="preserve">Vietinių kelių paaukštinimas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11,9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37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2450,6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9,4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112,3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2,3</w:t>
                </w:r>
              </w:p>
            </w:tc>
          </w:tr>
          <w:tr>
            <w:trPr>
              <w:trHeight w:val="583"/>
            </w:trPr>
            <w:tc>
              <w:tcPr>
                <w:tcW w:w="14399" w:type="dxa"/>
                <w:gridSpan w:val="12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Lielupės upių baseinų rajonas:</w:t>
                </w:r>
              </w:p>
            </w:tc>
          </w:tr>
          <w:tr>
            <w:trPr>
              <w:trHeight w:val="583"/>
            </w:trP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Tičkūnai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Naujų pylimų įrengimas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6,9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311,5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30,4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111,5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rPr>
              <w:trHeight w:val="583"/>
            </w:trP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40.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Vabalai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>Vietinių kelių paaukštinimas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42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844,0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64,2</w:t>
                </w: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249,8</w:t>
                </w: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  <w:tr>
            <w:trPr>
              <w:trHeight w:val="583"/>
            </w:trPr>
            <w:tc>
              <w:tcPr>
                <w:tcW w:w="704" w:type="dxa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41.</w:t>
                  <w:tab/>
                </w:r>
              </w:p>
            </w:tc>
            <w:tc>
              <w:tcPr>
                <w:tcW w:w="1276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r. sav.</w:t>
                </w:r>
              </w:p>
            </w:tc>
            <w:tc>
              <w:tcPr>
                <w:tcW w:w="113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Kiūčiai</w:t>
                </w:r>
              </w:p>
            </w:tc>
            <w:tc>
              <w:tcPr>
                <w:tcW w:w="1417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Naujų pylimų įrengimas </w:t>
                  <w:br/>
                  <w:t xml:space="preserve">Esamų pylimų paaukštinimas </w:t>
                  <w:br/>
                  <w:t xml:space="preserve">Vietinių kelių paaukštinimas </w:t>
                  <w:br/>
                  <w:t xml:space="preserve">Kelio apsauga, atitvėrimo nuo vandens siena </w:t>
                </w:r>
              </w:p>
            </w:tc>
            <w:tc>
              <w:tcPr>
                <w:tcW w:w="994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41,2</w:t>
                </w:r>
              </w:p>
            </w:tc>
            <w:tc>
              <w:tcPr>
                <w:tcW w:w="1078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51</w:t>
                </w:r>
              </w:p>
            </w:tc>
            <w:tc>
              <w:tcPr>
                <w:tcW w:w="1208" w:type="dxa"/>
                <w:shd w:val="clear" w:color="auto" w:fill="auto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42.</w:t>
                  <w:tab/>
                  <w:t>875,1</w:t>
                </w:r>
              </w:p>
              <w:p>
                <w:pPr>
                  <w:rPr>
                    <w:color w:val="000000"/>
                    <w:sz w:val="20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43.</w:t>
                  <w:tab/>
                  <w:t>74,8</w:t>
                </w:r>
              </w:p>
              <w:p>
                <w:pPr>
                  <w:rPr>
                    <w:color w:val="000000"/>
                    <w:sz w:val="20"/>
                  </w:rPr>
                </w:pPr>
              </w:p>
            </w:tc>
            <w:tc>
              <w:tcPr>
                <w:tcW w:w="1055" w:type="dxa"/>
                <w:shd w:val="clear" w:color="auto" w:fill="auto"/>
              </w:tcPr>
              <w:p>
                <w:pPr>
                  <w:ind w:left="313" w:right="-674" w:hanging="28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44.</w:t>
                  <w:tab/>
                  <w:t>334,2</w:t>
                </w:r>
              </w:p>
              <w:p>
                <w:pPr>
                  <w:rPr>
                    <w:color w:val="000000"/>
                    <w:sz w:val="20"/>
                  </w:rPr>
                </w:pPr>
              </w:p>
            </w:tc>
            <w:tc>
              <w:tcPr>
                <w:tcW w:w="1039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045" w:type="dxa"/>
                <w:shd w:val="clear" w:color="auto" w:fill="auto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-</w:t>
                </w:r>
              </w:p>
            </w:tc>
          </w:tr>
        </w:tbl>
        <w:p>
          <w:pPr>
            <w:jc w:val="center"/>
          </w:pPr>
          <w:r>
            <w:rPr>
              <w:color w:val="000000"/>
            </w:rPr>
            <w:t>–––––––––––––––––––––––</w:t>
          </w:r>
        </w:p>
        <w:p/>
        <w:p>
          <w:pPr>
            <w:rPr>
              <w:sz w:val="20"/>
              <w:lang w:eastAsia="lt-LT"/>
            </w:rPr>
          </w:pP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20" w:right="1670" w:bottom="720" w:left="720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endnote>
  <w:endnote w:type="continuationSeparator" w:id="0">
    <w:p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hAnsi="Calibri"/>
        <w:sz w:val="22"/>
        <w:szCs w:val="22"/>
        <w:lang w:val="x-none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hAnsi="Calibri"/>
        <w:sz w:val="22"/>
        <w:szCs w:val="22"/>
        <w:lang w:val="x-none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footnote>
  <w:footnote w:type="continuationSeparator" w:id="0">
    <w:p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hAnsi="Calibri"/>
        <w:sz w:val="22"/>
        <w:szCs w:val="22"/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</w:t>
    </w:r>
    <w:r>
      <w:rPr>
        <w:sz w:val="22"/>
        <w:szCs w:val="22"/>
        <w:lang w:eastAsia="lt-LT"/>
      </w:rPr>
      <w:fldChar w:fldCharType="end"/>
    </w:r>
  </w:p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GrammaticalErrors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51AF908F-6194-4816-BA24-DE661F49650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896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9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8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0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6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9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6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6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0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6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4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2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2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4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1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6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0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0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6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1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2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riedas" Nr="4" Abbr="4 pr." Title="NUMATOMI STRUKTŪRINĖS APSAUGOS NUO POTVYNIŲ VEIKSMAI NEMUNO IR LIELUPĖS UPIŲ BASEINŲ RAJONUOSE" DocPartId="cfd37851021947bd8514e7099f77b445" PartId="22f90e8b15eb40e68eb5a17e30b6c04e"/>
</Parts>
</file>

<file path=customXml/itemProps1.xml><?xml version="1.0" encoding="utf-8"?>
<ds:datastoreItem xmlns:ds="http://schemas.openxmlformats.org/officeDocument/2006/customXml" ds:itemID="{94046C89-28AF-4832-8A08-FC1B47E6ED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ADCE768-D637-47EE-BB70-FF07DAFF11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908</Words>
  <Characters>4678</Characters>
  <Application>Microsoft Office Word</Application>
  <DocSecurity>4</DocSecurity>
  <Lines>779</Lines>
  <Paragraphs>558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5028</CharactersWithSpaces>
  <SharedDoc>false</SharedDoc>
  <HyperlinkBase/>
  <HLinks>
    <vt:vector size="12" baseType="variant">
      <vt:variant>
        <vt:i4>6291564</vt:i4>
      </vt:variant>
      <vt:variant>
        <vt:i4>10</vt:i4>
      </vt:variant>
      <vt:variant>
        <vt:i4>0</vt:i4>
      </vt:variant>
      <vt:variant>
        <vt:i4>5</vt:i4>
      </vt:variant>
      <vt:variant>
        <vt:lpwstr>javascript:void(0)</vt:lpwstr>
      </vt:variant>
      <vt:variant>
        <vt:lpwstr/>
      </vt:variant>
      <vt:variant>
        <vt:i4>2490408</vt:i4>
      </vt:variant>
      <vt:variant>
        <vt:i4>3</vt:i4>
      </vt:variant>
      <vt:variant>
        <vt:i4>0</vt:i4>
      </vt:variant>
      <vt:variant>
        <vt:i4>5</vt:i4>
      </vt:variant>
      <vt:variant>
        <vt:lpwstr>http://litlex.am.lt/ll.dll?Tekstas=1&amp;Id=159566&amp;BF=1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2023-04-26T10:38:00Z</dcterms:created>
  <dc:creator>a.lukoseviciene</dc:creator>
  <lastModifiedBy>adlibuser</lastModifiedBy>
  <lastPrinted>2023-02-03T12:44:00Z</lastPrinted>
  <dcterms:modified xsi:type="dcterms:W3CDTF">2023-04-26T10:38:00Z</dcterms:modified>
  <revision>2</revision>
</coreProperties>
</file>