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f09e5e355d94dc29cc15bd7a45243b2"/>
        <w:lock w:val="sdtLocked"/>
        <w:richText/>
      </w:sdtPr>
      <w:sdtContent>
        <w:p>
          <w:pPr>
            <w:tabs>
              <w:tab w:val="center" w:pos="4819"/>
              <w:tab w:val="right" w:pos="9638"/>
            </w:tabs>
            <w:jc w:val="right"/>
            <w:rPr>
              <w:szCs w:val="24"/>
            </w:rPr>
          </w:pPr>
        </w:p>
        <w:p>
          <w:pPr>
            <w:ind w:left="9072"/>
            <w:rPr>
              <w:b/>
              <w:szCs w:val="24"/>
            </w:rPr>
          </w:pPr>
        </w:p>
        <w:tbl>
          <w:tblPr>
            <w:tblW w:w="4802" w:type="dxa"/>
            <w:jc w:val="right"/>
            <w:tblLook w:val="04A0" w:firstRow="1" w:lastRow="0" w:firstColumn="1" w:lastColumn="0" w:noHBand="0" w:noVBand="1"/>
          </w:tblPr>
          <w:tblGrid>
            <w:gridCol w:w="4802"/>
          </w:tblGrid>
          <w:tr>
            <w:trPr>
              <w:jc w:val="right"/>
            </w:trPr>
            <w:tc>
              <w:tcPr>
                <w:tcW w:w="4802" w:type="dxa"/>
              </w:tcPr>
              <w:p>
                <w:pPr>
                  <w:rPr>
                    <w:szCs w:val="24"/>
                    <w:lang w:eastAsia="lt-LT"/>
                  </w:rPr>
                </w:pPr>
                <w:r>
                  <w:rPr>
                    <w:szCs w:val="24"/>
                    <w:lang w:eastAsia="lt-LT"/>
                  </w:rPr>
                  <w:t>Klaipėdos miesto savivaldybės mišrių komunalinių atliekų ir antrinių žaliavų surinkimo konteinerių stovėjimo vietų ir aikštelių išdėstymo schemos 16 dalies</w:t>
                </w:r>
              </w:p>
            </w:tc>
          </w:tr>
          <w:tr>
            <w:trPr>
              <w:jc w:val="right"/>
            </w:trPr>
            <w:tc>
              <w:tcPr>
                <w:tcW w:w="4802" w:type="dxa"/>
              </w:tcPr>
              <w:p>
                <w:pPr>
                  <w:rPr>
                    <w:szCs w:val="24"/>
                    <w:lang w:eastAsia="lt-LT"/>
                  </w:rPr>
                </w:pPr>
                <w:r>
                  <w:rPr>
                    <w:szCs w:val="24"/>
                    <w:lang w:eastAsia="lt-LT"/>
                  </w:rPr>
                  <w:t xml:space="preserve">priedas </w:t>
                </w:r>
              </w:p>
            </w:tc>
          </w:tr>
        </w:tbl>
        <w:p/>
        <w:p>
          <w:pPr>
            <w:jc w:val="center"/>
            <w:rPr>
              <w:szCs w:val="24"/>
            </w:rPr>
          </w:pPr>
        </w:p>
        <w:sdt>
          <w:sdtPr>
            <w:alias w:val="lentele"/>
            <w:tag w:val="part_28e2acdd3e2849c192b81a8d0658a5d4"/>
            <w:lock w:val="sdtLocked"/>
            <w:richText/>
          </w:sdtPr>
          <w:sdtContent>
            <w:sdt>
              <w:sdtPr>
                <w:alias w:val="Pavadinimas"/>
                <w:tag w:val="title_28e2acdd3e2849c192b81a8d0658a5d4"/>
                <w:lock w:val="sdtLocked"/>
                <w:richText/>
              </w:sdtPr>
              <w:sdtContent>
                <w:p>
                  <w:pPr>
                    <w:jc w:val="center"/>
                    <w:rPr>
                      <w:b/>
                      <w:szCs w:val="24"/>
                    </w:rPr>
                  </w:pPr>
                  <w:r>
                    <w:rPr>
                      <w:b/>
                      <w:szCs w:val="24"/>
                    </w:rPr>
                    <w:t>DIDŽIOSIOS VITĖS GYVENAMOJO RAJONO</w:t>
                  </w:r>
                </w:p>
                <w:p>
                  <w:pPr>
                    <w:jc w:val="center"/>
                    <w:rPr>
                      <w:b/>
                      <w:szCs w:val="24"/>
                    </w:rPr>
                  </w:pPr>
                  <w:r>
                    <w:rPr>
                      <w:b/>
                      <w:szCs w:val="24"/>
                    </w:rPr>
                    <w:t>MIŠRIŲ KOMUNALINIŲ ATLIEKŲ IR ANTRINIŲ ŽALIAVŲ SURINKIMO KONTEINERIŲ STOVĖJIMO VIETŲ IR AIKŠTELIŲ SĄRAŠAS</w:t>
                  </w:r>
                </w:p>
              </w:sdtContent>
            </w:sdt>
            <w:p>
              <w:pPr>
                <w:jc w:val="both"/>
                <w:rPr>
                  <w:szCs w:val="24"/>
                </w:rPr>
              </w:pPr>
            </w:p>
            <w:tbl>
              <w:tblPr>
                <w:tblW w:w="14560" w:type="dxa"/>
                <w:tblLook w:val="04A0" w:firstRow="1" w:lastRow="0" w:firstColumn="1" w:lastColumn="0" w:noHBand="0" w:noVBand="1"/>
              </w:tblPr>
              <w:tblGrid>
                <w:gridCol w:w="973"/>
                <w:gridCol w:w="2516"/>
                <w:gridCol w:w="1600"/>
                <w:gridCol w:w="1309"/>
                <w:gridCol w:w="2102"/>
                <w:gridCol w:w="6060"/>
              </w:tblGrid>
              <w:tr>
                <w:trPr>
                  <w:trHeight w:val="885"/>
                </w:trPr>
                <w:tc>
                  <w:tcPr>
                    <w:tcW w:w="97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Eil. Nr.</w:t>
                    </w:r>
                  </w:p>
                </w:tc>
                <w:tc>
                  <w:tcPr>
                    <w:tcW w:w="2516"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Konteinerių stovėjimo adresas (prie)</w:t>
                    </w:r>
                  </w:p>
                </w:tc>
                <w:tc>
                  <w:tcPr>
                    <w:tcW w:w="2909" w:type="dxa"/>
                    <w:gridSpan w:val="2"/>
                    <w:tcBorders>
                      <w:top w:val="single" w:sz="4" w:space="0" w:color="auto"/>
                      <w:left w:val="nil"/>
                      <w:bottom w:val="single" w:sz="4" w:space="0" w:color="auto"/>
                      <w:right w:val="single" w:sz="4" w:space="0" w:color="000000"/>
                    </w:tcBorders>
                    <w:shd w:val="clear" w:color="auto" w:fill="auto"/>
                    <w:vAlign w:val="bottom"/>
                    <w:hideMark/>
                  </w:tcPr>
                  <w:p>
                    <w:pPr>
                      <w:jc w:val="center"/>
                      <w:rPr>
                        <w:color w:val="000000"/>
                        <w:szCs w:val="24"/>
                        <w:lang w:eastAsia="lt-LT"/>
                      </w:rPr>
                    </w:pPr>
                    <w:r>
                      <w:rPr>
                        <w:color w:val="000000"/>
                        <w:szCs w:val="24"/>
                        <w:lang w:eastAsia="lt-LT"/>
                      </w:rPr>
                      <w:t>Antžeminių konteinerių kiekis (vnt.)</w:t>
                    </w:r>
                  </w:p>
                </w:tc>
                <w:tc>
                  <w:tcPr>
                    <w:tcW w:w="2102" w:type="dxa"/>
                    <w:tcBorders>
                      <w:top w:val="single" w:sz="4" w:space="0" w:color="auto"/>
                      <w:left w:val="nil"/>
                      <w:bottom w:val="single" w:sz="4" w:space="0" w:color="auto"/>
                      <w:right w:val="nil"/>
                    </w:tcBorders>
                    <w:shd w:val="clear" w:color="auto" w:fill="auto"/>
                    <w:vAlign w:val="bottom"/>
                    <w:hideMark/>
                  </w:tcPr>
                  <w:p>
                    <w:pPr>
                      <w:jc w:val="center"/>
                      <w:rPr>
                        <w:color w:val="000000"/>
                        <w:szCs w:val="24"/>
                        <w:lang w:eastAsia="lt-LT"/>
                      </w:rPr>
                    </w:pPr>
                    <w:r>
                      <w:rPr>
                        <w:color w:val="000000"/>
                        <w:szCs w:val="24"/>
                        <w:lang w:eastAsia="lt-LT"/>
                      </w:rPr>
                      <w:t>Požeminių/pusiau požeminių konteinerių kiekis (vnt. )</w:t>
                    </w:r>
                  </w:p>
                </w:tc>
                <w:tc>
                  <w:tcPr>
                    <w:tcW w:w="6060" w:type="dxa"/>
                    <w:vMerge w:val="restart"/>
                    <w:tcBorders>
                      <w:top w:val="single" w:sz="4" w:space="0" w:color="auto"/>
                      <w:left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Konteinerių stovėjimo vieta ar aikštelė priskirta</w:t>
                    </w:r>
                  </w:p>
                </w:tc>
              </w:tr>
              <w:tr>
                <w:trPr>
                  <w:trHeight w:val="975"/>
                </w:trPr>
                <w:tc>
                  <w:tcPr>
                    <w:tcW w:w="9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51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600"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Mišrių komunalinių (1,1 m</w:t>
                    </w:r>
                    <w:r>
                      <w:rPr>
                        <w:color w:val="000000"/>
                        <w:szCs w:val="24"/>
                        <w:vertAlign w:val="superscript"/>
                        <w:lang w:eastAsia="lt-LT"/>
                      </w:rPr>
                      <w:t>3</w:t>
                    </w:r>
                    <w:r>
                      <w:rPr>
                        <w:color w:val="000000"/>
                        <w:szCs w:val="24"/>
                        <w:lang w:eastAsia="lt-LT"/>
                      </w:rPr>
                      <w:t>)</w:t>
                    </w:r>
                  </w:p>
                </w:tc>
                <w:tc>
                  <w:tcPr>
                    <w:tcW w:w="1309"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Antrinių žaliavų</w:t>
                    </w:r>
                  </w:p>
                  <w:p>
                    <w:pPr>
                      <w:jc w:val="center"/>
                      <w:rPr>
                        <w:color w:val="000000"/>
                        <w:szCs w:val="24"/>
                        <w:lang w:eastAsia="lt-LT"/>
                      </w:rPr>
                    </w:pPr>
                    <w:r>
                      <w:rPr>
                        <w:color w:val="000000"/>
                        <w:szCs w:val="24"/>
                        <w:lang w:eastAsia="lt-LT"/>
                      </w:rPr>
                      <w:t>(2,4 m</w:t>
                    </w:r>
                    <w:r>
                      <w:rPr>
                        <w:color w:val="000000"/>
                        <w:szCs w:val="24"/>
                        <w:vertAlign w:val="superscript"/>
                        <w:lang w:eastAsia="lt-LT"/>
                      </w:rPr>
                      <w:t>3</w:t>
                    </w:r>
                    <w:r>
                      <w:rPr>
                        <w:color w:val="000000"/>
                        <w:szCs w:val="24"/>
                        <w:lang w:eastAsia="lt-LT"/>
                      </w:rPr>
                      <w:t>)</w:t>
                    </w:r>
                  </w:p>
                </w:tc>
                <w:tc>
                  <w:tcPr>
                    <w:tcW w:w="2102" w:type="dxa"/>
                    <w:tcBorders>
                      <w:top w:val="nil"/>
                      <w:left w:val="nil"/>
                      <w:bottom w:val="single" w:sz="4" w:space="0" w:color="auto"/>
                      <w:right w:val="single" w:sz="4" w:space="0" w:color="auto"/>
                    </w:tcBorders>
                    <w:shd w:val="clear" w:color="auto" w:fill="auto"/>
                    <w:vAlign w:val="bottom"/>
                    <w:hideMark/>
                  </w:tcPr>
                  <w:p>
                    <w:pPr>
                      <w:jc w:val="center"/>
                      <w:rPr>
                        <w:color w:val="000000"/>
                        <w:szCs w:val="24"/>
                        <w:lang w:eastAsia="lt-LT"/>
                      </w:rPr>
                    </w:pPr>
                    <w:r>
                      <w:rPr>
                        <w:color w:val="000000"/>
                        <w:szCs w:val="24"/>
                        <w:lang w:eastAsia="lt-LT"/>
                      </w:rPr>
                      <w:t>Mišrių komunalinių</w:t>
                    </w:r>
                  </w:p>
                  <w:p>
                    <w:pPr>
                      <w:jc w:val="center"/>
                      <w:rPr>
                        <w:color w:val="000000"/>
                        <w:szCs w:val="24"/>
                        <w:lang w:eastAsia="lt-LT"/>
                      </w:rPr>
                    </w:pPr>
                    <w:r>
                      <w:rPr>
                        <w:color w:val="000000"/>
                        <w:szCs w:val="24"/>
                        <w:lang w:eastAsia="lt-LT"/>
                      </w:rPr>
                      <w:t>(1,5 m</w:t>
                    </w:r>
                    <w:r>
                      <w:rPr>
                        <w:color w:val="000000"/>
                        <w:szCs w:val="24"/>
                        <w:vertAlign w:val="superscript"/>
                        <w:lang w:eastAsia="lt-LT"/>
                      </w:rPr>
                      <w:t>3</w:t>
                    </w:r>
                    <w:r>
                      <w:rPr>
                        <w:color w:val="000000"/>
                        <w:szCs w:val="24"/>
                        <w:lang w:eastAsia="lt-LT"/>
                      </w:rPr>
                      <w:t>)</w:t>
                    </w:r>
                  </w:p>
                </w:tc>
                <w:tc>
                  <w:tcPr>
                    <w:tcW w:w="6060" w:type="dxa"/>
                    <w:vMerge/>
                    <w:tcBorders>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7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Dariaus ir Girėno g. 21</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 xml:space="preserve">H. Manto g. 51, 53, 55, Dariaus ir Girėno g. 17, 19, 21, Kareivinių g. 2, 4,  J. Janonio g. 16, 16A,18</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Dariaus ir Girėno g. 19</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2</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H. Manto g. 55, 53, 51, Dariaus ir Girėno g. 17, 19</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Kareivinių g. 4</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4</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Kareivinių g. 2, 4, Dariaus ir Girėno g. 21, J. Janonio g. 16, 16A, 18</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16.6</w:t>
                    </w:r>
                  </w:p>
                </w:tc>
                <w:tc>
                  <w:tcPr>
                    <w:tcW w:w="2516" w:type="dxa"/>
                    <w:vMerge w:val="restart"/>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H. Manto g. 43B</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6</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H. Manto g. 43, 45, 45B, J. Janonio g. 6, 6A, 6B, 8, 10, 12, 12A, 14</w:t>
                    </w:r>
                  </w:p>
                </w:tc>
              </w:tr>
              <w:tr>
                <w:trPr>
                  <w:trHeight w:val="345"/>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16.7</w:t>
                    </w:r>
                  </w:p>
                </w:tc>
                <w:tc>
                  <w:tcPr>
                    <w:tcW w:w="2516"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H. Manto g. 41, 43, 45, 45B, J. Janonio g. 4, 4A, 6, 6A, 6B, 8, 10, 12, 12A, 14</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16.8</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H. Manto g. 41</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1</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H. Manto g. 41, Janonio g. 4, 4A</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16.9</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Janonio g. 9</w:t>
                    </w:r>
                  </w:p>
                </w:tc>
                <w:tc>
                  <w:tcPr>
                    <w:tcW w:w="1600" w:type="dxa"/>
                    <w:tcBorders>
                      <w:top w:val="nil"/>
                      <w:left w:val="nil"/>
                      <w:bottom w:val="nil"/>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szCs w:val="24"/>
                        <w:lang w:eastAsia="lt-LT"/>
                      </w:rPr>
                    </w:pPr>
                    <w:r>
                      <w:rPr>
                        <w:szCs w:val="24"/>
                        <w:lang w:eastAsia="lt-LT"/>
                      </w:rPr>
                      <w:t>1</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 xml:space="preserve">J. Janonio g.  9</w:t>
                    </w:r>
                  </w:p>
                </w:tc>
              </w:tr>
              <w:tr>
                <w:trPr>
                  <w:trHeight w:val="315"/>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16.10</w:t>
                    </w:r>
                  </w:p>
                </w:tc>
                <w:tc>
                  <w:tcPr>
                    <w:tcW w:w="2516" w:type="dxa"/>
                    <w:vMerge w:val="restart"/>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Pievų Tako g. 38</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4</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szCs w:val="24"/>
                        <w:lang w:eastAsia="lt-LT"/>
                      </w:rPr>
                    </w:pPr>
                    <w:r>
                      <w:rPr>
                        <w:szCs w:val="24"/>
                        <w:lang w:eastAsia="lt-LT"/>
                      </w:rPr>
                      <w:t>Pievų Tako g. 22, 24, 26, 28, 38, 36, 34, 32, 30, 33, 35, 37, J. Janonio g. 3, 5, 7</w:t>
                    </w:r>
                  </w:p>
                </w:tc>
              </w:tr>
              <w:tr>
                <w:trPr>
                  <w:trHeight w:val="63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16.11</w:t>
                    </w:r>
                  </w:p>
                </w:tc>
                <w:tc>
                  <w:tcPr>
                    <w:tcW w:w="2516"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szCs w:val="24"/>
                        <w:lang w:eastAsia="lt-LT"/>
                      </w:rPr>
                    </w:pPr>
                    <w:r>
                      <w:rPr>
                        <w:szCs w:val="24"/>
                        <w:lang w:eastAsia="lt-LT"/>
                      </w:rPr>
                      <w:t>Pievų Tako g. 11, 13, 15, 17, 18, 20, 21, 23, 25, 27, 29, 31, 22, 24, 26, 28, 38, 36, 34, 32, 30, 33, 35, 37, J. Janonio g. 3, 5, 7, 9</w:t>
                    </w:r>
                  </w:p>
                </w:tc>
              </w:tr>
              <w:tr>
                <w:trPr>
                  <w:trHeight w:val="315"/>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16.12</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Pievų Tako g. 21</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2</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Pievų Tako g. 9, 11, 13, 15, 17, 19, 21, 23, 25, 27, 29, 31</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16.13</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Gintaro g. 2</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1</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Gintaro g. 2</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16.14</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I. Kanto g.44</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5</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I. Kanto g. 46, 44, 42, J. Janonio g. 17</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16.15</w:t>
                    </w:r>
                  </w:p>
                </w:tc>
                <w:tc>
                  <w:tcPr>
                    <w:tcW w:w="2516" w:type="dxa"/>
                    <w:tcBorders>
                      <w:top w:val="nil"/>
                      <w:left w:val="nil"/>
                      <w:bottom w:val="nil"/>
                      <w:right w:val="single" w:sz="4" w:space="0" w:color="auto"/>
                    </w:tcBorders>
                    <w:shd w:val="clear" w:color="auto" w:fill="auto"/>
                    <w:noWrap/>
                    <w:vAlign w:val="bottom"/>
                    <w:hideMark/>
                  </w:tcPr>
                  <w:p>
                    <w:pPr>
                      <w:rPr>
                        <w:color w:val="000000"/>
                        <w:szCs w:val="24"/>
                        <w:lang w:eastAsia="lt-LT"/>
                      </w:rPr>
                    </w:pPr>
                    <w:r>
                      <w:rPr>
                        <w:color w:val="000000"/>
                        <w:szCs w:val="24"/>
                        <w:lang w:eastAsia="lt-LT"/>
                      </w:rPr>
                      <w:t>I. Kanto g. 16</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2</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 xml:space="preserve">I. Kanto g. 16, 18, 20, 22, Pievų tako g. 2, 3, </w:t>
                    </w:r>
                    <w:r>
                      <w:rPr>
                        <w:szCs w:val="24"/>
                        <w:lang w:eastAsia="lt-LT"/>
                      </w:rPr>
                      <w:t>4, 5, 6 , 7, 8</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16.16</w:t>
                    </w:r>
                  </w:p>
                </w:tc>
                <w:tc>
                  <w:tcPr>
                    <w:tcW w:w="2516" w:type="dxa"/>
                    <w:tcBorders>
                      <w:top w:val="single" w:sz="4" w:space="0" w:color="auto"/>
                      <w:left w:val="nil"/>
                      <w:bottom w:val="nil"/>
                      <w:right w:val="single" w:sz="4" w:space="0" w:color="auto"/>
                    </w:tcBorders>
                    <w:shd w:val="clear" w:color="auto" w:fill="auto"/>
                    <w:noWrap/>
                    <w:vAlign w:val="bottom"/>
                    <w:hideMark/>
                  </w:tcPr>
                  <w:p>
                    <w:pPr>
                      <w:rPr>
                        <w:color w:val="000000"/>
                        <w:szCs w:val="24"/>
                        <w:lang w:eastAsia="lt-LT"/>
                      </w:rPr>
                    </w:pPr>
                    <w:r>
                      <w:rPr>
                        <w:color w:val="000000"/>
                        <w:szCs w:val="24"/>
                        <w:lang w:eastAsia="lt-LT"/>
                      </w:rPr>
                      <w:t>I. Kanto g. 9</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4</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 xml:space="preserve">I. Kanto g. 9, 11, 13, 15, 17, 24, 26, 28, 30 Medžiotojų g. 6, 8, </w:t>
                    </w:r>
                    <w:r>
                      <w:rPr>
                        <w:szCs w:val="24"/>
                        <w:lang w:eastAsia="lt-LT"/>
                      </w:rPr>
                      <w:t>Gintaro g. 11</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16.17</w:t>
                    </w:r>
                  </w:p>
                </w:tc>
                <w:tc>
                  <w:tcPr>
                    <w:tcW w:w="2516"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pPr>
                      <w:rPr>
                        <w:color w:val="000000"/>
                        <w:szCs w:val="24"/>
                        <w:lang w:eastAsia="lt-LT"/>
                      </w:rPr>
                    </w:pPr>
                    <w:r>
                      <w:rPr>
                        <w:color w:val="000000"/>
                        <w:szCs w:val="24"/>
                        <w:lang w:eastAsia="lt-LT"/>
                      </w:rPr>
                      <w:t>I. Kanto g. 6</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4</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 xml:space="preserve">I. Kanto g. 6, 8, 10, 12, 14, S. Daukanto g. </w:t>
                    </w:r>
                    <w:r>
                      <w:rPr>
                        <w:szCs w:val="24"/>
                        <w:lang w:eastAsia="lt-LT"/>
                      </w:rPr>
                      <w:t xml:space="preserve">9,  9A, 11, 13</w:t>
                    </w:r>
                  </w:p>
                </w:tc>
              </w:tr>
              <w:tr>
                <w:trPr>
                  <w:trHeight w:val="315"/>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16.18</w:t>
                    </w:r>
                  </w:p>
                </w:tc>
                <w:tc>
                  <w:tcPr>
                    <w:tcW w:w="2516" w:type="dxa"/>
                    <w:vMerge/>
                    <w:tcBorders>
                      <w:top w:val="single" w:sz="4" w:space="0" w:color="auto"/>
                      <w:left w:val="single" w:sz="4" w:space="0" w:color="auto"/>
                      <w:bottom w:val="single" w:sz="4" w:space="0" w:color="000000"/>
                      <w:right w:val="single" w:sz="4" w:space="0" w:color="auto"/>
                    </w:tcBorders>
                    <w:vAlign w:val="center"/>
                    <w:hideMark/>
                  </w:tcPr>
                  <w:p>
                    <w:pPr>
                      <w:rPr>
                        <w:color w:val="000000"/>
                        <w:szCs w:val="24"/>
                        <w:lang w:eastAsia="lt-LT"/>
                      </w:rPr>
                    </w:pP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I. Kanto g. 6, 8, 10, 12, 14, S. Daukanto g.</w:t>
                    </w:r>
                    <w:r>
                      <w:rPr>
                        <w:szCs w:val="24"/>
                        <w:lang w:eastAsia="lt-LT"/>
                      </w:rPr>
                      <w:t xml:space="preserve"> 9, 9A, 11, 13,</w:t>
                    </w:r>
                    <w:r>
                      <w:rPr>
                        <w:color w:val="FF0000"/>
                        <w:szCs w:val="24"/>
                        <w:lang w:eastAsia="lt-LT"/>
                      </w:rPr>
                      <w:t xml:space="preserve"> </w:t>
                    </w:r>
                    <w:r>
                      <w:rPr>
                        <w:szCs w:val="24"/>
                        <w:lang w:eastAsia="lt-LT"/>
                      </w:rPr>
                      <w:t>Pievų tako g. 2, 4, 6, 8</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16.19</w:t>
                    </w:r>
                  </w:p>
                </w:tc>
                <w:tc>
                  <w:tcPr>
                    <w:tcW w:w="2516" w:type="dxa"/>
                    <w:vMerge w:val="restart"/>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J. Janonio g. 19T</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4</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I. Kanto g. 19, 21, J. Janonio g. 19, 21</w:t>
                    </w:r>
                  </w:p>
                </w:tc>
              </w:tr>
              <w:tr>
                <w:trPr>
                  <w:trHeight w:val="315"/>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16.20</w:t>
                    </w:r>
                  </w:p>
                </w:tc>
                <w:tc>
                  <w:tcPr>
                    <w:tcW w:w="2516"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I. Kanto g. 19, 21, 46, 44, 42, J. Janonio g. 17, 19, 21</w:t>
                    </w:r>
                  </w:p>
                </w:tc>
              </w:tr>
              <w:tr>
                <w:trPr>
                  <w:trHeight w:val="27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16.21</w:t>
                    </w:r>
                  </w:p>
                </w:tc>
                <w:tc>
                  <w:tcPr>
                    <w:tcW w:w="2516" w:type="dxa"/>
                    <w:vMerge w:val="restart"/>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Medžiotojų g. 14</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J. Janonio g. 25, Karklų g. 18, Medžiotojų g. 12, 14, Gintaro g. 8, 10, 12</w:t>
                    </w:r>
                  </w:p>
                </w:tc>
              </w:tr>
              <w:tr>
                <w:trPr>
                  <w:trHeight w:val="33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16.22</w:t>
                    </w:r>
                  </w:p>
                </w:tc>
                <w:tc>
                  <w:tcPr>
                    <w:tcW w:w="2516"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J. Janonio g. 25, Karklų g. 18, Medžiotojų g. 12, 14, Gintaro g. 8, 10, 12</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16.23</w:t>
                    </w:r>
                  </w:p>
                </w:tc>
                <w:tc>
                  <w:tcPr>
                    <w:tcW w:w="2516" w:type="dxa"/>
                    <w:vMerge w:val="restart"/>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Karklų g. 17</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 xml:space="preserve">Karklų g. </w:t>
                    </w:r>
                    <w:r>
                      <w:rPr>
                        <w:szCs w:val="24"/>
                        <w:lang w:eastAsia="lt-LT"/>
                      </w:rPr>
                      <w:t>12</w:t>
                    </w:r>
                    <w:r>
                      <w:rPr>
                        <w:color w:val="000000"/>
                        <w:szCs w:val="24"/>
                        <w:lang w:eastAsia="lt-LT"/>
                      </w:rPr>
                      <w:t xml:space="preserve">, 14, 17, </w:t>
                    </w:r>
                    <w:r>
                      <w:rPr>
                        <w:szCs w:val="24"/>
                        <w:lang w:eastAsia="lt-LT"/>
                      </w:rPr>
                      <w:t>Naujoji uosto g. 26</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16.24</w:t>
                    </w:r>
                  </w:p>
                </w:tc>
                <w:tc>
                  <w:tcPr>
                    <w:tcW w:w="2516"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 xml:space="preserve">Karklų g. 10A, 10B, 11, </w:t>
                    </w:r>
                    <w:r>
                      <w:rPr>
                        <w:szCs w:val="24"/>
                        <w:lang w:eastAsia="lt-LT"/>
                      </w:rPr>
                      <w:t>12</w:t>
                    </w:r>
                    <w:r>
                      <w:rPr>
                        <w:color w:val="000000"/>
                        <w:szCs w:val="24"/>
                        <w:lang w:eastAsia="lt-LT"/>
                      </w:rPr>
                      <w:t>, 14, 17, Naujoji uosto g. 26</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16.25</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Karklų g. 9</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2</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Karklų g. 9</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16.26</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Karklų g. 5 (rytinė pusė)</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Karklų g. 8, 11, 10, 10A, 10B, 13</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16.27</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Karklų g. 5 (vakarinė pusė)</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2</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 xml:space="preserve">Karklų g. 5, </w:t>
                    </w:r>
                    <w:r>
                      <w:rPr>
                        <w:szCs w:val="24"/>
                        <w:lang w:eastAsia="lt-LT"/>
                      </w:rPr>
                      <w:t>Kalvos g. 3, 5, Levandrų g. 2, 3</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16.28</w:t>
                    </w:r>
                  </w:p>
                </w:tc>
                <w:tc>
                  <w:tcPr>
                    <w:tcW w:w="2516" w:type="dxa"/>
                    <w:vMerge w:val="restart"/>
                    <w:tcBorders>
                      <w:top w:val="nil"/>
                      <w:left w:val="single" w:sz="4" w:space="0" w:color="auto"/>
                      <w:bottom w:val="single" w:sz="4" w:space="0" w:color="000000"/>
                      <w:right w:val="single" w:sz="4" w:space="0" w:color="auto"/>
                    </w:tcBorders>
                    <w:shd w:val="clear" w:color="auto" w:fill="auto"/>
                    <w:noWrap/>
                    <w:vAlign w:val="bottom"/>
                    <w:hideMark/>
                  </w:tcPr>
                  <w:p>
                    <w:pPr>
                      <w:rPr>
                        <w:color w:val="000000"/>
                        <w:szCs w:val="24"/>
                        <w:lang w:eastAsia="lt-LT"/>
                      </w:rPr>
                    </w:pPr>
                    <w:r>
                      <w:rPr>
                        <w:color w:val="000000"/>
                        <w:szCs w:val="24"/>
                        <w:lang w:eastAsia="lt-LT"/>
                      </w:rPr>
                      <w:t>Karklų g. 2</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Karklų g. 2</w:t>
                    </w:r>
                  </w:p>
                </w:tc>
              </w:tr>
              <w:tr>
                <w:trPr>
                  <w:trHeight w:val="345"/>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16.29</w:t>
                    </w:r>
                  </w:p>
                </w:tc>
                <w:tc>
                  <w:tcPr>
                    <w:tcW w:w="2516" w:type="dxa"/>
                    <w:vMerge/>
                    <w:tcBorders>
                      <w:top w:val="nil"/>
                      <w:left w:val="single" w:sz="4" w:space="0" w:color="auto"/>
                      <w:bottom w:val="single" w:sz="4" w:space="0" w:color="000000"/>
                      <w:right w:val="single" w:sz="4" w:space="0" w:color="auto"/>
                    </w:tcBorders>
                    <w:vAlign w:val="center"/>
                    <w:hideMark/>
                  </w:tcPr>
                  <w:p>
                    <w:pPr>
                      <w:rPr>
                        <w:color w:val="000000"/>
                        <w:szCs w:val="24"/>
                        <w:lang w:eastAsia="lt-LT"/>
                      </w:rPr>
                    </w:pP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 xml:space="preserve">Karklų g. 2, 5, 8, 9, 10 Medžiotojų g. 2, 4, 6, 8, </w:t>
                    </w:r>
                    <w:r>
                      <w:rPr>
                        <w:szCs w:val="24"/>
                        <w:lang w:eastAsia="lt-LT"/>
                      </w:rPr>
                      <w:t>Kalvos g. 3, 5, Levandrų g. 2, 3</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16.30</w:t>
                    </w:r>
                  </w:p>
                </w:tc>
                <w:tc>
                  <w:tcPr>
                    <w:tcW w:w="2516" w:type="dxa"/>
                    <w:vMerge w:val="restart"/>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Naujoji uosto g. 22T</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Naujoji uosto g. 22, J. Zauerveino g. 21, 22, 23, 25, Kalvos g. 5A, 7</w:t>
                    </w:r>
                  </w:p>
                </w:tc>
              </w:tr>
              <w:tr>
                <w:trPr>
                  <w:trHeight w:val="33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16.31</w:t>
                    </w:r>
                  </w:p>
                </w:tc>
                <w:tc>
                  <w:tcPr>
                    <w:tcW w:w="2516" w:type="dxa"/>
                    <w:vMerge/>
                    <w:tcBorders>
                      <w:top w:val="nil"/>
                      <w:left w:val="single" w:sz="4" w:space="0" w:color="auto"/>
                      <w:bottom w:val="single" w:sz="4" w:space="0" w:color="auto"/>
                      <w:right w:val="single" w:sz="4" w:space="0" w:color="auto"/>
                    </w:tcBorders>
                    <w:vAlign w:val="center"/>
                    <w:hideMark/>
                  </w:tcPr>
                  <w:p>
                    <w:pPr>
                      <w:rPr>
                        <w:color w:val="000000"/>
                        <w:szCs w:val="24"/>
                        <w:lang w:eastAsia="lt-LT"/>
                      </w:rPr>
                    </w:pP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vAlign w:val="bottom"/>
                    <w:hideMark/>
                  </w:tcPr>
                  <w:p>
                    <w:pPr>
                      <w:rPr>
                        <w:color w:val="000000"/>
                        <w:szCs w:val="24"/>
                        <w:lang w:eastAsia="lt-LT"/>
                      </w:rPr>
                    </w:pPr>
                    <w:r>
                      <w:rPr>
                        <w:color w:val="000000"/>
                        <w:szCs w:val="24"/>
                        <w:lang w:eastAsia="lt-LT"/>
                      </w:rPr>
                      <w:t>Naujoji uosto g. 20, 22, J. Zauerveino g. 19, 21, 22, 23, 25, Kalvos g. 5A, 7</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16.32</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Naujoji Uosto g. 20</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1</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Naujoji Uosto g. 20</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16.33</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Naujoji Uosto g. 18</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1</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Naujoji Uosto g. 18</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16.34</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J. Zauerveino g. 19</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2</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 xml:space="preserve">J. Zauerveino g. 19, 15, 13, </w:t>
                    </w:r>
                    <w:r>
                      <w:rPr>
                        <w:szCs w:val="24"/>
                        <w:lang w:eastAsia="lt-LT"/>
                      </w:rPr>
                      <w:t>11, 12</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16.35</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J. Zauerveino g. 18</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J. Zauerveino g. 18</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16.36</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J. Zauerveino g. 16</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J. Zauerveino g. 16, 16A</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16.37</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J. Zauerveino g. 10</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3</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 xml:space="preserve">J. Zauerveino g. 1, 5, 7, 9, 8, 10, </w:t>
                    </w:r>
                    <w:r>
                      <w:rPr>
                        <w:szCs w:val="24"/>
                        <w:lang w:eastAsia="lt-LT"/>
                      </w:rPr>
                      <w:t xml:space="preserve">10A </w:t>
                    </w:r>
                    <w:r>
                      <w:rPr>
                        <w:color w:val="000000"/>
                        <w:szCs w:val="24"/>
                        <w:lang w:eastAsia="lt-LT"/>
                      </w:rPr>
                      <w:t xml:space="preserve">  </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16.38</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Naujoji uosto g. 10A</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1</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 xml:space="preserve">Naujoji uosto g. </w:t>
                    </w:r>
                    <w:r>
                      <w:rPr>
                        <w:szCs w:val="24"/>
                        <w:lang w:eastAsia="lt-LT"/>
                      </w:rPr>
                      <w:t>10, 10A, 12, Gegužės g. 4</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16.39</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S. Daukanto g. 13A-15</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4</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S. Daukanto g.13A, 15, H. Manto g. 19</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16.40</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H. Manto g. 21</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1</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H. Manto g. 21</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16.41</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H. Manto g. 25</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1</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H. Manto g. 25</w:t>
                    </w:r>
                  </w:p>
                </w:tc>
              </w:tr>
              <w:tr>
                <w:trPr>
                  <w:trHeight w:val="300"/>
                </w:trPr>
                <w:tc>
                  <w:tcPr>
                    <w:tcW w:w="97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16.42</w:t>
                    </w:r>
                  </w:p>
                </w:tc>
                <w:tc>
                  <w:tcPr>
                    <w:tcW w:w="2516"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Sankryžos g. 7</w:t>
                    </w:r>
                  </w:p>
                </w:tc>
                <w:tc>
                  <w:tcPr>
                    <w:tcW w:w="1600"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1</w:t>
                    </w:r>
                  </w:p>
                </w:tc>
                <w:tc>
                  <w:tcPr>
                    <w:tcW w:w="1309"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2102" w:type="dxa"/>
                    <w:tcBorders>
                      <w:top w:val="nil"/>
                      <w:left w:val="nil"/>
                      <w:bottom w:val="single" w:sz="4" w:space="0" w:color="auto"/>
                      <w:right w:val="single" w:sz="4" w:space="0" w:color="auto"/>
                    </w:tcBorders>
                    <w:shd w:val="clear" w:color="auto" w:fill="auto"/>
                    <w:noWrap/>
                    <w:vAlign w:val="bottom"/>
                    <w:hideMark/>
                  </w:tcPr>
                  <w:p>
                    <w:pPr>
                      <w:jc w:val="center"/>
                      <w:rPr>
                        <w:color w:val="000000"/>
                        <w:szCs w:val="24"/>
                        <w:lang w:eastAsia="lt-LT"/>
                      </w:rPr>
                    </w:pPr>
                    <w:r>
                      <w:rPr>
                        <w:color w:val="000000"/>
                        <w:szCs w:val="24"/>
                        <w:lang w:eastAsia="lt-LT"/>
                      </w:rPr>
                      <w:t>0</w:t>
                    </w:r>
                  </w:p>
                </w:tc>
                <w:tc>
                  <w:tcPr>
                    <w:tcW w:w="6060" w:type="dxa"/>
                    <w:tcBorders>
                      <w:top w:val="nil"/>
                      <w:left w:val="nil"/>
                      <w:bottom w:val="single" w:sz="4" w:space="0" w:color="auto"/>
                      <w:right w:val="single" w:sz="4" w:space="0" w:color="auto"/>
                    </w:tcBorders>
                    <w:shd w:val="clear" w:color="auto" w:fill="auto"/>
                    <w:noWrap/>
                    <w:vAlign w:val="bottom"/>
                    <w:hideMark/>
                  </w:tcPr>
                  <w:p>
                    <w:pPr>
                      <w:rPr>
                        <w:color w:val="000000"/>
                        <w:szCs w:val="24"/>
                        <w:lang w:eastAsia="lt-LT"/>
                      </w:rPr>
                    </w:pPr>
                    <w:r>
                      <w:rPr>
                        <w:color w:val="000000"/>
                        <w:szCs w:val="24"/>
                        <w:lang w:eastAsia="lt-LT"/>
                      </w:rPr>
                      <w:t>Sankryžos g. 7</w:t>
                    </w:r>
                  </w:p>
                </w:tc>
              </w:tr>
            </w:tbl>
            <w:p/>
          </w:sdtContent>
        </w:sdt>
        <w:sdt>
          <w:sdtPr>
            <w:alias w:val="signatura"/>
            <w:tag w:val="part_8e53fdaddaaf47ff94de3936ab21cde3"/>
            <w:lock w:val="sdtLocked"/>
            <w:richText/>
          </w:sdtPr>
          <w:sdtContent>
            <w:p>
              <w:pPr>
                <w:ind w:firstLine="5235"/>
                <w:jc w:val="both"/>
                <w:rPr>
                  <w:szCs w:val="24"/>
                </w:rPr>
              </w:pPr>
              <w:r>
                <w:rPr>
                  <w:szCs w:val="24"/>
                </w:rPr>
                <w:t>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code="9"/>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9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B92C1E2-8DEA-4CD0-A59B-350351FBC2B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6287250">
      <w:bodyDiv w:val="1"/>
      <w:marLeft w:val="0"/>
      <w:marRight w:val="0"/>
      <w:marTop w:val="0"/>
      <w:marBottom w:val="0"/>
      <w:divBdr>
        <w:top w:val="none" w:sz="0" w:space="0" w:color="auto"/>
        <w:left w:val="none" w:sz="0" w:space="0" w:color="auto"/>
        <w:bottom w:val="none" w:sz="0" w:space="0" w:color="auto"/>
        <w:right w:val="none" w:sz="0" w:space="0" w:color="auto"/>
      </w:divBdr>
    </w:div>
    <w:div w:id="285356509">
      <w:bodyDiv w:val="1"/>
      <w:marLeft w:val="0"/>
      <w:marRight w:val="0"/>
      <w:marTop w:val="0"/>
      <w:marBottom w:val="0"/>
      <w:divBdr>
        <w:top w:val="none" w:sz="0" w:space="0" w:color="auto"/>
        <w:left w:val="none" w:sz="0" w:space="0" w:color="auto"/>
        <w:bottom w:val="none" w:sz="0" w:space="0" w:color="auto"/>
        <w:right w:val="none" w:sz="0" w:space="0" w:color="auto"/>
      </w:divBdr>
    </w:div>
    <w:div w:id="517695703">
      <w:bodyDiv w:val="1"/>
      <w:marLeft w:val="0"/>
      <w:marRight w:val="0"/>
      <w:marTop w:val="0"/>
      <w:marBottom w:val="0"/>
      <w:divBdr>
        <w:top w:val="none" w:sz="0" w:space="0" w:color="auto"/>
        <w:left w:val="none" w:sz="0" w:space="0" w:color="auto"/>
        <w:bottom w:val="none" w:sz="0" w:space="0" w:color="auto"/>
        <w:right w:val="none" w:sz="0" w:space="0" w:color="auto"/>
      </w:divBdr>
    </w:div>
    <w:div w:id="1765152565">
      <w:bodyDiv w:val="1"/>
      <w:marLeft w:val="0"/>
      <w:marRight w:val="0"/>
      <w:marTop w:val="0"/>
      <w:marBottom w:val="0"/>
      <w:divBdr>
        <w:top w:val="none" w:sz="0" w:space="0" w:color="auto"/>
        <w:left w:val="none" w:sz="0" w:space="0" w:color="auto"/>
        <w:bottom w:val="none" w:sz="0" w:space="0" w:color="auto"/>
        <w:right w:val="none" w:sz="0" w:space="0" w:color="auto"/>
      </w:divBdr>
    </w:div>
    <w:div w:id="2115592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78540ce0af24a71806019f09da3edb3" PartId="cf09e5e355d94dc29cc15bd7a45243b2">
    <Part Type="lentele" Title="DIDŽIOSIOS VITĖS GYVENAMOJO RAJONO MIŠRIŲ KOMUNALINIŲ ATLIEKŲ IR ANTRINIŲ ŽALIAVŲ SURINKIMO KONTEINERIŲ STOVĖJIMO VIETŲ IR AIKŠTELIŲ SĄRAŠAS" DocPartId="74eee23ecae54b1f9510ae54f23e8ce1" PartId="28e2acdd3e2849c192b81a8d0658a5d4"/>
    <Part Type="signatura" DocPartId="fa2a1fc4b493417791e6ed543e7eec7a" PartId="8e53fdaddaaf47ff94de3936ab21cde3"/>
  </Part>
</Parts>
</file>

<file path=customXml/itemProps1.xml><?xml version="1.0" encoding="utf-8"?>
<ds:datastoreItem xmlns:ds="http://schemas.openxmlformats.org/officeDocument/2006/customXml" ds:itemID="{109B309F-1AD4-4241-B4A6-A5C75361A1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844</Words>
  <Characters>2881</Characters>
  <Application>Microsoft Office Word</Application>
  <DocSecurity>4</DocSecurity>
  <Lines>320</Lines>
  <Paragraphs>310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2024-11-28T12:33:00Z</dcterms:created>
  <dc:creator>Birute Radavičienė</dc:creator>
  <lastModifiedBy>adlibuser</lastModifiedBy>
  <lastPrinted>2019-05-13T07:26:00Z</lastPrinted>
  <dcterms:modified xsi:type="dcterms:W3CDTF">2024-11-28T12:33:00Z</dcterms:modified>
  <revision>2</revision>
</coreProperties>
</file>