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5 pr."/>
        <w:tag w:val="part_e25b653b7b3d4d538ae85de155dc11e1"/>
        <w:lock w:val="sdtLocked"/>
        <w:richText/>
      </w:sdtPr>
      <w:sdtContent>
        <w:p>
          <w:pPr>
            <w:tabs>
              <w:tab w:val="center" w:pos="4986"/>
              <w:tab w:val="right" w:pos="9972"/>
            </w:tabs>
          </w:pPr>
        </w:p>
        <w:p>
          <w:pPr>
            <w:ind w:left="5387"/>
            <w:rPr>
              <w:bCs/>
              <w:szCs w:val="24"/>
            </w:rPr>
          </w:pPr>
          <w:r>
            <w:rPr>
              <w:color w:val="000000"/>
              <w:szCs w:val="24"/>
              <w:lang w:eastAsia="lt-LT"/>
            </w:rPr>
            <w:t xml:space="preserve">Studentų pilietinių, mokslinių, verslumo, kūrybinių ir sportinių projektų lėšų skyrimo, panaudojimo ir atsiskaitymo už panaudotas lėšas tvarkos </w:t>
          </w:r>
          <w:r>
            <w:rPr>
              <w:bCs/>
              <w:szCs w:val="24"/>
            </w:rPr>
            <w:t xml:space="preserve">aprašo </w:t>
          </w:r>
        </w:p>
        <w:p>
          <w:pPr>
            <w:spacing w:line="276" w:lineRule="auto"/>
            <w:ind w:left="4140" w:firstLine="1247"/>
            <w:jc w:val="both"/>
            <w:rPr>
              <w:szCs w:val="24"/>
            </w:rPr>
          </w:pPr>
          <w:sdt>
            <w:sdtPr>
              <w:alias w:val="Numeris"/>
              <w:tag w:val="nr_e25b653b7b3d4d538ae85de155dc11e1"/>
              <w:lock w:val="sdtLocked"/>
              <w:richText/>
            </w:sdtPr>
            <w:sdtContent>
              <w:r>
                <w:rPr>
                  <w:bCs/>
                  <w:color w:val="000000"/>
                  <w:szCs w:val="24"/>
                  <w:lang w:eastAsia="lt-LT"/>
                </w:rPr>
                <w:t>5</w:t>
              </w:r>
            </w:sdtContent>
          </w:sdt>
          <w:r>
            <w:rPr>
              <w:bCs/>
              <w:color w:val="000000"/>
              <w:szCs w:val="24"/>
              <w:lang w:eastAsia="lt-LT"/>
            </w:rPr>
            <w:t xml:space="preserve"> priedas</w:t>
          </w:r>
        </w:p>
        <w:p>
          <w:pPr>
            <w:spacing w:line="259" w:lineRule="auto"/>
            <w:rPr>
              <w:rFonts w:eastAsia="Calibri"/>
              <w:szCs w:val="24"/>
            </w:rPr>
          </w:pPr>
        </w:p>
        <w:p>
          <w:pPr>
            <w:rPr>
              <w:szCs w:val="24"/>
            </w:rPr>
          </w:pPr>
        </w:p>
        <w:sdt>
          <w:sdtPr>
            <w:alias w:val="Pavadinimas"/>
            <w:tag w:val="title_e25b653b7b3d4d538ae85de155dc11e1"/>
            <w:lock w:val="sdtLocked"/>
            <w:richText/>
          </w:sdtPr>
          <w:sdtContent>
            <w:p>
              <w:pPr>
                <w:spacing w:line="259" w:lineRule="auto"/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 xml:space="preserve">STUDENTŲ PILIETINIŲ, MOKSLINIŲ, VERSLUMO, KŪRYBINIŲ IR SPORTINIŲ PROJEKTŲ FINANSAVIMO VALSTYBĖS BIUDŽETO LĖŠOMIS </w:t>
              </w:r>
            </w:p>
            <w:p>
              <w:pPr>
                <w:spacing w:line="259" w:lineRule="auto"/>
                <w:jc w:val="center"/>
                <w:rPr>
                  <w:b/>
                  <w:caps/>
                  <w:szCs w:val="24"/>
                </w:rPr>
              </w:pPr>
              <w:r>
                <w:rPr>
                  <w:b/>
                  <w:szCs w:val="24"/>
                </w:rPr>
                <w:t>TURINIO IR LĖŠŲ PAGRĮSTUMO</w:t>
              </w:r>
              <w:r>
                <w:rPr>
                  <w:szCs w:val="24"/>
                </w:rPr>
                <w:t xml:space="preserve"> </w:t>
              </w:r>
              <w:r>
                <w:rPr>
                  <w:b/>
                  <w:szCs w:val="24"/>
                </w:rPr>
                <w:t>VERTINIMO FORMA</w:t>
              </w:r>
            </w:p>
          </w:sdtContent>
        </w:sdt>
        <w:p>
          <w:pPr>
            <w:spacing w:line="259" w:lineRule="auto"/>
            <w:rPr>
              <w:b/>
              <w:caps/>
              <w:szCs w:val="24"/>
            </w:rPr>
          </w:pPr>
        </w:p>
        <w:tbl>
          <w:tblPr>
            <w:tblW w:w="9776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2972"/>
            <w:gridCol w:w="6804"/>
          </w:tblGrid>
          <w:tr>
            <w:tc>
              <w:tcPr>
                <w:tcW w:w="2972" w:type="dxa"/>
                <w:shd w:val="clear" w:color="auto" w:fill="auto"/>
              </w:tcPr>
              <w:p>
                <w:pPr>
                  <w:rPr>
                    <w:rFonts w:eastAsia="Calibri"/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Projekto registracijos Nr.</w:t>
                </w:r>
              </w:p>
            </w:tc>
            <w:tc>
              <w:tcPr>
                <w:tcW w:w="6804" w:type="dxa"/>
                <w:shd w:val="clear" w:color="auto" w:fill="auto"/>
              </w:tcPr>
              <w:p>
                <w:pPr>
                  <w:rPr>
                    <w:rFonts w:eastAsia="Calibri"/>
                    <w:b/>
                    <w:szCs w:val="24"/>
                  </w:rPr>
                </w:pPr>
              </w:p>
            </w:tc>
          </w:tr>
          <w:tr>
            <w:tc>
              <w:tcPr>
                <w:tcW w:w="2972" w:type="dxa"/>
                <w:shd w:val="clear" w:color="auto" w:fill="auto"/>
              </w:tcPr>
              <w:p>
                <w:pPr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Pareiškėjo pavadinimas</w:t>
                </w:r>
              </w:p>
            </w:tc>
            <w:tc>
              <w:tcPr>
                <w:tcW w:w="6804" w:type="dxa"/>
                <w:shd w:val="clear" w:color="auto" w:fill="auto"/>
              </w:tcPr>
              <w:p>
                <w:pPr>
                  <w:rPr>
                    <w:rFonts w:eastAsia="Calibri"/>
                    <w:b/>
                    <w:szCs w:val="24"/>
                  </w:rPr>
                </w:pPr>
              </w:p>
            </w:tc>
          </w:tr>
          <w:tr>
            <w:tc>
              <w:tcPr>
                <w:tcW w:w="2972" w:type="dxa"/>
                <w:shd w:val="clear" w:color="auto" w:fill="auto"/>
              </w:tcPr>
              <w:p>
                <w:pPr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Projekto pavadinimas</w:t>
                </w:r>
              </w:p>
            </w:tc>
            <w:tc>
              <w:tcPr>
                <w:tcW w:w="6804" w:type="dxa"/>
                <w:shd w:val="clear" w:color="auto" w:fill="auto"/>
              </w:tcPr>
              <w:p>
                <w:pPr>
                  <w:rPr>
                    <w:rFonts w:eastAsia="Calibri"/>
                    <w:b/>
                    <w:szCs w:val="24"/>
                  </w:rPr>
                </w:pPr>
              </w:p>
            </w:tc>
          </w:tr>
        </w:tbl>
        <w:p>
          <w:pPr>
            <w:rPr>
              <w:szCs w:val="24"/>
            </w:rPr>
          </w:pPr>
        </w:p>
        <w:tbl>
          <w:tblPr>
            <w:tblW w:w="963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637"/>
            <w:gridCol w:w="6035"/>
            <w:gridCol w:w="1131"/>
            <w:gridCol w:w="1831"/>
          </w:tblGrid>
          <w:tr>
            <w:tc>
              <w:tcPr>
                <w:tcW w:w="637" w:type="dxa"/>
                <w:shd w:val="clear" w:color="auto" w:fill="auto"/>
                <w:vAlign w:val="center"/>
              </w:tcPr>
              <w:p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Eil.</w:t>
                </w:r>
              </w:p>
              <w:p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Nr.</w:t>
                </w:r>
              </w:p>
            </w:tc>
            <w:tc>
              <w:tcPr>
                <w:tcW w:w="6035" w:type="dxa"/>
                <w:shd w:val="clear" w:color="auto" w:fill="auto"/>
                <w:vAlign w:val="center"/>
              </w:tcPr>
              <w:p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Paraiškos vertinimo kriterijai (atitiktis administraciniams reikalavimams, tikslams, turiniui ir lėšų pagrįstumas)</w:t>
                </w:r>
              </w:p>
            </w:tc>
            <w:tc>
              <w:tcPr>
                <w:tcW w:w="2962" w:type="dxa"/>
                <w:gridSpan w:val="2"/>
                <w:shd w:val="clear" w:color="auto" w:fill="auto"/>
                <w:vAlign w:val="center"/>
              </w:tcPr>
              <w:p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Vertinimas</w:t>
                </w:r>
              </w:p>
            </w:tc>
          </w:tr>
          <w:tr>
            <w:tc>
              <w:tcPr>
                <w:tcW w:w="637" w:type="dxa"/>
                <w:shd w:val="clear" w:color="auto" w:fill="auto"/>
              </w:tcPr>
              <w:p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</w:p>
            </w:tc>
            <w:tc>
              <w:tcPr>
                <w:tcW w:w="6035" w:type="dxa"/>
                <w:shd w:val="clear" w:color="auto" w:fill="auto"/>
              </w:tcPr>
              <w:p>
                <w:pPr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I. </w:t>
                </w:r>
                <w:r>
                  <w:rPr>
                    <w:b/>
                    <w:color w:val="000000"/>
                    <w:szCs w:val="24"/>
                    <w:shd w:val="clear" w:color="auto" w:fill="FFFFFF"/>
                  </w:rPr>
                  <w:t>Projektas atitinka šiuos reikalavimus:</w:t>
                </w:r>
              </w:p>
            </w:tc>
            <w:tc>
              <w:tcPr>
                <w:tcW w:w="1131" w:type="dxa"/>
                <w:shd w:val="clear" w:color="auto" w:fill="auto"/>
              </w:tcPr>
              <w:p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Taip</w:t>
                </w:r>
              </w:p>
            </w:tc>
            <w:tc>
              <w:tcPr>
                <w:tcW w:w="1831" w:type="dxa"/>
                <w:shd w:val="clear" w:color="auto" w:fill="auto"/>
              </w:tcPr>
              <w:p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Ne</w:t>
                </w:r>
              </w:p>
            </w:tc>
          </w:tr>
          <w:tr>
            <w:tc>
              <w:tcPr>
                <w:tcW w:w="637" w:type="dxa"/>
                <w:vMerge w:val="restart"/>
                <w:shd w:val="clear" w:color="auto" w:fill="auto"/>
              </w:tcPr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1.</w:t>
                </w:r>
              </w:p>
            </w:tc>
            <w:tc>
              <w:tcPr>
                <w:tcW w:w="6035" w:type="dxa"/>
                <w:shd w:val="clear" w:color="auto" w:fill="auto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1.1. Projektas skirtas įgyvendinti vienai iš šių studentų iniciatyvų: a) studentų pilietinė, bendradarbiavimo skatinimo ar su konkrečių studijų ypatumais susijusi iniciatyva: </w:t>
                </w:r>
              </w:p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b) studentų mokslinės veiklos iniciatyva; </w:t>
                </w:r>
              </w:p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c) studentų kūrybinės veiklos iniciatyva; </w:t>
                </w:r>
              </w:p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d) studentų verslumo skatinimo veiklos iniciatyva;</w:t>
                </w:r>
              </w:p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e) studentų sportinės veiklos iniciatyva</w:t>
                </w:r>
              </w:p>
              <w:p>
                <w:pPr>
                  <w:rPr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arba </w:t>
                </w:r>
              </w:p>
              <w:p>
                <w:pPr>
                  <w:rPr>
                    <w:szCs w:val="24"/>
                  </w:rPr>
                </w:pPr>
              </w:p>
            </w:tc>
            <w:tc>
              <w:tcPr>
                <w:tcW w:w="1131" w:type="dxa"/>
                <w:shd w:val="clear" w:color="auto" w:fill="auto"/>
              </w:tcPr>
              <w:p>
                <w:pPr>
                  <w:jc w:val="center"/>
                  <w:rPr>
                    <w:b/>
                    <w:szCs w:val="24"/>
                  </w:rPr>
                </w:pPr>
              </w:p>
            </w:tc>
            <w:tc>
              <w:tcPr>
                <w:tcW w:w="1831" w:type="dxa"/>
                <w:shd w:val="clear" w:color="auto" w:fill="auto"/>
              </w:tcPr>
              <w:p>
                <w:pPr>
                  <w:jc w:val="center"/>
                  <w:rPr>
                    <w:b/>
                    <w:szCs w:val="24"/>
                  </w:rPr>
                </w:pPr>
              </w:p>
            </w:tc>
          </w:tr>
          <w:tr>
            <w:tc>
              <w:tcPr>
                <w:tcW w:w="637" w:type="dxa"/>
                <w:vMerge/>
                <w:shd w:val="clear" w:color="auto" w:fill="auto"/>
              </w:tcPr>
              <w:p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6035" w:type="dxa"/>
                <w:shd w:val="clear" w:color="auto" w:fill="auto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1.2. Projektas skirtas vienai iš prioritetinių temų</w:t>
                </w:r>
              </w:p>
            </w:tc>
            <w:tc>
              <w:tcPr>
                <w:tcW w:w="1131" w:type="dxa"/>
                <w:shd w:val="clear" w:color="auto" w:fill="auto"/>
              </w:tcPr>
              <w:p>
                <w:pPr>
                  <w:jc w:val="center"/>
                  <w:rPr>
                    <w:b/>
                    <w:szCs w:val="24"/>
                  </w:rPr>
                </w:pPr>
              </w:p>
            </w:tc>
            <w:tc>
              <w:tcPr>
                <w:tcW w:w="1831" w:type="dxa"/>
                <w:shd w:val="clear" w:color="auto" w:fill="auto"/>
              </w:tcPr>
              <w:p>
                <w:pPr>
                  <w:jc w:val="center"/>
                  <w:rPr>
                    <w:b/>
                    <w:szCs w:val="24"/>
                  </w:rPr>
                </w:pPr>
              </w:p>
            </w:tc>
          </w:tr>
          <w:tr>
            <w:tc>
              <w:tcPr>
                <w:tcW w:w="637" w:type="dxa"/>
                <w:shd w:val="clear" w:color="auto" w:fill="auto"/>
              </w:tcPr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2.</w:t>
                </w:r>
              </w:p>
            </w:tc>
            <w:tc>
              <w:tcPr>
                <w:tcW w:w="6035" w:type="dxa"/>
                <w:shd w:val="clear" w:color="auto" w:fill="auto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Projekto veiklų dalyviai yra studentai</w:t>
                </w:r>
              </w:p>
            </w:tc>
            <w:tc>
              <w:tcPr>
                <w:tcW w:w="1131" w:type="dxa"/>
                <w:shd w:val="clear" w:color="auto" w:fill="auto"/>
              </w:tcPr>
              <w:p>
                <w:pPr>
                  <w:jc w:val="center"/>
                  <w:rPr>
                    <w:b/>
                    <w:szCs w:val="24"/>
                  </w:rPr>
                </w:pPr>
              </w:p>
            </w:tc>
            <w:tc>
              <w:tcPr>
                <w:tcW w:w="1831" w:type="dxa"/>
                <w:shd w:val="clear" w:color="auto" w:fill="auto"/>
              </w:tcPr>
              <w:p>
                <w:pPr>
                  <w:jc w:val="center"/>
                  <w:rPr>
                    <w:b/>
                    <w:szCs w:val="24"/>
                  </w:rPr>
                </w:pPr>
              </w:p>
            </w:tc>
          </w:tr>
          <w:tr>
            <w:tc>
              <w:tcPr>
                <w:tcW w:w="637" w:type="dxa"/>
                <w:shd w:val="clear" w:color="auto" w:fill="auto"/>
              </w:tcPr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3.</w:t>
                </w:r>
              </w:p>
            </w:tc>
            <w:tc>
              <w:tcPr>
                <w:tcW w:w="6035" w:type="dxa"/>
                <w:shd w:val="clear" w:color="auto" w:fill="auto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Projekto veiklų metu bus ugdomos studentų kompetencijos</w:t>
                </w:r>
              </w:p>
            </w:tc>
            <w:tc>
              <w:tcPr>
                <w:tcW w:w="1131" w:type="dxa"/>
                <w:shd w:val="clear" w:color="auto" w:fill="auto"/>
              </w:tcPr>
              <w:p>
                <w:pPr>
                  <w:jc w:val="center"/>
                  <w:rPr>
                    <w:b/>
                    <w:szCs w:val="24"/>
                  </w:rPr>
                </w:pPr>
              </w:p>
            </w:tc>
            <w:tc>
              <w:tcPr>
                <w:tcW w:w="1831" w:type="dxa"/>
                <w:shd w:val="clear" w:color="auto" w:fill="auto"/>
              </w:tcPr>
              <w:p>
                <w:pPr>
                  <w:jc w:val="center"/>
                  <w:rPr>
                    <w:b/>
                    <w:szCs w:val="24"/>
                  </w:rPr>
                </w:pPr>
              </w:p>
            </w:tc>
          </w:tr>
          <w:tr>
            <w:tc>
              <w:tcPr>
                <w:tcW w:w="637" w:type="dxa"/>
                <w:shd w:val="clear" w:color="auto" w:fill="auto"/>
              </w:tcPr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4.</w:t>
                </w:r>
              </w:p>
            </w:tc>
            <w:tc>
              <w:tcPr>
                <w:tcW w:w="6035" w:type="dxa"/>
                <w:shd w:val="clear" w:color="auto" w:fill="auto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Projekto įgyvendinimo forma yra tyrimas, vienkartinis renginys ar susijusių renginių ciklas (mugė, paroda, varžybos, sporto ar meninis renginys, konferencija, seminaras, stovykla, konkursas ar kita, į studentų kompetencijų ugdymą orientuota, veikla)</w:t>
                </w:r>
              </w:p>
            </w:tc>
            <w:tc>
              <w:tcPr>
                <w:tcW w:w="1131" w:type="dxa"/>
                <w:shd w:val="clear" w:color="auto" w:fill="auto"/>
              </w:tcPr>
              <w:p>
                <w:pPr>
                  <w:jc w:val="center"/>
                  <w:rPr>
                    <w:b/>
                    <w:szCs w:val="24"/>
                  </w:rPr>
                </w:pPr>
              </w:p>
            </w:tc>
            <w:tc>
              <w:tcPr>
                <w:tcW w:w="1831" w:type="dxa"/>
                <w:shd w:val="clear" w:color="auto" w:fill="auto"/>
              </w:tcPr>
              <w:p>
                <w:pPr>
                  <w:jc w:val="center"/>
                  <w:rPr>
                    <w:b/>
                    <w:szCs w:val="24"/>
                  </w:rPr>
                </w:pPr>
              </w:p>
            </w:tc>
          </w:tr>
          <w:tr>
            <w:tc>
              <w:tcPr>
                <w:tcW w:w="9634" w:type="dxa"/>
                <w:gridSpan w:val="4"/>
                <w:shd w:val="clear" w:color="auto" w:fill="auto"/>
              </w:tcPr>
              <w:p>
                <w:pPr>
                  <w:jc w:val="center"/>
                  <w:rPr>
                    <w:b/>
                    <w:sz w:val="28"/>
                    <w:szCs w:val="28"/>
                  </w:rPr>
                </w:pPr>
                <w:r>
                  <w:br w:type="page"/>
                </w:r>
                <w:r>
                  <w:rPr>
                    <w:b/>
                    <w:sz w:val="28"/>
                    <w:szCs w:val="28"/>
                  </w:rPr>
                  <w:t>Jei Projektas neatitinka bent vieno anksčiau išvardytų reikalavimų, toliau yra nevertinamas</w:t>
                </w:r>
              </w:p>
            </w:tc>
          </w:tr>
        </w:tbl>
        <w:p>
          <w:r>
            <w:br w:type="page"/>
          </w:r>
        </w:p>
        <w:tbl>
          <w:tblPr>
            <w:tblW w:w="963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637"/>
            <w:gridCol w:w="6035"/>
            <w:gridCol w:w="1131"/>
            <w:gridCol w:w="1831"/>
          </w:tblGrid>
          <w:tr>
            <w:trPr>
              <w:trHeight w:val="309"/>
            </w:trPr>
            <w:tc>
              <w:tcPr>
                <w:tcW w:w="637" w:type="dxa"/>
                <w:shd w:val="clear" w:color="auto" w:fill="auto"/>
              </w:tcPr>
              <w:p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6035" w:type="dxa"/>
                <w:shd w:val="clear" w:color="auto" w:fill="auto"/>
                <w:vAlign w:val="center"/>
              </w:tcPr>
              <w:p>
                <w:pPr>
                  <w:jc w:val="center"/>
                  <w:rPr>
                    <w:rFonts w:eastAsia="Calibri"/>
                    <w:b/>
                    <w:bCs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Vertinimo kriterijus</w:t>
                </w:r>
              </w:p>
            </w:tc>
            <w:tc>
              <w:tcPr>
                <w:tcW w:w="1131" w:type="dxa"/>
                <w:shd w:val="clear" w:color="auto" w:fill="auto"/>
                <w:vAlign w:val="center"/>
              </w:tcPr>
              <w:p>
                <w:pPr>
                  <w:jc w:val="center"/>
                  <w:rPr>
                    <w:rFonts w:eastAsia="Calibri"/>
                    <w:b/>
                    <w:bCs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Galimi skirti balai</w:t>
                </w:r>
              </w:p>
            </w:tc>
            <w:tc>
              <w:tcPr>
                <w:tcW w:w="1831" w:type="dxa"/>
                <w:shd w:val="clear" w:color="auto" w:fill="auto"/>
                <w:vAlign w:val="center"/>
              </w:tcPr>
              <w:p>
                <w:pPr>
                  <w:jc w:val="center"/>
                  <w:rPr>
                    <w:rFonts w:eastAsia="Calibri"/>
                    <w:b/>
                    <w:bCs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Vertintojo įvertinimas balais</w:t>
                </w:r>
              </w:p>
            </w:tc>
          </w:tr>
          <w:tr>
            <w:trPr>
              <w:trHeight w:val="309"/>
            </w:trPr>
            <w:tc>
              <w:tcPr>
                <w:tcW w:w="637" w:type="dxa"/>
                <w:shd w:val="clear" w:color="auto" w:fill="auto"/>
              </w:tcPr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5.</w:t>
                </w:r>
              </w:p>
            </w:tc>
            <w:tc>
              <w:tcPr>
                <w:tcW w:w="6035" w:type="dxa"/>
                <w:shd w:val="clear" w:color="auto" w:fill="auto"/>
              </w:tcPr>
              <w:p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Projektas atitinka Projektų finansavimo tikslą </w:t>
                </w:r>
                <w:r>
                  <w:rPr>
                    <w:szCs w:val="24"/>
                  </w:rPr>
                  <w:t>skatinti studentų pilietines, mokslines, verslumo, kūrybines ir sportines iniciatyvas, bendradarbiavimą ir ugdyti studentų kompetencijas</w:t>
                </w:r>
                <w:r>
                  <w:rPr>
                    <w:rFonts w:eastAsia="Calibri"/>
                    <w:szCs w:val="24"/>
                  </w:rPr>
                  <w:t>:</w:t>
                </w:r>
              </w:p>
              <w:p>
                <w:pPr>
                  <w:ind w:left="720"/>
                  <w:rPr>
                    <w:szCs w:val="24"/>
                  </w:rPr>
                </w:pPr>
                <w:r>
                  <w:rPr>
                    <w:szCs w:val="24"/>
                  </w:rPr>
                  <w:t>atitinka tikslą</w:t>
                </w:r>
              </w:p>
              <w:p>
                <w:pPr>
                  <w:ind w:left="720"/>
                  <w:rPr>
                    <w:szCs w:val="24"/>
                  </w:rPr>
                </w:pPr>
                <w:r>
                  <w:rPr>
                    <w:szCs w:val="24"/>
                  </w:rPr>
                  <w:t>iš dalies atitinka</w:t>
                </w:r>
              </w:p>
              <w:p>
                <w:pPr>
                  <w:ind w:left="720"/>
                  <w:rPr>
                    <w:szCs w:val="24"/>
                  </w:rPr>
                </w:pPr>
              </w:p>
            </w:tc>
            <w:tc>
              <w:tcPr>
                <w:tcW w:w="1131" w:type="dxa"/>
                <w:shd w:val="clear" w:color="auto" w:fill="auto"/>
              </w:tcPr>
              <w:p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1-5</w:t>
                </w:r>
              </w:p>
              <w:p>
                <w:pPr>
                  <w:jc w:val="center"/>
                  <w:rPr>
                    <w:rFonts w:eastAsia="Calibri"/>
                    <w:szCs w:val="24"/>
                  </w:rPr>
                </w:pPr>
              </w:p>
              <w:p>
                <w:pPr>
                  <w:rPr>
                    <w:rFonts w:eastAsia="Calibri"/>
                    <w:szCs w:val="24"/>
                  </w:rPr>
                </w:pPr>
              </w:p>
              <w:p>
                <w:pPr>
                  <w:jc w:val="center"/>
                  <w:rPr>
                    <w:rFonts w:eastAsia="Calibri"/>
                    <w:szCs w:val="24"/>
                  </w:rPr>
                </w:pPr>
              </w:p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</w:t>
                </w:r>
              </w:p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1–4</w:t>
                </w:r>
              </w:p>
              <w:p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831" w:type="dxa"/>
                <w:shd w:val="clear" w:color="auto" w:fill="auto"/>
              </w:tcPr>
              <w:p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>
            <w:trPr>
              <w:trHeight w:val="309"/>
            </w:trPr>
            <w:tc>
              <w:tcPr>
                <w:tcW w:w="637" w:type="dxa"/>
                <w:shd w:val="clear" w:color="auto" w:fill="auto"/>
              </w:tcPr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6.</w:t>
                </w:r>
              </w:p>
            </w:tc>
            <w:tc>
              <w:tcPr>
                <w:tcW w:w="6035" w:type="dxa"/>
                <w:shd w:val="clear" w:color="auto" w:fill="auto"/>
              </w:tcPr>
              <w:p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Projekto poreikio pagrįstumas:</w:t>
                </w:r>
              </w:p>
              <w:p>
                <w:pPr>
                  <w:ind w:left="735"/>
                  <w:rPr>
                    <w:szCs w:val="24"/>
                  </w:rPr>
                </w:pPr>
                <w:r>
                  <w:rPr>
                    <w:szCs w:val="24"/>
                  </w:rPr>
                  <w:t>pagrįstas</w:t>
                </w:r>
              </w:p>
              <w:p>
                <w:pPr>
                  <w:ind w:left="735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iš dalies pagrįstas</w:t>
                </w:r>
              </w:p>
              <w:p>
                <w:pPr>
                  <w:ind w:left="735"/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nepagrįstas</w:t>
                </w:r>
              </w:p>
            </w:tc>
            <w:tc>
              <w:tcPr>
                <w:tcW w:w="1131" w:type="dxa"/>
                <w:shd w:val="clear" w:color="auto" w:fill="auto"/>
              </w:tcPr>
              <w:p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0–5</w:t>
                </w:r>
              </w:p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</w:t>
                </w:r>
              </w:p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1–4</w:t>
                </w:r>
              </w:p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0</w:t>
                </w:r>
              </w:p>
            </w:tc>
            <w:tc>
              <w:tcPr>
                <w:tcW w:w="1831" w:type="dxa"/>
                <w:shd w:val="clear" w:color="auto" w:fill="auto"/>
              </w:tcPr>
              <w:p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>
            <w:trPr>
              <w:trHeight w:val="309"/>
            </w:trPr>
            <w:tc>
              <w:tcPr>
                <w:tcW w:w="637" w:type="dxa"/>
                <w:shd w:val="clear" w:color="auto" w:fill="auto"/>
              </w:tcPr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7.</w:t>
                </w:r>
              </w:p>
            </w:tc>
            <w:tc>
              <w:tcPr>
                <w:tcW w:w="6035" w:type="dxa"/>
                <w:shd w:val="clear" w:color="auto" w:fill="auto"/>
              </w:tcPr>
              <w:p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Projekto metu numatoma plėtoti tarptautinius ryšius, stiprinti bendradarbiavimą tarp Lietuvos ir užsienio aukštųjų mokyklų:</w:t>
                </w:r>
              </w:p>
              <w:p>
                <w:pPr>
                  <w:ind w:left="720"/>
                  <w:rPr>
                    <w:szCs w:val="24"/>
                  </w:rPr>
                </w:pPr>
                <w:r>
                  <w:rPr>
                    <w:szCs w:val="24"/>
                  </w:rPr>
                  <w:t>numatoma plėtoti</w:t>
                </w:r>
              </w:p>
              <w:p>
                <w:pPr>
                  <w:ind w:left="720"/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nenumatoma plėtoti</w:t>
                </w:r>
              </w:p>
            </w:tc>
            <w:tc>
              <w:tcPr>
                <w:tcW w:w="1131" w:type="dxa"/>
                <w:shd w:val="clear" w:color="auto" w:fill="auto"/>
              </w:tcPr>
              <w:p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0–5</w:t>
                </w:r>
              </w:p>
              <w:p>
                <w:pPr>
                  <w:jc w:val="center"/>
                  <w:rPr>
                    <w:rFonts w:eastAsia="Calibri"/>
                    <w:szCs w:val="24"/>
                  </w:rPr>
                </w:pPr>
              </w:p>
              <w:p>
                <w:pPr>
                  <w:jc w:val="center"/>
                  <w:rPr>
                    <w:rFonts w:eastAsia="Calibri"/>
                    <w:szCs w:val="24"/>
                  </w:rPr>
                </w:pPr>
              </w:p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1-5</w:t>
                </w:r>
              </w:p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0</w:t>
                </w:r>
              </w:p>
            </w:tc>
            <w:tc>
              <w:tcPr>
                <w:tcW w:w="1831" w:type="dxa"/>
                <w:shd w:val="clear" w:color="auto" w:fill="auto"/>
              </w:tcPr>
              <w:p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>
            <w:trPr>
              <w:trHeight w:val="309"/>
            </w:trPr>
            <w:tc>
              <w:tcPr>
                <w:tcW w:w="637" w:type="dxa"/>
                <w:shd w:val="clear" w:color="auto" w:fill="auto"/>
              </w:tcPr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8.</w:t>
                </w:r>
              </w:p>
            </w:tc>
            <w:tc>
              <w:tcPr>
                <w:tcW w:w="6035" w:type="dxa"/>
                <w:shd w:val="clear" w:color="auto" w:fill="auto"/>
              </w:tcPr>
              <w:p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Projekto dalyvių studentų skaičius: </w:t>
                </w:r>
              </w:p>
              <w:p>
                <w:pPr>
                  <w:ind w:left="720"/>
                  <w:rPr>
                    <w:szCs w:val="24"/>
                  </w:rPr>
                </w:pPr>
                <w:r>
                  <w:rPr>
                    <w:szCs w:val="24"/>
                  </w:rPr>
                  <w:t>iki 30</w:t>
                </w:r>
              </w:p>
              <w:p>
                <w:pPr>
                  <w:ind w:left="720"/>
                  <w:rPr>
                    <w:szCs w:val="24"/>
                  </w:rPr>
                </w:pPr>
                <w:r>
                  <w:rPr>
                    <w:szCs w:val="24"/>
                  </w:rPr>
                  <w:t>30–100</w:t>
                </w:r>
              </w:p>
              <w:p>
                <w:pPr>
                  <w:ind w:left="720"/>
                  <w:rPr>
                    <w:szCs w:val="24"/>
                  </w:rPr>
                </w:pPr>
                <w:r>
                  <w:rPr>
                    <w:szCs w:val="24"/>
                  </w:rPr>
                  <w:t>100–200</w:t>
                </w:r>
              </w:p>
              <w:p>
                <w:pPr>
                  <w:ind w:left="720"/>
                  <w:rPr>
                    <w:szCs w:val="24"/>
                  </w:rPr>
                </w:pPr>
                <w:r>
                  <w:rPr>
                    <w:szCs w:val="24"/>
                  </w:rPr>
                  <w:t>200–400</w:t>
                </w:r>
              </w:p>
              <w:p>
                <w:pPr>
                  <w:ind w:left="720"/>
                  <w:rPr>
                    <w:szCs w:val="24"/>
                  </w:rPr>
                </w:pPr>
                <w:r>
                  <w:rPr>
                    <w:szCs w:val="24"/>
                  </w:rPr>
                  <w:t>400–500</w:t>
                </w:r>
              </w:p>
              <w:p>
                <w:pPr>
                  <w:ind w:left="720"/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500 ir daugiau</w:t>
                </w:r>
              </w:p>
            </w:tc>
            <w:tc>
              <w:tcPr>
                <w:tcW w:w="1131" w:type="dxa"/>
                <w:shd w:val="clear" w:color="auto" w:fill="auto"/>
              </w:tcPr>
              <w:p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0</w:t>
                </w:r>
                <w:r>
                  <w:rPr>
                    <w:rFonts w:eastAsia="Calibri"/>
                    <w:szCs w:val="24"/>
                  </w:rPr>
                  <w:t>–</w:t>
                </w:r>
                <w:r>
                  <w:rPr>
                    <w:rFonts w:eastAsia="Calibri"/>
                    <w:b/>
                    <w:szCs w:val="24"/>
                  </w:rPr>
                  <w:t>5</w:t>
                </w:r>
              </w:p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0</w:t>
                </w:r>
              </w:p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</w:t>
                </w:r>
              </w:p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2</w:t>
                </w:r>
              </w:p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3</w:t>
                </w:r>
              </w:p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4</w:t>
                </w:r>
              </w:p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</w:t>
                </w:r>
              </w:p>
            </w:tc>
            <w:tc>
              <w:tcPr>
                <w:tcW w:w="1831" w:type="dxa"/>
                <w:shd w:val="clear" w:color="auto" w:fill="auto"/>
              </w:tcPr>
              <w:p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>
            <w:trPr>
              <w:trHeight w:val="309"/>
            </w:trPr>
            <w:tc>
              <w:tcPr>
                <w:tcW w:w="637" w:type="dxa"/>
                <w:shd w:val="clear" w:color="auto" w:fill="auto"/>
              </w:tcPr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9.</w:t>
                </w:r>
              </w:p>
            </w:tc>
            <w:tc>
              <w:tcPr>
                <w:tcW w:w="6035" w:type="dxa"/>
                <w:shd w:val="clear" w:color="auto" w:fill="auto"/>
              </w:tcPr>
              <w:p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Projekte dalyvaujančių socialinių partnerių įsitraukimas (jų skaičius, vaidmuo), aukštųjų mokyklų ir socialinių partnerių bendradarbiavimas:</w:t>
                </w:r>
              </w:p>
              <w:p>
                <w:pPr>
                  <w:ind w:left="729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aktyvus  </w:t>
                </w:r>
              </w:p>
              <w:p>
                <w:pPr>
                  <w:ind w:left="729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dalinis </w:t>
                </w:r>
              </w:p>
              <w:p>
                <w:pPr>
                  <w:ind w:left="729"/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nėra</w:t>
                </w:r>
              </w:p>
            </w:tc>
            <w:tc>
              <w:tcPr>
                <w:tcW w:w="1131" w:type="dxa"/>
                <w:shd w:val="clear" w:color="auto" w:fill="auto"/>
              </w:tcPr>
              <w:p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0</w:t>
                </w:r>
                <w:r>
                  <w:rPr>
                    <w:rFonts w:eastAsia="Calibri"/>
                    <w:szCs w:val="24"/>
                  </w:rPr>
                  <w:t>–</w:t>
                </w:r>
                <w:r>
                  <w:rPr>
                    <w:rFonts w:eastAsia="Calibri"/>
                    <w:b/>
                    <w:szCs w:val="24"/>
                  </w:rPr>
                  <w:t>5</w:t>
                </w:r>
              </w:p>
              <w:p>
                <w:pPr>
                  <w:jc w:val="center"/>
                  <w:rPr>
                    <w:rFonts w:eastAsia="Calibri"/>
                    <w:szCs w:val="24"/>
                  </w:rPr>
                </w:pPr>
              </w:p>
              <w:p>
                <w:pPr>
                  <w:jc w:val="center"/>
                  <w:rPr>
                    <w:rFonts w:eastAsia="Calibri"/>
                    <w:szCs w:val="24"/>
                  </w:rPr>
                </w:pPr>
              </w:p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</w:t>
                </w:r>
              </w:p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1–4</w:t>
                </w:r>
              </w:p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0</w:t>
                </w:r>
              </w:p>
            </w:tc>
            <w:tc>
              <w:tcPr>
                <w:tcW w:w="1831" w:type="dxa"/>
                <w:shd w:val="clear" w:color="auto" w:fill="auto"/>
              </w:tcPr>
              <w:p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>
            <w:trPr>
              <w:trHeight w:val="309"/>
            </w:trPr>
            <w:tc>
              <w:tcPr>
                <w:tcW w:w="637" w:type="dxa"/>
                <w:shd w:val="clear" w:color="auto" w:fill="auto"/>
              </w:tcPr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10.</w:t>
                </w:r>
              </w:p>
            </w:tc>
            <w:tc>
              <w:tcPr>
                <w:tcW w:w="6035" w:type="dxa"/>
                <w:shd w:val="clear" w:color="auto" w:fill="auto"/>
              </w:tcPr>
              <w:p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Projekto metu vykdomos veiklos, kurios skatins studentų </w:t>
                </w:r>
                <w:r>
                  <w:rPr>
                    <w:szCs w:val="24"/>
                    <w:lang w:eastAsia="lt-LT"/>
                  </w:rPr>
                  <w:t xml:space="preserve">pilietines, </w:t>
                </w:r>
                <w:r>
                  <w:rPr>
                    <w:szCs w:val="24"/>
                  </w:rPr>
                  <w:t>mokslines</w:t>
                </w:r>
                <w:r>
                  <w:rPr>
                    <w:szCs w:val="24"/>
                    <w:lang w:eastAsia="lt-LT"/>
                  </w:rPr>
                  <w:t xml:space="preserve">, verslumo, kūrybines ir sportines  iniciatyvas, bendradarbiavimą, ugdys</w:t>
                </w:r>
                <w:r>
                  <w:rPr>
                    <w:rFonts w:eastAsia="Calibri"/>
                    <w:szCs w:val="24"/>
                  </w:rPr>
                  <w:t xml:space="preserve"> kompetencijas:</w:t>
                </w:r>
              </w:p>
              <w:p>
                <w:pPr>
                  <w:ind w:left="720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numatoma vykdyti </w:t>
                </w:r>
              </w:p>
              <w:p>
                <w:pPr>
                  <w:ind w:left="720"/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nenumatoma vykdyti </w:t>
                </w:r>
              </w:p>
            </w:tc>
            <w:tc>
              <w:tcPr>
                <w:tcW w:w="1131" w:type="dxa"/>
                <w:shd w:val="clear" w:color="auto" w:fill="auto"/>
              </w:tcPr>
              <w:p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0</w:t>
                </w:r>
                <w:r>
                  <w:rPr>
                    <w:rFonts w:eastAsia="Calibri"/>
                    <w:szCs w:val="24"/>
                  </w:rPr>
                  <w:t>–</w:t>
                </w:r>
                <w:r>
                  <w:rPr>
                    <w:rFonts w:eastAsia="Calibri"/>
                    <w:b/>
                    <w:szCs w:val="24"/>
                  </w:rPr>
                  <w:t>5</w:t>
                </w:r>
              </w:p>
              <w:p>
                <w:pPr>
                  <w:jc w:val="center"/>
                  <w:rPr>
                    <w:rFonts w:eastAsia="Calibri"/>
                    <w:szCs w:val="24"/>
                  </w:rPr>
                </w:pPr>
              </w:p>
              <w:p>
                <w:pPr>
                  <w:rPr>
                    <w:rFonts w:eastAsia="Calibri"/>
                    <w:szCs w:val="24"/>
                  </w:rPr>
                </w:pPr>
              </w:p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1-5</w:t>
                </w:r>
              </w:p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0</w:t>
                </w:r>
              </w:p>
            </w:tc>
            <w:tc>
              <w:tcPr>
                <w:tcW w:w="1831" w:type="dxa"/>
                <w:shd w:val="clear" w:color="auto" w:fill="auto"/>
              </w:tcPr>
              <w:p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>
            <w:trPr>
              <w:trHeight w:val="309"/>
            </w:trPr>
            <w:tc>
              <w:tcPr>
                <w:tcW w:w="637" w:type="dxa"/>
                <w:shd w:val="clear" w:color="auto" w:fill="auto"/>
              </w:tcPr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11.</w:t>
                </w:r>
              </w:p>
            </w:tc>
            <w:tc>
              <w:tcPr>
                <w:tcW w:w="6035" w:type="dxa"/>
                <w:shd w:val="clear" w:color="auto" w:fill="auto"/>
              </w:tcPr>
              <w:p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Projekte numatoma pateikti naujų idėjų studentų skatinimui ir įsitraukimui didinti:</w:t>
                </w:r>
              </w:p>
              <w:p>
                <w:pPr>
                  <w:ind w:left="729"/>
                  <w:rPr>
                    <w:szCs w:val="24"/>
                  </w:rPr>
                </w:pPr>
                <w:r>
                  <w:rPr>
                    <w:szCs w:val="24"/>
                  </w:rPr>
                  <w:t>numatomos naujos idėjos</w:t>
                </w:r>
              </w:p>
              <w:p>
                <w:pPr>
                  <w:ind w:left="729"/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nenumatomos naujos idėjos</w:t>
                </w:r>
              </w:p>
            </w:tc>
            <w:tc>
              <w:tcPr>
                <w:tcW w:w="1131" w:type="dxa"/>
                <w:shd w:val="clear" w:color="auto" w:fill="auto"/>
              </w:tcPr>
              <w:p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0</w:t>
                </w:r>
                <w:r>
                  <w:rPr>
                    <w:rFonts w:eastAsia="Calibri"/>
                    <w:szCs w:val="24"/>
                  </w:rPr>
                  <w:t>–</w:t>
                </w:r>
                <w:r>
                  <w:rPr>
                    <w:rFonts w:eastAsia="Calibri"/>
                    <w:b/>
                    <w:szCs w:val="24"/>
                  </w:rPr>
                  <w:t>5</w:t>
                </w:r>
              </w:p>
              <w:p>
                <w:pPr>
                  <w:jc w:val="center"/>
                  <w:rPr>
                    <w:rFonts w:eastAsia="Calibri"/>
                    <w:szCs w:val="24"/>
                  </w:rPr>
                </w:pPr>
              </w:p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1-5</w:t>
                </w:r>
              </w:p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0</w:t>
                </w:r>
              </w:p>
            </w:tc>
            <w:tc>
              <w:tcPr>
                <w:tcW w:w="1831" w:type="dxa"/>
                <w:shd w:val="clear" w:color="auto" w:fill="auto"/>
              </w:tcPr>
              <w:p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>
            <w:trPr>
              <w:trHeight w:val="309"/>
            </w:trPr>
            <w:tc>
              <w:tcPr>
                <w:tcW w:w="637" w:type="dxa"/>
                <w:shd w:val="clear" w:color="auto" w:fill="auto"/>
              </w:tcPr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12.</w:t>
                </w:r>
              </w:p>
            </w:tc>
            <w:tc>
              <w:tcPr>
                <w:tcW w:w="6035" w:type="dxa"/>
                <w:shd w:val="clear" w:color="auto" w:fill="auto"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Projekto sklaidos numatymas: </w:t>
                </w:r>
              </w:p>
              <w:p>
                <w:pPr>
                  <w:ind w:left="587" w:firstLine="142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numatytos aktualios viešinimo priemonės</w:t>
                </w:r>
              </w:p>
              <w:p>
                <w:pPr>
                  <w:ind w:left="587" w:firstLine="142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numatytos iš dalies aktualios viešinimo priemonės</w:t>
                </w:r>
              </w:p>
              <w:p>
                <w:pPr>
                  <w:ind w:left="587" w:firstLine="142"/>
                  <w:rPr>
                    <w:szCs w:val="24"/>
                  </w:rPr>
                </w:pPr>
                <w:r>
                  <w:rPr>
                    <w:szCs w:val="24"/>
                  </w:rPr>
                  <w:t>nenumatytos viešinimo priemonės</w:t>
                </w:r>
              </w:p>
            </w:tc>
            <w:tc>
              <w:tcPr>
                <w:tcW w:w="1131" w:type="dxa"/>
                <w:shd w:val="clear" w:color="auto" w:fill="auto"/>
              </w:tcPr>
              <w:p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0</w:t>
                </w:r>
                <w:r>
                  <w:rPr>
                    <w:rFonts w:eastAsia="Calibri"/>
                    <w:szCs w:val="24"/>
                  </w:rPr>
                  <w:t>–</w:t>
                </w:r>
                <w:r>
                  <w:rPr>
                    <w:rFonts w:eastAsia="Calibri"/>
                    <w:b/>
                    <w:szCs w:val="24"/>
                  </w:rPr>
                  <w:t>5</w:t>
                </w:r>
              </w:p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</w:t>
                </w:r>
              </w:p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1–4</w:t>
                </w:r>
              </w:p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0</w:t>
                </w:r>
              </w:p>
            </w:tc>
            <w:tc>
              <w:tcPr>
                <w:tcW w:w="1831" w:type="dxa"/>
                <w:shd w:val="clear" w:color="auto" w:fill="auto"/>
              </w:tcPr>
              <w:p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>
            <w:trPr>
              <w:trHeight w:val="309"/>
            </w:trPr>
            <w:tc>
              <w:tcPr>
                <w:tcW w:w="637" w:type="dxa"/>
                <w:shd w:val="clear" w:color="auto" w:fill="auto"/>
              </w:tcPr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13.</w:t>
                </w:r>
              </w:p>
            </w:tc>
            <w:tc>
              <w:tcPr>
                <w:tcW w:w="6035" w:type="dxa"/>
                <w:shd w:val="clear" w:color="auto" w:fill="auto"/>
              </w:tcPr>
              <w:p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Laukiamų rezultatų aiškumas ir reikšmingumas:</w:t>
                </w:r>
              </w:p>
              <w:p>
                <w:pPr>
                  <w:ind w:left="720"/>
                  <w:rPr>
                    <w:szCs w:val="24"/>
                  </w:rPr>
                </w:pPr>
                <w:r>
                  <w:rPr>
                    <w:szCs w:val="24"/>
                  </w:rPr>
                  <w:t>aiškūs ir reikšmingi</w:t>
                </w:r>
              </w:p>
              <w:p>
                <w:pPr>
                  <w:ind w:left="720"/>
                  <w:rPr>
                    <w:szCs w:val="24"/>
                  </w:rPr>
                </w:pPr>
                <w:r>
                  <w:rPr>
                    <w:szCs w:val="24"/>
                  </w:rPr>
                  <w:t>iš dalies aiškūs ir reikšmingi</w:t>
                </w:r>
              </w:p>
              <w:p>
                <w:pPr>
                  <w:ind w:left="720"/>
                  <w:rPr>
                    <w:szCs w:val="24"/>
                  </w:rPr>
                </w:pPr>
                <w:r>
                  <w:rPr>
                    <w:szCs w:val="24"/>
                  </w:rPr>
                  <w:t>neaiškūs ir nereikšmingi</w:t>
                </w:r>
              </w:p>
            </w:tc>
            <w:tc>
              <w:tcPr>
                <w:tcW w:w="1131" w:type="dxa"/>
                <w:shd w:val="clear" w:color="auto" w:fill="auto"/>
              </w:tcPr>
              <w:p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0</w:t>
                </w:r>
                <w:r>
                  <w:rPr>
                    <w:rFonts w:eastAsia="Calibri"/>
                    <w:szCs w:val="24"/>
                  </w:rPr>
                  <w:t>–</w:t>
                </w:r>
                <w:r>
                  <w:rPr>
                    <w:rFonts w:eastAsia="Calibri"/>
                    <w:b/>
                    <w:szCs w:val="24"/>
                  </w:rPr>
                  <w:t>5</w:t>
                </w:r>
              </w:p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</w:t>
                </w:r>
              </w:p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1–4</w:t>
                </w:r>
              </w:p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0</w:t>
                </w:r>
              </w:p>
            </w:tc>
            <w:tc>
              <w:tcPr>
                <w:tcW w:w="1831" w:type="dxa"/>
                <w:shd w:val="clear" w:color="auto" w:fill="auto"/>
              </w:tcPr>
              <w:p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>
            <w:trPr>
              <w:trHeight w:val="309"/>
            </w:trPr>
            <w:tc>
              <w:tcPr>
                <w:tcW w:w="637" w:type="dxa"/>
                <w:shd w:val="clear" w:color="auto" w:fill="auto"/>
              </w:tcPr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14.</w:t>
                </w:r>
              </w:p>
            </w:tc>
            <w:tc>
              <w:tcPr>
                <w:tcW w:w="6035" w:type="dxa"/>
                <w:shd w:val="clear" w:color="auto" w:fill="auto"/>
              </w:tcPr>
              <w:p>
                <w:pPr>
                  <w:jc w:val="both"/>
                  <w:rPr>
                    <w:rFonts w:eastAsia="Calibri"/>
                    <w:color w:val="000000"/>
                    <w:szCs w:val="24"/>
                  </w:rPr>
                </w:pPr>
                <w:r>
                  <w:rPr>
                    <w:rFonts w:eastAsia="Calibri"/>
                    <w:color w:val="000000"/>
                    <w:szCs w:val="24"/>
                  </w:rPr>
                  <w:t>Studentų įsitraukimas į projekto etapus</w:t>
                </w:r>
                <w:r>
                  <w:rPr>
                    <w:color w:val="000000"/>
                    <w:szCs w:val="24"/>
                    <w:shd w:val="clear" w:color="auto" w:fill="FFFFFF"/>
                  </w:rPr>
                  <w:t>: rengimas, įgyvendinimas, vertinimas ir</w:t>
                </w:r>
                <w:r>
                  <w:rPr>
                    <w:rFonts w:eastAsia="Calibri"/>
                    <w:color w:val="000000"/>
                    <w:szCs w:val="24"/>
                  </w:rPr>
                  <w:t xml:space="preserve"> bendradarbiavimas:</w:t>
                </w:r>
              </w:p>
              <w:p>
                <w:pPr>
                  <w:ind w:firstLine="871"/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aktyvus </w:t>
                </w:r>
              </w:p>
              <w:p>
                <w:pPr>
                  <w:ind w:firstLine="871"/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dalinis</w:t>
                </w:r>
              </w:p>
              <w:p>
                <w:pPr>
                  <w:ind w:firstLine="871"/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nėra</w:t>
                </w:r>
              </w:p>
            </w:tc>
            <w:tc>
              <w:tcPr>
                <w:tcW w:w="1131" w:type="dxa"/>
                <w:shd w:val="clear" w:color="auto" w:fill="auto"/>
              </w:tcPr>
              <w:p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0</w:t>
                </w:r>
                <w:r>
                  <w:rPr>
                    <w:rFonts w:eastAsia="Calibri"/>
                    <w:szCs w:val="24"/>
                  </w:rPr>
                  <w:t>–</w:t>
                </w:r>
                <w:r>
                  <w:rPr>
                    <w:rFonts w:eastAsia="Calibri"/>
                    <w:b/>
                    <w:szCs w:val="24"/>
                  </w:rPr>
                  <w:t>5</w:t>
                </w:r>
              </w:p>
              <w:p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</w:p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</w:t>
                </w:r>
              </w:p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1–4</w:t>
                </w:r>
              </w:p>
              <w:p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0</w:t>
                </w:r>
              </w:p>
            </w:tc>
            <w:tc>
              <w:tcPr>
                <w:tcW w:w="1831" w:type="dxa"/>
                <w:shd w:val="clear" w:color="auto" w:fill="auto"/>
              </w:tcPr>
              <w:p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>
            <w:trPr>
              <w:trHeight w:val="309"/>
            </w:trPr>
            <w:tc>
              <w:tcPr>
                <w:tcW w:w="637" w:type="dxa"/>
                <w:shd w:val="clear" w:color="auto" w:fill="auto"/>
              </w:tcPr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15.</w:t>
                </w:r>
              </w:p>
            </w:tc>
            <w:tc>
              <w:tcPr>
                <w:tcW w:w="6035" w:type="dxa"/>
                <w:shd w:val="clear" w:color="auto" w:fill="auto"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Projekto vadovo, vykdytojų ir finansininko darbo patirtis:</w:t>
                </w:r>
              </w:p>
              <w:p>
                <w:pPr>
                  <w:ind w:left="720"/>
                  <w:rPr>
                    <w:szCs w:val="24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visi yra dalyvavę įgyvendinant panašius projektus</w:t>
                </w:r>
              </w:p>
              <w:p>
                <w:pPr>
                  <w:ind w:left="720"/>
                  <w:rPr>
                    <w:szCs w:val="24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dalis jų yra dalyvavę įgyvendinant panašius projektus</w:t>
                </w:r>
              </w:p>
              <w:p>
                <w:pPr>
                  <w:ind w:firstLine="744"/>
                  <w:jc w:val="both"/>
                  <w:rPr>
                    <w:rFonts w:eastAsia="Calibri"/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neturi patirties</w:t>
                </w:r>
              </w:p>
            </w:tc>
            <w:tc>
              <w:tcPr>
                <w:tcW w:w="1131" w:type="dxa"/>
                <w:shd w:val="clear" w:color="auto" w:fill="auto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0–5</w:t>
                </w:r>
              </w:p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</w:t>
                </w:r>
              </w:p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1–4</w:t>
                </w:r>
              </w:p>
              <w:p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szCs w:val="24"/>
                  </w:rPr>
                  <w:t>0</w:t>
                </w:r>
              </w:p>
            </w:tc>
            <w:tc>
              <w:tcPr>
                <w:tcW w:w="1831" w:type="dxa"/>
                <w:shd w:val="clear" w:color="auto" w:fill="auto"/>
              </w:tcPr>
              <w:p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>
            <w:trPr>
              <w:trHeight w:val="309"/>
            </w:trPr>
            <w:tc>
              <w:tcPr>
                <w:tcW w:w="637" w:type="dxa"/>
                <w:shd w:val="clear" w:color="auto" w:fill="auto"/>
              </w:tcPr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16.</w:t>
                </w:r>
              </w:p>
            </w:tc>
            <w:tc>
              <w:tcPr>
                <w:tcW w:w="6035" w:type="dxa"/>
                <w:shd w:val="clear" w:color="auto" w:fill="auto"/>
              </w:tcPr>
              <w:p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Projekto išlaidų pagrįstumas ir realumas:</w:t>
                </w:r>
              </w:p>
              <w:p>
                <w:pPr>
                  <w:ind w:left="729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pagrįstas ir realus</w:t>
                </w:r>
              </w:p>
              <w:p>
                <w:pPr>
                  <w:ind w:left="729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iš dalies pagrįstas ir realus</w:t>
                </w:r>
              </w:p>
              <w:p>
                <w:pPr>
                  <w:ind w:firstLine="682"/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nepagrįstas ir nerealus</w:t>
                </w:r>
              </w:p>
            </w:tc>
            <w:tc>
              <w:tcPr>
                <w:tcW w:w="1131" w:type="dxa"/>
                <w:shd w:val="clear" w:color="auto" w:fill="auto"/>
              </w:tcPr>
              <w:p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0</w:t>
                </w:r>
                <w:r>
                  <w:rPr>
                    <w:rFonts w:eastAsia="Calibri"/>
                    <w:szCs w:val="24"/>
                  </w:rPr>
                  <w:t>–</w:t>
                </w:r>
                <w:r>
                  <w:rPr>
                    <w:rFonts w:eastAsia="Calibri"/>
                    <w:b/>
                    <w:szCs w:val="24"/>
                  </w:rPr>
                  <w:t>5</w:t>
                </w:r>
              </w:p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</w:t>
                </w:r>
              </w:p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1–4</w:t>
                </w:r>
              </w:p>
              <w:p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0</w:t>
                </w:r>
              </w:p>
            </w:tc>
            <w:tc>
              <w:tcPr>
                <w:tcW w:w="1831" w:type="dxa"/>
                <w:shd w:val="clear" w:color="auto" w:fill="auto"/>
              </w:tcPr>
              <w:p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>
            <w:trPr>
              <w:trHeight w:val="162"/>
            </w:trPr>
            <w:tc>
              <w:tcPr>
                <w:tcW w:w="6672" w:type="dxa"/>
                <w:gridSpan w:val="2"/>
                <w:shd w:val="clear" w:color="auto" w:fill="auto"/>
              </w:tcPr>
              <w:p>
                <w:pPr>
                  <w:spacing w:line="259" w:lineRule="auto"/>
                  <w:jc w:val="right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 xml:space="preserve">Iš viso </w:t>
                </w:r>
              </w:p>
            </w:tc>
            <w:tc>
              <w:tcPr>
                <w:tcW w:w="1131" w:type="dxa"/>
                <w:shd w:val="clear" w:color="auto" w:fill="auto"/>
              </w:tcPr>
              <w:p>
                <w:pPr>
                  <w:jc w:val="center"/>
                  <w:rPr>
                    <w:b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color w:val="000000"/>
                    <w:szCs w:val="24"/>
                    <w:lang w:eastAsia="lt-LT"/>
                  </w:rPr>
                  <w:t>60</w:t>
                </w:r>
              </w:p>
            </w:tc>
            <w:tc>
              <w:tcPr>
                <w:tcW w:w="1831" w:type="dxa"/>
                <w:shd w:val="clear" w:color="auto" w:fill="auto"/>
              </w:tcPr>
              <w:p>
                <w:pPr>
                  <w:spacing w:line="259" w:lineRule="auto"/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</w:tbl>
        <w:p>
          <w:pPr>
            <w:rPr>
              <w:szCs w:val="24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5807"/>
            <w:gridCol w:w="3821"/>
          </w:tblGrid>
          <w:tr>
            <w:tc>
              <w:tcPr>
                <w:tcW w:w="5807" w:type="dxa"/>
                <w:shd w:val="clear" w:color="auto" w:fill="auto"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Prašoma skirti paramos suma Projektui įgyvendinti (Eur)</w:t>
                </w:r>
              </w:p>
            </w:tc>
            <w:tc>
              <w:tcPr>
                <w:tcW w:w="3821" w:type="dxa"/>
                <w:shd w:val="clear" w:color="auto" w:fill="auto"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</w:tr>
          <w:tr>
            <w:tc>
              <w:tcPr>
                <w:tcW w:w="5807" w:type="dxa"/>
                <w:shd w:val="clear" w:color="auto" w:fill="auto"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Siūloma skirti paramos suma Projektui įgyvendinti (Eur)</w:t>
                </w:r>
              </w:p>
            </w:tc>
            <w:tc>
              <w:tcPr>
                <w:tcW w:w="3821" w:type="dxa"/>
                <w:shd w:val="clear" w:color="auto" w:fill="auto"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</w:tr>
          <w:tr>
            <w:tc>
              <w:tcPr>
                <w:tcW w:w="5807" w:type="dxa"/>
                <w:shd w:val="clear" w:color="auto" w:fill="auto"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bCs/>
                    <w:szCs w:val="24"/>
                    <w:lang w:eastAsia="lt-LT"/>
                  </w:rPr>
                  <w:t>Vertintojo komentarai ir išvada</w:t>
                </w:r>
              </w:p>
            </w:tc>
            <w:tc>
              <w:tcPr>
                <w:tcW w:w="3821" w:type="dxa"/>
                <w:shd w:val="clear" w:color="auto" w:fill="auto"/>
              </w:tcPr>
              <w:p>
                <w:pPr>
                  <w:rPr>
                    <w:rFonts w:eastAsia="Calibri"/>
                    <w:szCs w:val="24"/>
                  </w:rPr>
                </w:pPr>
              </w:p>
              <w:p>
                <w:pPr>
                  <w:rPr>
                    <w:rFonts w:eastAsia="Calibri"/>
                    <w:szCs w:val="24"/>
                  </w:rPr>
                </w:pPr>
              </w:p>
              <w:p>
                <w:pPr>
                  <w:rPr>
                    <w:rFonts w:eastAsia="Calibri"/>
                    <w:szCs w:val="24"/>
                  </w:rPr>
                </w:pPr>
              </w:p>
            </w:tc>
          </w:tr>
        </w:tbl>
        <w:p>
          <w:pPr>
            <w:spacing w:line="259" w:lineRule="auto"/>
            <w:rPr>
              <w:rFonts w:eastAsia="Calibri"/>
              <w:szCs w:val="24"/>
            </w:rPr>
          </w:pPr>
        </w:p>
        <w:p>
          <w:pPr>
            <w:spacing w:line="259" w:lineRule="auto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Vertintojas                  </w:t>
            <w:tab/>
            <w:tab/>
            <w:t xml:space="preserve">  __________________            __________________________</w:t>
          </w:r>
        </w:p>
        <w:p>
          <w:pPr>
            <w:spacing w:line="259" w:lineRule="auto"/>
            <w:ind w:firstLine="4377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(parašas)                                        (vardas, pavardė)</w:t>
          </w:r>
        </w:p>
        <w:p>
          <w:pPr>
            <w:overflowPunct w:val="0"/>
            <w:jc w:val="both"/>
            <w:textAlignment w:val="baseline"/>
            <w:rPr>
              <w:szCs w:val="24"/>
            </w:rPr>
          </w:pPr>
        </w:p>
        <w:p>
          <w:pPr>
            <w:overflowPunct w:val="0"/>
            <w:jc w:val="both"/>
            <w:textAlignment w:val="baseline"/>
            <w:rPr>
              <w:szCs w:val="24"/>
            </w:rPr>
          </w:pPr>
          <w:r>
            <w:rPr>
              <w:szCs w:val="24"/>
            </w:rPr>
            <w:t>Data __________________</w:t>
          </w:r>
        </w:p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567" w:right="567" w:bottom="567" w:left="1134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endnote>
  <w:endnote w:type="continuationSeparator" w:id="0">
    <w:p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">
    <w:altName w:val="Arial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footnote>
  <w:footnote w:type="continuationSeparator" w:id="0">
    <w:p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071"/>
      </w:tabs>
      <w:overflowPunct w:val="0"/>
      <w:jc w:val="center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>PAGE   \* MERGEFORMAT</w:instrText>
    </w:r>
    <w:r>
      <w:rPr>
        <w:rFonts w:ascii="HelveticaLT" w:hAnsi="HelveticaLT"/>
        <w:sz w:val="20"/>
        <w:lang w:val="en-GB"/>
      </w:rPr>
      <w:fldChar w:fldCharType="separate"/>
    </w:r>
    <w:r>
      <w:rPr>
        <w:rFonts w:ascii="HelveticaLT" w:hAnsi="HelveticaLT"/>
        <w:sz w:val="20"/>
        <w:lang w:val="en-GB"/>
      </w:rPr>
      <w:t>3</w:t>
    </w:r>
    <w:r>
      <w:rPr>
        <w:rFonts w:ascii="HelveticaLT" w:hAnsi="HelveticaLT"/>
        <w:sz w:val="20"/>
        <w:lang w:val="en-GB"/>
      </w:rPr>
      <w:fldChar w:fldCharType="end"/>
    </w:r>
  </w:p>
  <w:p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printFractionalCharacterWidth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47"/>
  <w:hyphenationZone w:val="396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21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5:docId w15:val="{94347ACE-9544-44A2-ADAB-F280C257EE8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05835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arts xmlns="http://lrs.lt/TAIS/DocParts">
  <Part Type="priedas" Nr="5" Abbr="5 pr." Title="STUDENTŲ PILIETINIŲ, MOKSLINIŲ, VERSLUMO, KŪRYBINIŲ IR SPORTINIŲ PROJEKTŲ FINANSAVIMO VALSTYBĖS BIUDŽETO LĖŠOMIS TURINIO IR LĖŠŲ PAGRĮSTUMO VERTINIMO FORMA" DocPartId="c64c4d4f39474621b45b907a44cf0bc6" PartId="e25b653b7b3d4d538ae85de155dc11e1"/>
</Parts>
</file>

<file path=customXml/itemProps1.xml><?xml version="1.0" encoding="utf-8"?>
<ds:datastoreItem xmlns:ds="http://schemas.openxmlformats.org/officeDocument/2006/customXml" ds:itemID="{7D58EA0D-9A93-45AA-8504-831ECA9ED07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5E795A0-FC05-41EA-BB6A-A79C28CC22E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6EB402A-3D2C-47EB-8915-0BAF0A45EA0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C74FD16-9A49-4444-9CAA-5E8BEDAFCA94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260A0E24-10FE-407E-A502-101C6A18D6C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512</Words>
  <Characters>3340</Characters>
  <Application>Microsoft Office Word</Application>
  <DocSecurity>4</DocSecurity>
  <Lines>256</Lines>
  <Paragraphs>175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0630f433-bf3c-47ae-99f5-d526ee5f70ae</vt:lpstr>
      <vt:lpstr>0630f433-bf3c-47ae-99f5-d526ee5f70ae</vt:lpstr>
    </vt:vector>
  </TitlesOfParts>
  <Company>VKS</Company>
  <LinksUpToDate>false</LinksUpToDate>
  <CharactersWithSpaces>3677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2024-01-04T11:41:00Z</dcterms:created>
  <dc:creator>tputys</dc:creator>
  <lastModifiedBy>adlibuser</lastModifiedBy>
  <lastPrinted>2020-01-20T09:51:00Z</lastPrinted>
  <dcterms:modified xsi:type="dcterms:W3CDTF">2024-01-04T11:41:00Z</dcterms:modified>
  <revision>2</revision>
  <dc:title>71059aaf-45c8-4cbc-af97-6351c85cba96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sakymai">
    <vt:lpwstr>Isakymai</vt:lpwstr>
  </property>
  <property fmtid="{D5CDD505-2E9C-101B-9397-08002B2CF9AE}" pid="3" name="_NewReviewCycle">
    <vt:lpwstr/>
  </property>
  <property fmtid="{D5CDD505-2E9C-101B-9397-08002B2CF9AE}" pid="4" name="ContentTypeId">
    <vt:lpwstr>0x010100D8ECFFBDDA118244861569856C5AC6C3</vt:lpwstr>
  </property>
  <property fmtid="{D5CDD505-2E9C-101B-9397-08002B2CF9AE}" pid="5" name="Komentarai">
    <vt:lpwstr>Pridėta po vizavimo</vt:lpwstr>
  </property>
</Properties>
</file>