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2dab08d828b44f918eac4243325ff2a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ind w:left="5387"/>
            <w:rPr>
              <w:bCs/>
              <w:szCs w:val="24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bCs/>
              <w:szCs w:val="24"/>
            </w:rPr>
            <w:t xml:space="preserve">aprašo </w:t>
          </w:r>
        </w:p>
        <w:p>
          <w:pPr>
            <w:ind w:left="5387"/>
            <w:rPr>
              <w:bCs/>
              <w:szCs w:val="24"/>
            </w:rPr>
          </w:pPr>
          <w:sdt>
            <w:sdtPr>
              <w:alias w:val="Numeris"/>
              <w:tag w:val="nr_2dab08d828b44f918eac4243325ff2aa"/>
              <w:lock w:val="sdtLocked"/>
              <w:richText/>
            </w:sdtPr>
            <w:sdtContent>
              <w:r>
                <w:rPr>
                  <w:bCs/>
                  <w:szCs w:val="24"/>
                </w:rPr>
                <w:t>4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2dab08d828b44f918eac4243325ff2aa"/>
              <w:lock w:val="sdtLocked"/>
              <w:richText/>
            </w:sdtPr>
            <w:sdtContent>
              <w:r>
                <w:rPr>
                  <w:b/>
                  <w:szCs w:val="24"/>
                </w:rPr>
                <w:t>STUDENTŲ PILIETINIŲ, MOKSLINIŲ, VERSLUMO, KŪRYBINIŲ IR SPORTINIŲ PROJEKTŲ PARAIŠKOS ADMINISTRACINĖS ATITIKTIES VERTINIMO FORMA</w:t>
              </w:r>
            </w:sdtContent>
          </w:sdt>
        </w:p>
        <w:p>
          <w:pPr>
            <w:jc w:val="center"/>
            <w:rPr>
              <w:b/>
              <w:sz w:val="20"/>
              <w:szCs w:val="24"/>
            </w:rPr>
          </w:pPr>
        </w:p>
        <w:tbl>
          <w:tblPr>
            <w:tblW w:w="0" w:type="auto"/>
            <w:tblInd w:w="3085" w:type="dxa"/>
            <w:tblLook w:val="04A0" w:firstRow="1" w:lastRow="0" w:firstColumn="1" w:lastColumn="0" w:noHBand="0" w:noVBand="1"/>
          </w:tblPr>
          <w:tblGrid>
            <w:gridCol w:w="2268"/>
            <w:gridCol w:w="3578"/>
          </w:tblGrid>
          <w:tr>
            <w:tc>
              <w:tcPr>
                <w:tcW w:w="2268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pacing w:val="-2"/>
                    <w:szCs w:val="24"/>
                  </w:rPr>
                </w:pPr>
              </w:p>
            </w:tc>
            <w:tc>
              <w:tcPr>
                <w:tcW w:w="3578" w:type="dxa"/>
                <w:shd w:val="clear" w:color="auto" w:fill="auto"/>
              </w:tcPr>
              <w:p>
                <w:pPr>
                  <w:rPr>
                    <w:spacing w:val="-2"/>
                    <w:szCs w:val="24"/>
                    <w:u w:val="single"/>
                  </w:rPr>
                </w:pPr>
                <w:r>
                  <w:rPr>
                    <w:spacing w:val="-2"/>
                    <w:szCs w:val="24"/>
                  </w:rPr>
                  <w:t>Nr.</w:t>
                </w:r>
              </w:p>
            </w:tc>
          </w:tr>
        </w:tbl>
        <w:p>
          <w:pPr>
            <w:ind w:firstLine="3658"/>
            <w:jc w:val="both"/>
            <w:rPr>
              <w:szCs w:val="24"/>
            </w:rPr>
          </w:pPr>
          <w:r>
            <w:rPr>
              <w:szCs w:val="24"/>
            </w:rPr>
            <w:t>(dokumento registravimo data ir numeris)</w:t>
          </w:r>
        </w:p>
        <w:p>
          <w:pPr>
            <w:jc w:val="center"/>
            <w:rPr>
              <w:szCs w:val="24"/>
            </w:rPr>
          </w:pPr>
        </w:p>
        <w:p>
          <w:pPr>
            <w:pBdr>
              <w:bottom w:val="single" w:sz="4" w:space="1" w:color="auto"/>
            </w:pBd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(projekto registracijos numeris)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tbl>
          <w:tblPr>
            <w:tblW w:w="0" w:type="auto"/>
            <w:tblBorders>
              <w:top w:val="single" w:sz="4" w:space="0" w:color="auto"/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(pareiškėjo pavadinimas)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</w:p>
            </w:tc>
          </w:tr>
        </w:tbl>
        <w:p>
          <w:pPr>
            <w:jc w:val="center"/>
            <w:rPr>
              <w:szCs w:val="24"/>
            </w:rPr>
          </w:pPr>
          <w:r>
            <w:rPr>
              <w:szCs w:val="24"/>
            </w:rPr>
            <w:t>(projekto pavadinimas)</w:t>
          </w:r>
        </w:p>
        <w:p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p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tbl>
          <w:tblPr>
            <w:tblW w:w="100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696"/>
            <w:gridCol w:w="7124"/>
            <w:gridCol w:w="1116"/>
            <w:gridCol w:w="1109"/>
          </w:tblGrid>
          <w:tr>
            <w:trPr>
              <w:cantSplit/>
            </w:trPr>
            <w:tc>
              <w:tcPr>
                <w:tcW w:w="696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</w:t>
                </w:r>
              </w:p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Nr.</w:t>
                </w:r>
              </w:p>
            </w:tc>
            <w:tc>
              <w:tcPr>
                <w:tcW w:w="7124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Administracinės atitikties vertinimo reikalavimai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Taip</w:t>
                </w: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Ne</w:t>
                </w:r>
              </w:p>
            </w:tc>
          </w:tr>
          <w:tr>
            <w:trPr>
              <w:cantSplit/>
            </w:trPr>
            <w:tc>
              <w:tcPr>
                <w:tcW w:w="696" w:type="dxa"/>
              </w:tcPr>
              <w:p>
                <w:pPr>
                  <w:tabs>
                    <w:tab w:val="left" w:pos="27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124" w:type="dxa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yra </w:t>
                </w:r>
                <w:r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Lietuvos aukštoji mokykla, Lietuvos aukštųjų mokyklų studentų atstovybių sąjunga (sąjungos), Lietuvos aukštosios mokyklos studentų atstovybė </w:t>
                </w:r>
                <w:r>
                  <w:rPr>
                    <w:szCs w:val="24"/>
                  </w:rPr>
                  <w:t>(</w:t>
                </w:r>
                <w:r>
                  <w:rPr>
                    <w:color w:val="000000"/>
                    <w:szCs w:val="24"/>
                    <w:lang w:eastAsia="lt-LT"/>
                  </w:rPr>
                  <w:t>Studentų pilietinių, mokslinių, verslumo, kūrybinių ir sportinių projektų lėšų skyrimo, panaudojimo ir atsiskaitymo už panaudotas lėšas tvarkos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aprašo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bCs/>
                    <w:szCs w:val="24"/>
                  </w:rPr>
                  <w:t>toliau</w:t>
                </w:r>
                <w:r>
                  <w:rPr>
                    <w:rFonts w:ascii="Calibri" w:eastAsia="Calibri" w:hAnsi="Calibri"/>
                    <w:bCs/>
                    <w:szCs w:val="24"/>
                  </w:rPr>
                  <w:t xml:space="preserve">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– </w:t>
                </w:r>
                <w:r>
                  <w:rPr>
                    <w:szCs w:val="24"/>
                  </w:rPr>
                  <w:t>Aprašas)3 punktas)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 w:val="restart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7124" w:type="dxa"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Pareiškėjas ir partneris (-iai) atitinka šiuos reikalavimus: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Pareiškėjas ir partneris nėra bankrutuojantys, likviduojami arba reorganizuojami, neturi įsiskolinimų, jiems nėra pradėtas ikiteisminis tyrimas, jų veikla nėra sustabdyta ar apribota, dėl jų per pastaruosius 5 metus nebuvo priimtas ir įsiteisėjęs apkaltinamasis teismo nuosprendis pagal veikas, nustatytas Finansinės paramos ir bendrojo finansavimo lėšų grąžinimo į Lietuvos Respublikos valstybės biudžetą taisyklėse, patvirtintose Lietuvos Respublikos Vyriausybės 2005 m. gegužės 30 d. nutarimu Nr. 590 „Dėl Finansinės paramos ir bendrojo finansavimo lėšų grąžinimo į Lietuvos Respublikos valstybės biudžetą taisyklių patvirtinimo“ (Aprašo 16.1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Pareiškėjo ar partnerio vadovas, ar buhalteris (finansininkas), ar kitas pareiškėjo ar partnerio vadovo įgaliotas asmuo, turintis teisę surašyti ir pasirašyti apskaitos dokumentus, neturi neišnykusio arba nepanaikinto teistumo (Aprašo 16.2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pagal anksčiau su Valstybiniu studijų fondu sudarytas sutartis yra atsiskaitęs už gautas lėšas projektams finansuoti ir (arba) grąžinęs Fondui lėšas, kurios pripažintos netinkamomis finansuoti</w:t>
                </w:r>
                <w:r>
                  <w:rPr>
                    <w:szCs w:val="24"/>
                  </w:rPr>
                  <w:t xml:space="preserve"> (Aprašo 16.3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712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elektroninėmis priemonėmis: elektroniniu paštu projektai@vsf.lt arba naudojantis Nacionaline elektroninių siuntų pristatymo, naudojant pašto tinklą, informacine sistema (Aprašo 17 punktas)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712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pasirašyta kvalifikuotu elektroniniu parašu (Aprašo 17 punktas)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</w:p>
            </w:tc>
            <w:tc>
              <w:tcPr>
                <w:tcW w:w="712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iki konkurso skelbime nurodyto paraiškų pateikimo termino pabaigos (Aprašo 18 punktas)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</w:p>
            </w:tc>
            <w:tc>
              <w:tcPr>
                <w:tcW w:w="712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Paraiškos forma atitinka Aprašo 1 priede pateiktą formą (Aprašo 19.1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</w:t>
                </w:r>
              </w:p>
            </w:tc>
            <w:tc>
              <w:tcPr>
                <w:tcW w:w="712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paraiškos dalys užpildytos (Aprašo 19.1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 w:val="restart"/>
              </w:tcPr>
              <w:p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7124" w:type="dxa"/>
              </w:tcPr>
              <w:p>
                <w:pPr>
                  <w:tabs>
                    <w:tab w:val="left" w:pos="720"/>
                    <w:tab w:val="left" w:pos="1134"/>
                  </w:tabs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Kartu su paraiška pateikti priedai: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bendradarbiavimo sutarčių ar kitų dokumentų, patvirtinančių bendradarbiavimą su projekto partneriais dėl projekto veiklų vykdymo, kopijos (Aprašo 19.2.1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įgaliojimo pasirašyti paraišką (jei paraišką pasirašo ne organizacijos vadovas) kopija (Aprašo 19.2.2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planuojamų įsigyti projektui įgyvendinti būtinų prekių ar paslaugų vidutinę rinkos kainą pagrindžiančius dokumentai (Aprašo 19.2.3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pareiškėjo ir partnerio deklaracija (Aprašo 19.2.4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696" w:type="dxa"/>
                <w:vMerge/>
              </w:tcPr>
              <w:p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124" w:type="dxa"/>
              </w:tcPr>
              <w:p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projekto aprašymo santrauka </w:t>
                </w:r>
                <w:r>
                  <w:rPr>
                    <w:szCs w:val="24"/>
                  </w:rPr>
                  <w:t>(Aprašo 19.2.5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596"/>
            </w:trPr>
            <w:tc>
              <w:tcPr>
                <w:tcW w:w="696" w:type="dxa"/>
              </w:tcPr>
              <w:p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9.</w:t>
                </w:r>
              </w:p>
            </w:tc>
            <w:tc>
              <w:tcPr>
                <w:tcW w:w="7124" w:type="dxa"/>
              </w:tcPr>
              <w:p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Visas projekto veiklas numatoma įgyvendinti Lietuvos Respublikos teritorijoje (Aprašo 21.1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596"/>
            </w:trPr>
            <w:tc>
              <w:tcPr>
                <w:tcW w:w="696" w:type="dxa"/>
              </w:tcPr>
              <w:p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7124" w:type="dxa"/>
              </w:tcPr>
              <w:p>
                <w:pPr>
                  <w:tabs>
                    <w:tab w:val="left" w:pos="540"/>
                    <w:tab w:val="left" w:pos="720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Projekto veiklas numatoma įgyvendinti ne vėliau kaip iki einamųjų metų gruodžio 1 dienos </w:t>
                </w:r>
                <w:r>
                  <w:rPr>
                    <w:bCs/>
                    <w:szCs w:val="24"/>
                  </w:rPr>
                  <w:t>(Aprašo 21.2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596"/>
            </w:trPr>
            <w:tc>
              <w:tcPr>
                <w:tcW w:w="696" w:type="dxa"/>
              </w:tcPr>
              <w:p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7124" w:type="dxa"/>
              </w:tcPr>
              <w:p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Projektui įgyvendinti prašoma finansavimo suma yra nuo 5 iki 20 tūkst. eurų (Aprašo 21.3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480"/>
            </w:trPr>
            <w:tc>
              <w:tcPr>
                <w:tcW w:w="696" w:type="dxa"/>
              </w:tcPr>
              <w:p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12.</w:t>
                </w:r>
              </w:p>
            </w:tc>
            <w:tc>
              <w:tcPr>
                <w:tcW w:w="7124" w:type="dxa"/>
              </w:tcPr>
              <w:p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Pareiškėjo ir (arba) jo partnerio (-ių) indėlis į projekto veiklą piniginėmis lėšomis yra ne mažesnis nei 5 proc. nuo </w:t>
                </w:r>
                <w:r>
                  <w:rPr>
                    <w:bCs/>
                    <w:color w:val="000000"/>
                    <w:szCs w:val="24"/>
                  </w:rPr>
                  <w:t>projekto sąmatoje numatomos tinkamų finansuoti išlaidų</w:t>
                </w:r>
                <w:r>
                  <w:rPr>
                    <w:bCs/>
                    <w:szCs w:val="24"/>
                  </w:rPr>
                  <w:t xml:space="preserve"> sumos (Aprašo 21.4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cantSplit/>
              <w:trHeight w:val="480"/>
            </w:trPr>
            <w:tc>
              <w:tcPr>
                <w:tcW w:w="696" w:type="dxa"/>
              </w:tcPr>
              <w:p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13.</w:t>
                </w:r>
              </w:p>
            </w:tc>
            <w:tc>
              <w:tcPr>
                <w:tcW w:w="7124" w:type="dxa"/>
              </w:tcPr>
              <w:p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Projekto veikloms administruoti skiriama projekto išlaidų dalis ne didesnė kaip 10 proc. nuo</w:t>
                </w:r>
                <w:r>
                  <w:rPr>
                    <w:rFonts w:eastAsia="Calibri"/>
                    <w:bCs/>
                    <w:color w:val="000000"/>
                    <w:szCs w:val="24"/>
                  </w:rPr>
                  <w:t xml:space="preserve"> projekto sąmatoje numatomos tinkamų finansuoti išlaidų sumos </w:t>
                </w:r>
                <w:r>
                  <w:rPr>
                    <w:rFonts w:eastAsia="Calibri"/>
                    <w:bCs/>
                    <w:szCs w:val="24"/>
                  </w:rPr>
                  <w:t>(Aprašo 21.6 papunktis)</w:t>
                </w:r>
              </w:p>
            </w:tc>
            <w:tc>
              <w:tcPr>
                <w:tcW w:w="111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09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</w:tbl>
        <w:p>
          <w:pPr>
            <w:jc w:val="both"/>
            <w:rPr>
              <w:i/>
              <w:szCs w:val="24"/>
            </w:rPr>
          </w:pPr>
        </w:p>
        <w:p>
          <w:pPr>
            <w:jc w:val="both"/>
            <w:rPr>
              <w:i/>
              <w:szCs w:val="24"/>
            </w:rPr>
          </w:pPr>
        </w:p>
        <w:p>
          <w:pPr>
            <w:rPr>
              <w:szCs w:val="24"/>
            </w:rPr>
          </w:pPr>
          <w:r>
            <w:rPr>
              <w:b/>
              <w:szCs w:val="24"/>
            </w:rPr>
            <w:t>Išvada:</w:t>
          </w:r>
          <w:r>
            <w:rPr>
              <w:szCs w:val="24"/>
            </w:rPr>
            <w:t xml:space="preserve"> Paraiška atitinka / neatitinka administracinės atitikties vertinimo reikalavimus (-ų).</w:t>
          </w:r>
        </w:p>
        <w:p>
          <w:pPr>
            <w:ind w:firstLine="2793"/>
            <w:rPr>
              <w:rFonts w:eastAsia="Calibri"/>
              <w:i/>
              <w:sz w:val="22"/>
              <w:szCs w:val="24"/>
            </w:rPr>
          </w:pPr>
          <w:r>
            <w:rPr>
              <w:i/>
              <w:sz w:val="22"/>
              <w:szCs w:val="24"/>
            </w:rPr>
            <w:t>(</w:t>
          </w:r>
          <w:r>
            <w:rPr>
              <w:rFonts w:eastAsia="Calibri"/>
              <w:i/>
              <w:sz w:val="22"/>
              <w:szCs w:val="24"/>
            </w:rPr>
            <w:t>kas nereikalinga, išbraukti)</w:t>
          </w:r>
        </w:p>
        <w:p>
          <w:pPr>
            <w:rPr>
              <w:rFonts w:eastAsia="Calibri"/>
              <w:i/>
              <w:sz w:val="22"/>
              <w:szCs w:val="24"/>
            </w:rPr>
          </w:pPr>
        </w:p>
        <w:p>
          <w:pPr>
            <w:rPr>
              <w:rFonts w:eastAsia="Calibri"/>
              <w:i/>
              <w:sz w:val="22"/>
              <w:szCs w:val="24"/>
            </w:rPr>
          </w:pPr>
        </w:p>
        <w:p>
          <w:pPr>
            <w:rPr>
              <w:i/>
              <w:sz w:val="22"/>
              <w:szCs w:val="24"/>
            </w:rPr>
          </w:pPr>
        </w:p>
        <w:p>
          <w:pPr>
            <w:rPr>
              <w:sz w:val="22"/>
              <w:szCs w:val="24"/>
            </w:rPr>
          </w:pPr>
          <w:r>
            <w:rPr>
              <w:sz w:val="22"/>
              <w:szCs w:val="24"/>
            </w:rPr>
            <w:t>Paraišką vertino:</w:t>
          </w: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518"/>
            <w:gridCol w:w="284"/>
            <w:gridCol w:w="2409"/>
            <w:gridCol w:w="284"/>
            <w:gridCol w:w="2126"/>
            <w:gridCol w:w="284"/>
            <w:gridCol w:w="1559"/>
          </w:tblGrid>
          <w:tr>
            <w:tc>
              <w:tcPr>
                <w:tcW w:w="2518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c>
              <w:tcPr>
                <w:tcW w:w="2518" w:type="dxa"/>
                <w:tcBorders>
                  <w:top w:val="single" w:sz="4" w:space="0" w:color="auto"/>
                </w:tcBorders>
                <w:shd w:val="clear" w:color="auto" w:fill="auto"/>
              </w:tcPr>
              <w:p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(pareigos)</w:t>
                </w:r>
              </w:p>
            </w:tc>
            <w:tc>
              <w:tcPr>
                <w:tcW w:w="284" w:type="dxa"/>
                <w:shd w:val="clear" w:color="auto" w:fill="auto"/>
              </w:tcPr>
              <w:p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</w:tcBorders>
                <w:shd w:val="clear" w:color="auto" w:fill="auto"/>
              </w:tcPr>
              <w:p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(vardas, pavardė)</w:t>
                </w:r>
              </w:p>
            </w:tc>
            <w:tc>
              <w:tcPr>
                <w:tcW w:w="284" w:type="dxa"/>
                <w:shd w:val="clear" w:color="auto" w:fill="auto"/>
              </w:tcPr>
              <w:p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  <w:shd w:val="clear" w:color="auto" w:fill="auto"/>
              </w:tcPr>
              <w:p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(parašas)</w:t>
                </w:r>
              </w:p>
            </w:tc>
            <w:tc>
              <w:tcPr>
                <w:tcW w:w="284" w:type="dxa"/>
                <w:shd w:val="clear" w:color="auto" w:fill="auto"/>
              </w:tcPr>
              <w:p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shd w:val="clear" w:color="auto" w:fill="auto"/>
              </w:tcPr>
              <w:p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(data)</w:t>
                </w:r>
              </w:p>
            </w:tc>
          </w:tr>
        </w:tbl>
        <w:p>
          <w:pPr>
            <w:rPr>
              <w:rFonts w:ascii="Calibri" w:eastAsia="Calibri" w:hAnsi="Calibri"/>
              <w:sz w:val="22"/>
              <w:szCs w:val="22"/>
            </w:rPr>
          </w:pPr>
        </w:p>
        <w:p>
          <w:pPr>
            <w:tabs>
              <w:tab w:val="left" w:pos="2460"/>
            </w:tabs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67" w:right="1134" w:bottom="426" w:left="1134" w:header="567" w:footer="352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132070D1-84C2-4051-BBF9-1B6B982350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2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4" Abbr="4 pr." Title="STUDENTŲ PILIETINIŲ, MOKSLINIŲ, VERSLUMO, KŪRYBINIŲ IR SPORTINIŲ PROJEKTŲ PARAIŠKOS ADMINISTRACINĖS ATITIKTIES VERTINIMO FORMA" DocPartId="838e15f20a554b8db87cf8a6e2a4bb62" PartId="2dab08d828b44f918eac4243325ff2aa"/>
</Parts>
</file>

<file path=customXml/itemProps1.xml><?xml version="1.0" encoding="utf-8"?>
<ds:datastoreItem xmlns:ds="http://schemas.openxmlformats.org/officeDocument/2006/customXml" ds:itemID="{A257DF06-7D31-4789-B95B-371E78F04E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8C519C-26F7-47BA-B22F-0DF589A9E9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56296AD-4767-4727-AB81-51003011F0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93F465E-2531-4AF9-A661-BFF0D0C1B5C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4463A9E-2070-4971-A1F2-07C94B8826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508</Words>
  <Characters>3737</Characters>
  <Application>Microsoft Office Word</Application>
  <DocSecurity>4</DocSecurity>
  <Lines>177</Lines>
  <Paragraphs>68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2024-01-04T11:41:00Z</dcterms:created>
  <dc:creator>Svecias</dc:creator>
  <lastModifiedBy>adlibuser</lastModifiedBy>
  <lastPrinted>2021-01-15T09:23:00Z</lastPrinted>
  <dcterms:modified xsi:type="dcterms:W3CDTF">2024-01-04T11:41:00Z</dcterms:modified>
  <revision>2</revision>
  <dc:title>d20da192-8508-4732-ae9e-cdd4bb2a8da7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