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7391dd086ace4f7b905de76dffe37b07"/>
        <w:lock w:val="sdtLocked"/>
        <w:richText/>
      </w:sdtPr>
      <w:sdtContent>
        <w:p>
          <w:pPr>
            <w:tabs>
              <w:tab w:val="center" w:pos="4986"/>
              <w:tab w:val="right" w:pos="9972"/>
            </w:tabs>
            <w:rPr>
              <w:rFonts w:ascii="Calibri" w:eastAsia="Calibri" w:hAnsi="Calibri"/>
              <w:sz w:val="22"/>
              <w:szCs w:val="22"/>
              <w:lang w:val="en-US"/>
            </w:rPr>
          </w:pPr>
        </w:p>
        <w:p>
          <w:pPr>
            <w:ind w:left="4961"/>
            <w:jc w:val="both"/>
            <w:textAlignment w:val="baseline"/>
            <w:rPr>
              <w:rFonts w:ascii="Calibri" w:eastAsia="Calibri" w:hAnsi="Calibri"/>
              <w:color w:val="000000"/>
              <w:sz w:val="22"/>
              <w:szCs w:val="22"/>
              <w:lang w:val="en-US"/>
            </w:rPr>
          </w:pPr>
          <w:r>
            <w:rPr>
              <w:color w:val="000000"/>
              <w:szCs w:val="24"/>
              <w:lang w:eastAsia="lt-LT"/>
            </w:rPr>
            <w:t>2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2“</w:t>
          </w:r>
        </w:p>
        <w:p>
          <w:pPr>
            <w:ind w:left="4961"/>
            <w:jc w:val="both"/>
            <w:textAlignment w:val="baseline"/>
            <w:rPr>
              <w:color w:val="000000"/>
              <w:szCs w:val="24"/>
              <w:lang w:eastAsia="lt-LT"/>
            </w:rPr>
          </w:pPr>
          <w:sdt>
            <w:sdtPr>
              <w:alias w:val="Numeris"/>
              <w:tag w:val="nr_7391dd086ace4f7b905de76dffe37b07"/>
              <w:lock w:val="sdtLocked"/>
              <w:richText/>
            </w:sdtPr>
            <w:sdtContent>
              <w:r>
                <w:rPr>
                  <w:color w:val="000000"/>
                  <w:szCs w:val="24"/>
                  <w:lang w:eastAsia="lt-LT"/>
                </w:rPr>
                <w:t>2</w:t>
              </w:r>
            </w:sdtContent>
          </w:sdt>
          <w:r>
            <w:rPr>
              <w:color w:val="000000"/>
              <w:szCs w:val="24"/>
              <w:lang w:eastAsia="lt-LT"/>
            </w:rPr>
            <w:t xml:space="preserve"> priedas</w:t>
          </w:r>
        </w:p>
        <w:p>
          <w:pPr>
            <w:spacing w:line="276" w:lineRule="auto"/>
            <w:jc w:val="both"/>
            <w:rPr>
              <w:rFonts w:eastAsia="Calibri"/>
              <w:szCs w:val="24"/>
            </w:rPr>
          </w:pPr>
        </w:p>
        <w:p>
          <w:pPr>
            <w:rPr>
              <w:sz w:val="18"/>
              <w:szCs w:val="18"/>
            </w:rPr>
          </w:pPr>
        </w:p>
        <w:p>
          <w:pPr>
            <w:spacing w:line="276" w:lineRule="auto"/>
            <w:ind w:left="6237"/>
            <w:jc w:val="both"/>
            <w:rPr>
              <w:rFonts w:eastAsia="Calibri"/>
              <w:szCs w:val="24"/>
            </w:rPr>
          </w:pPr>
        </w:p>
        <w:p>
          <w:pPr>
            <w:rPr>
              <w:sz w:val="18"/>
              <w:szCs w:val="18"/>
            </w:rPr>
          </w:pPr>
        </w:p>
        <w:p>
          <w:pPr>
            <w:spacing w:line="276" w:lineRule="auto"/>
            <w:jc w:val="center"/>
            <w:rPr>
              <w:rFonts w:eastAsia="Calibri"/>
              <w:b/>
              <w:szCs w:val="24"/>
            </w:rPr>
          </w:pPr>
          <w:sdt>
            <w:sdtPr>
              <w:alias w:val="Pavadinimas"/>
              <w:tag w:val="title_7391dd086ace4f7b905de76dffe37b07"/>
              <w:lock w:val="sdtLocked"/>
              <w:richText/>
            </w:sdtPr>
            <w:sdtContent>
              <w:r>
                <w:rPr>
                  <w:rFonts w:eastAsia="Calibri"/>
                  <w:b/>
                  <w:szCs w:val="24"/>
                </w:rPr>
                <w:t xml:space="preserve">PAVYZDINIS 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w:t>
          </w:r>
        </w:p>
        <w:p>
          <w:pPr>
            <w:jc w:val="center"/>
            <w:rPr>
              <w:rFonts w:eastAsia="Calibri"/>
              <w:sz w:val="20"/>
            </w:rPr>
          </w:pPr>
          <w:r>
            <w:rPr>
              <w:rFonts w:eastAsia="Calibri"/>
              <w:sz w:val="20"/>
            </w:rPr>
            <w:t>(Data)</w:t>
          </w:r>
        </w:p>
        <w:p>
          <w:pPr>
            <w:jc w:val="right"/>
            <w:rPr>
              <w:rFonts w:eastAsia="Calibri"/>
              <w:szCs w:val="24"/>
            </w:rPr>
          </w:pPr>
        </w:p>
        <w:p>
          <w:pPr>
            <w:jc w:val="right"/>
            <w:rPr>
              <w:rFonts w:eastAsia="Calibri"/>
              <w:szCs w:val="24"/>
            </w:rPr>
          </w:pPr>
          <w:r>
            <w:rPr>
              <w:rFonts w:eastAsia="Calibri"/>
              <w:szCs w:val="24"/>
            </w:rPr>
            <w:t>(Pildoma priemonės veiklos ar poveiklės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6"/>
            <w:gridCol w:w="4966"/>
          </w:tblGrid>
          <w:tr>
            <w:tc>
              <w:tcPr>
                <w:tcW w:w="5094" w:type="dxa"/>
                <w:shd w:val="clear" w:color="auto" w:fill="auto"/>
              </w:tcPr>
              <w:p>
                <w:pPr>
                  <w:rPr>
                    <w:rFonts w:eastAsia="Calibri"/>
                    <w:b/>
                    <w:sz w:val="22"/>
                    <w:szCs w:val="22"/>
                  </w:rPr>
                </w:pPr>
                <w:r>
                  <w:rPr>
                    <w:rFonts w:eastAsia="Calibri"/>
                    <w:b/>
                    <w:sz w:val="22"/>
                    <w:szCs w:val="22"/>
                  </w:rPr>
                  <w:t>Priemonės veiklos ar poveiklės numeris</w:t>
                </w:r>
              </w:p>
            </w:tc>
            <w:tc>
              <w:tcPr>
                <w:tcW w:w="5094" w:type="dxa"/>
                <w:shd w:val="clear" w:color="auto" w:fill="auto"/>
              </w:tcPr>
              <w:p>
                <w:pPr>
                  <w:rPr>
                    <w:rFonts w:eastAsia="Calibri"/>
                    <w:sz w:val="22"/>
                    <w:szCs w:val="22"/>
                  </w:rPr>
                </w:pPr>
                <w:r>
                  <w:rPr>
                    <w:rFonts w:eastAsia="Calibri"/>
                    <w:sz w:val="22"/>
                    <w:szCs w:val="22"/>
                  </w:rPr>
                  <w:t>5 veikla</w:t>
                </w:r>
              </w:p>
            </w:tc>
          </w:tr>
          <w:tr>
            <w:tc>
              <w:tcPr>
                <w:tcW w:w="5094" w:type="dxa"/>
                <w:shd w:val="clear" w:color="auto" w:fill="auto"/>
              </w:tcPr>
              <w:p>
                <w:pPr>
                  <w:rPr>
                    <w:rFonts w:eastAsia="Calibri"/>
                    <w:b/>
                    <w:sz w:val="22"/>
                    <w:szCs w:val="22"/>
                  </w:rPr>
                </w:pPr>
                <w:r>
                  <w:rPr>
                    <w:rFonts w:eastAsia="Calibri"/>
                    <w:b/>
                    <w:sz w:val="22"/>
                    <w:szCs w:val="22"/>
                  </w:rPr>
                  <w:t>Priemonės veiklos ar poveiklės pavadinimas</w:t>
                </w:r>
              </w:p>
            </w:tc>
            <w:tc>
              <w:tcPr>
                <w:tcW w:w="5094" w:type="dxa"/>
                <w:shd w:val="clear" w:color="auto" w:fill="auto"/>
              </w:tcPr>
              <w:p>
                <w:pPr>
                  <w:rPr>
                    <w:rFonts w:eastAsia="Calibri"/>
                    <w:sz w:val="22"/>
                    <w:szCs w:val="22"/>
                  </w:rPr>
                </w:pPr>
                <w:r>
                  <w:rPr>
                    <w:rFonts w:eastAsia="Calibri"/>
                    <w:sz w:val="22"/>
                    <w:szCs w:val="22"/>
                  </w:rPr>
                  <w:t>Įveiklinti sektorinių praktinio mokymo centrų sistemą įgyvendinant nacionalinio mobilumo programą</w:t>
                </w:r>
              </w:p>
            </w:tc>
          </w:tr>
          <w:tr>
            <w:tc>
              <w:tcPr>
                <w:tcW w:w="5094" w:type="dxa"/>
                <w:shd w:val="clear" w:color="auto" w:fill="auto"/>
              </w:tcPr>
              <w:p>
                <w:pPr>
                  <w:rPr>
                    <w:rFonts w:eastAsia="Calibri"/>
                    <w:b/>
                    <w:sz w:val="22"/>
                    <w:szCs w:val="22"/>
                  </w:rPr>
                </w:pPr>
                <w:r>
                  <w:rPr>
                    <w:rFonts w:eastAsia="Calibri"/>
                    <w:b/>
                    <w:sz w:val="22"/>
                    <w:szCs w:val="22"/>
                  </w:rPr>
                  <w:t>Už priemonę atsakinga ministerija (-os) (paramos/pagalbos teikėjas)</w:t>
                </w:r>
              </w:p>
            </w:tc>
            <w:tc>
              <w:tcPr>
                <w:tcW w:w="5094" w:type="dxa"/>
                <w:shd w:val="clear" w:color="auto" w:fill="auto"/>
              </w:tcPr>
              <w:p>
                <w:pPr>
                  <w:rPr>
                    <w:rFonts w:eastAsia="Calibri"/>
                    <w:iCs/>
                    <w:sz w:val="22"/>
                    <w:szCs w:val="22"/>
                  </w:rPr>
                </w:pPr>
                <w:r>
                  <w:rPr>
                    <w:rFonts w:eastAsia="Calibri"/>
                    <w:iCs/>
                    <w:sz w:val="22"/>
                    <w:szCs w:val="22"/>
                  </w:rPr>
                  <w:t>Lietuvos Respublikos švietimo, mokslo ir sporto ministerija (toliau – ŠMSM)</w:t>
                </w:r>
              </w:p>
            </w:tc>
          </w:tr>
          <w:tr>
            <w:tc>
              <w:tcPr>
                <w:tcW w:w="5094" w:type="dxa"/>
                <w:shd w:val="clear" w:color="auto" w:fill="auto"/>
              </w:tcPr>
              <w:p>
                <w:pPr>
                  <w:rPr>
                    <w:rFonts w:eastAsia="Calibri"/>
                    <w:b/>
                    <w:sz w:val="22"/>
                    <w:szCs w:val="22"/>
                  </w:rPr>
                </w:pPr>
                <w:r>
                  <w:rPr>
                    <w:rFonts w:eastAsia="Calibri"/>
                    <w:b/>
                    <w:sz w:val="22"/>
                    <w:szCs w:val="22"/>
                  </w:rPr>
                  <w:t>Pagal priemonės veiklą ar poveiklę numatytos remti veiklos</w:t>
                </w:r>
              </w:p>
            </w:tc>
            <w:tc>
              <w:tcPr>
                <w:tcW w:w="5094" w:type="dxa"/>
                <w:shd w:val="clear" w:color="auto" w:fill="auto"/>
              </w:tcPr>
              <w:p>
                <w:pPr>
                  <w:rPr>
                    <w:rFonts w:eastAsia="Calibri"/>
                    <w:iCs/>
                    <w:sz w:val="22"/>
                    <w:szCs w:val="22"/>
                  </w:rPr>
                </w:pPr>
                <w:r>
                  <w:rPr>
                    <w:rFonts w:eastAsia="Calibri"/>
                    <w:iCs/>
                    <w:sz w:val="22"/>
                    <w:szCs w:val="22"/>
                  </w:rPr>
                  <w:t>Asmenų, besimokančių pagal formaliojo profesinio mokymo programas, praktinis mokymas sektoriniame praktinio mokymo centre</w:t>
                </w:r>
              </w:p>
            </w:tc>
          </w:tr>
          <w:tr>
            <w:trPr>
              <w:trHeight w:val="60"/>
            </w:trPr>
            <w:tc>
              <w:tcPr>
                <w:tcW w:w="5094" w:type="dxa"/>
                <w:shd w:val="clear" w:color="auto" w:fill="auto"/>
              </w:tcPr>
              <w:p>
                <w:pPr>
                  <w:rPr>
                    <w:rFonts w:eastAsia="Calibri"/>
                    <w:b/>
                    <w:sz w:val="22"/>
                    <w:szCs w:val="22"/>
                  </w:rPr>
                </w:pPr>
                <w:r>
                  <w:rPr>
                    <w:rFonts w:eastAsia="Calibri"/>
                    <w:b/>
                    <w:sz w:val="22"/>
                    <w:szCs w:val="22"/>
                  </w:rPr>
                  <w:t>Galimi pareiškėjai/partneriai pagal priemonę ar poveiklę</w:t>
                </w:r>
              </w:p>
            </w:tc>
            <w:tc>
              <w:tcPr>
                <w:tcW w:w="5094" w:type="dxa"/>
                <w:shd w:val="clear" w:color="auto" w:fill="auto"/>
              </w:tcPr>
              <w:p>
                <w:pPr>
                  <w:rPr>
                    <w:rFonts w:eastAsia="Calibri"/>
                    <w:color w:val="000000"/>
                    <w:sz w:val="22"/>
                    <w:szCs w:val="22"/>
                  </w:rPr>
                </w:pPr>
                <w:r>
                  <w:rPr>
                    <w:rFonts w:eastAsia="Calibri"/>
                    <w:b/>
                    <w:bCs/>
                    <w:color w:val="000000"/>
                    <w:sz w:val="22"/>
                    <w:szCs w:val="22"/>
                  </w:rPr>
                  <w:t>Jungtinio projekto pareiškėjas</w:t>
                </w:r>
                <w:r>
                  <w:rPr>
                    <w:rFonts w:eastAsia="Calibri"/>
                    <w:color w:val="000000"/>
                    <w:sz w:val="22"/>
                    <w:szCs w:val="22"/>
                  </w:rPr>
                  <w:t xml:space="preserve"> – Europos socialinio fondo agentūra </w:t>
                </w:r>
              </w:p>
              <w:p>
                <w:pPr>
                  <w:rPr>
                    <w:rFonts w:eastAsia="Calibri"/>
                    <w:i/>
                    <w:sz w:val="22"/>
                    <w:szCs w:val="22"/>
                  </w:rPr>
                </w:pPr>
                <w:r>
                  <w:rPr>
                    <w:rFonts w:eastAsia="Calibri"/>
                    <w:b/>
                    <w:bCs/>
                    <w:color w:val="000000"/>
                    <w:sz w:val="22"/>
                    <w:szCs w:val="22"/>
                  </w:rPr>
                  <w:t>Jungtinio projekto projektų pareiškėjai</w:t>
                </w:r>
                <w:r>
                  <w:rPr>
                    <w:rFonts w:eastAsia="Calibri"/>
                    <w:color w:val="000000"/>
                    <w:sz w:val="22"/>
                    <w:szCs w:val="22"/>
                  </w:rPr>
                  <w:t xml:space="preserve"> – profesinio mokymo įstaigos, kuriose ŠMSM įgyvendina savininko (dalininko) teises ir pareigas.</w:t>
                </w:r>
              </w:p>
            </w:tc>
          </w:tr>
        </w:tbl>
        <w:p>
          <w:pPr>
            <w:spacing w:line="276" w:lineRule="auto"/>
            <w:rPr>
              <w:rFonts w:eastAsia="Calibri"/>
              <w:szCs w:val="24"/>
            </w:rPr>
          </w:pPr>
        </w:p>
        <w:p>
          <w:pPr>
            <w:rPr>
              <w:sz w:val="18"/>
              <w:szCs w:val="18"/>
            </w:rPr>
          </w:pPr>
        </w:p>
        <w:p>
          <w:pPr>
            <w:jc w:val="right"/>
            <w:rPr>
              <w:rFonts w:eastAsia="Calibri"/>
              <w:szCs w:val="24"/>
            </w:rPr>
          </w:pPr>
          <w:r>
            <w:rPr>
              <w:rFonts w:eastAsia="Calibri"/>
              <w:szCs w:val="24"/>
            </w:rPr>
            <w:t>(Pildoma projekto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4588"/>
            <w:gridCol w:w="1259"/>
            <w:gridCol w:w="1247"/>
            <w:gridCol w:w="2231"/>
          </w:tblGrid>
          <w:tr>
            <w:tc>
              <w:tcPr>
                <w:tcW w:w="5000" w:type="pct"/>
                <w:gridSpan w:val="5"/>
                <w:shd w:val="pct20" w:color="auto" w:fill="auto"/>
              </w:tcPr>
              <w:p>
                <w:pPr>
                  <w:ind w:left="567" w:hanging="360"/>
                  <w:rPr>
                    <w:rFonts w:eastAsia="Calibri"/>
                    <w:b/>
                    <w:sz w:val="22"/>
                    <w:szCs w:val="22"/>
                    <w:lang w:val="en-US"/>
                  </w:rPr>
                </w:pPr>
                <w:r>
                  <w:rPr>
                    <w:rFonts w:eastAsia="Calibri"/>
                    <w:b/>
                    <w:sz w:val="22"/>
                    <w:szCs w:val="22"/>
                  </w:rPr>
                  <w:t>I.</w:t>
                  <w:tab/>
                </w:r>
                <w:r>
                  <w:rPr>
                    <w:rFonts w:eastAsia="Calibri"/>
                    <w:b/>
                    <w:sz w:val="22"/>
                    <w:szCs w:val="22"/>
                    <w:lang w:val="en-US"/>
                  </w:rPr>
                  <w:t>Valstybės pagalbos požymių identifikavimas pagal priemonės veiklą ar poveiklę / projektą remtinose veiklose</w:t>
                </w:r>
                <w:r>
                  <w:rPr>
                    <w:rFonts w:eastAsia="Calibri"/>
                    <w:b/>
                    <w:sz w:val="22"/>
                    <w:szCs w:val="22"/>
                    <w:vertAlign w:val="superscript"/>
                    <w:lang w:val="en-US"/>
                  </w:rPr>
                  <w:footnoteReference w:id="1"/>
                </w:r>
              </w:p>
            </w:tc>
          </w:tr>
          <w:tr>
            <w:tc>
              <w:tcPr>
                <w:tcW w:w="319" w:type="pct"/>
                <w:shd w:val="clear" w:color="auto" w:fill="auto"/>
              </w:tcPr>
              <w:p>
                <w:pPr>
                  <w:ind w:left="360" w:hanging="360"/>
                  <w:rPr>
                    <w:rFonts w:eastAsia="Calibri"/>
                    <w:b/>
                    <w:sz w:val="22"/>
                    <w:szCs w:val="22"/>
                    <w:lang w:val="en-US"/>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2"/>
                </w:r>
                <w:r>
                  <w:rPr>
                    <w:rFonts w:eastAsia="Calibri"/>
                    <w:sz w:val="22"/>
                    <w:szCs w:val="22"/>
                  </w:rPr>
                  <w:t xml:space="preserve"> arba kai valstybės sektoriaus subjektai veikia „kaip valdžios institucijos“</w:t>
                </w:r>
                <w:r>
                  <w:rPr>
                    <w:rFonts w:eastAsia="Calibri"/>
                    <w:sz w:val="22"/>
                    <w:szCs w:val="22"/>
                    <w:vertAlign w:val="superscript"/>
                  </w:rPr>
                  <w:footnoteReference w:id="3"/>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Cs/>
                    <w:sz w:val="22"/>
                    <w:szCs w:val="22"/>
                  </w:rPr>
                </w:pPr>
                <w:r>
                  <w:rPr>
                    <w:rFonts w:eastAsia="Calibri"/>
                    <w:iCs/>
                    <w:sz w:val="22"/>
                    <w:szCs w:val="22"/>
                  </w:rPr>
                  <w:t>Jungtinio projekto pareiškėjas, t. y. ESFA, yra pagal Lietuvos Respublikos viešųjų įstaigų įstatymą ir kitus teisės aktus įsteigtas pelno nesiekiantis ribotos atsakomybės viešasis juridinis asmuo. ESFA steigėja yra valstybė. ESFA dalininkų funkcijas įgyvendina Lietuvos Respublikos socialinės apsaugos ir darbo ministerija bei Lietuvos Respublikos švietimo, mokslo ir sporto ministerija. ESFA nevykdo ūkinės komercinės veiklos. Vykdydama pavestas funkcijas, ESFA padeda ŠMSM įgyvendinti valstybinę švietimo politiką.</w:t>
                </w:r>
              </w:p>
              <w:p>
                <w:pPr>
                  <w:jc w:val="both"/>
                  <w:rPr>
                    <w:rFonts w:eastAsia="Calibri"/>
                    <w:iCs/>
                    <w:sz w:val="22"/>
                    <w:szCs w:val="22"/>
                  </w:rPr>
                </w:pPr>
                <w:r>
                  <w:rPr>
                    <w:rFonts w:eastAsia="Calibri"/>
                    <w:iCs/>
                    <w:sz w:val="22"/>
                    <w:szCs w:val="22"/>
                  </w:rPr>
                  <w:t>Jungtinio projekto projektų pareiškėjais bus profesinio mokymo įstaigos, veikiančios švietimo srityje, kuriose ŠMSM įgyvendina savininko (dalininko) teises ir pareigas. Pagal šią priemonę remiamos tik formaliojo švietimo veiklos. Europos Komisijos komunikate dėl valstybės pagalbos sąvokos nurodyta, jog valstybinis švietimas, organizuojamas pagal nacionalinę švietimo sistemą, kurią finansuoja ir prižiūri valstybė, gali būti laikomas neekonomine veikla. Teisingumo Teismas nusprendė, kad valstybė, „nustatydama ir išlaikydama tokią viešojo švietimo sistemą, kuri, paprastai, finansuojama iš viešojo biudžeto, o ne mokinių ar jų tėvų, [...] neketina verstis veikla už užmokestį, o atlieka socialinę, kultūrinę ir švietimo funkciją savo visuomenės atžvilgiu“.</w:t>
                </w:r>
              </w:p>
              <w:p>
                <w:pPr>
                  <w:jc w:val="both"/>
                  <w:rPr>
                    <w:rFonts w:eastAsia="Calibri"/>
                    <w:i/>
                    <w:iCs/>
                    <w:sz w:val="22"/>
                    <w:szCs w:val="22"/>
                    <w:u w:val="single"/>
                  </w:rPr>
                </w:pPr>
                <w:r>
                  <w:rPr>
                    <w:rFonts w:eastAsia="Calibri"/>
                    <w:iCs/>
                    <w:sz w:val="22"/>
                    <w:szCs w:val="22"/>
                  </w:rPr>
                  <w:t xml:space="preserve">Profesinio mokymo įstaigos yra nacionalinės švietimo sistemos dalyviai, kurių veiklą dažniausia finansuoja ir prižiūri valstybė. Jungtinio projekto pareiškėjo vienas iš veiklos tikslų – tenkinant viešuosius interesus administruoti ir vykdyti žmogiškųjų išteklių programas ir projektus švietimo srityje. Atsižvelgiant į tai, jungtinio projekto pareiškėjas, t. y. ESFA, jungtinio projekto projektų pareiškėjai – profesinio mokymo įstaigos, neveikia kaip ūkio subjektai ir jų veikla nelaikytina ūkine veikla. </w:t>
                </w:r>
              </w:p>
            </w:tc>
          </w:tr>
          <w:tr>
            <w:tc>
              <w:tcPr>
                <w:tcW w:w="319" w:type="pct"/>
                <w:shd w:val="clear" w:color="auto" w:fill="auto"/>
              </w:tcPr>
              <w:p>
                <w:pPr>
                  <w:ind w:left="360" w:hanging="360"/>
                  <w:rPr>
                    <w:rFonts w:eastAsia="Calibri"/>
                    <w:b/>
                    <w:sz w:val="22"/>
                    <w:szCs w:val="22"/>
                    <w:lang w:val="en-US"/>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4"/>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5"/>
                </w:r>
                <w:r>
                  <w:rPr>
                    <w:rFonts w:eastAsia="Calibri"/>
                    <w:i/>
                    <w:sz w:val="22"/>
                    <w:szCs w:val="22"/>
                  </w:rPr>
                  <w:t xml:space="preserve"> </w:t>
                </w:r>
                <w:r>
                  <w:rPr>
                    <w:rFonts w:eastAsia="Calibri"/>
                    <w:sz w:val="22"/>
                    <w:szCs w:val="22"/>
                  </w:rPr>
                  <w:t>kriterijus. Ūkio subjektui nėra suteikiama išskirtinė ekonominė nauda, jeigu:</w:t>
                </w:r>
              </w:p>
              <w:p>
                <w:pPr>
                  <w:ind w:left="644" w:hanging="360"/>
                  <w:jc w:val="both"/>
                  <w:rPr>
                    <w:rFonts w:eastAsia="Calibri"/>
                    <w:sz w:val="22"/>
                    <w:szCs w:val="22"/>
                    <w:lang w:val="en-US"/>
                  </w:rPr>
                </w:pPr>
                <w:r>
                  <w:rPr>
                    <w:b/>
                    <w:sz w:val="28"/>
                    <w:szCs w:val="22"/>
                  </w:rPr>
                  <w:t>-</w:t>
                  <w:tab/>
                </w:r>
                <w:r>
                  <w:rPr>
                    <w:rFonts w:eastAsia="Calibri"/>
                    <w:sz w:val="22"/>
                    <w:szCs w:val="22"/>
                    <w:lang w:val="en-US"/>
                  </w:rPr>
                  <w:t>veikla atitinka visuotinės ekonominės svarbos paslaugų požymius</w:t>
                </w:r>
                <w:r>
                  <w:rPr>
                    <w:rFonts w:eastAsia="Calibri"/>
                    <w:sz w:val="22"/>
                    <w:szCs w:val="22"/>
                    <w:vertAlign w:val="superscript"/>
                    <w:lang w:val="en-US"/>
                  </w:rPr>
                  <w:footnoteReference w:id="6"/>
                </w:r>
                <w:r>
                  <w:rPr>
                    <w:rFonts w:eastAsia="Calibri"/>
                    <w:sz w:val="22"/>
                    <w:szCs w:val="22"/>
                    <w:lang w:val="en-US"/>
                  </w:rPr>
                  <w:t>, jos užduotys ir įpareigojimai aiškiai apibrėžti;</w:t>
                </w:r>
              </w:p>
              <w:p>
                <w:pPr>
                  <w:ind w:left="644" w:hanging="360"/>
                  <w:jc w:val="both"/>
                  <w:rPr>
                    <w:rFonts w:eastAsia="Calibri"/>
                    <w:sz w:val="22"/>
                    <w:szCs w:val="22"/>
                    <w:lang w:val="en-US"/>
                  </w:rPr>
                </w:pPr>
                <w:r>
                  <w:rPr>
                    <w:b/>
                    <w:sz w:val="28"/>
                    <w:szCs w:val="22"/>
                  </w:rPr>
                  <w:t>-</w:t>
                  <w:tab/>
                </w:r>
                <w:r>
                  <w:rPr>
                    <w:rFonts w:eastAsia="Calibri"/>
                    <w:sz w:val="22"/>
                    <w:szCs w:val="22"/>
                    <w:lang w:val="en-US"/>
                  </w:rPr>
                  <w:t>viešųjų paslaugos išlaidų kompensavimo kriterijai objektyvūs, skaidrūs ir nustatyti iš anksto;</w:t>
                </w:r>
              </w:p>
              <w:p>
                <w:pPr>
                  <w:ind w:left="644" w:hanging="360"/>
                  <w:jc w:val="both"/>
                  <w:rPr>
                    <w:rFonts w:eastAsia="Calibri"/>
                    <w:sz w:val="22"/>
                    <w:szCs w:val="22"/>
                    <w:lang w:val="en-US"/>
                  </w:rPr>
                </w:pPr>
                <w:r>
                  <w:rPr>
                    <w:b/>
                    <w:sz w:val="28"/>
                    <w:szCs w:val="22"/>
                  </w:rPr>
                  <w:t>-</w:t>
                  <w:tab/>
                </w:r>
                <w:r>
                  <w:rPr>
                    <w:rFonts w:eastAsia="Calibri"/>
                    <w:sz w:val="22"/>
                    <w:szCs w:val="22"/>
                    <w:lang w:val="en-US"/>
                  </w:rPr>
                  <w:t xml:space="preserve">kompensacija neviršija grynųjų paslaugos teikimo sąnaudų, įskaitant pagrįstą pelną (t. y. kompensuojama nepermokant); ir </w:t>
                </w:r>
              </w:p>
              <w:p>
                <w:pPr>
                  <w:ind w:left="644" w:hanging="360"/>
                  <w:jc w:val="both"/>
                  <w:rPr>
                    <w:rFonts w:eastAsia="Calibri"/>
                    <w:sz w:val="22"/>
                    <w:szCs w:val="22"/>
                    <w:lang w:val="en-US"/>
                  </w:rPr>
                </w:pPr>
                <w:r>
                  <w:rPr>
                    <w:b/>
                    <w:sz w:val="28"/>
                    <w:szCs w:val="22"/>
                  </w:rPr>
                  <w:t>-</w:t>
                  <w:tab/>
                </w:r>
                <w:r>
                  <w:rPr>
                    <w:rFonts w:eastAsia="Calibri"/>
                    <w:sz w:val="22"/>
                    <w:szCs w:val="22"/>
                    <w:lang w:val="en-US"/>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ind w:left="360" w:hanging="360"/>
                  <w:rPr>
                    <w:rFonts w:eastAsia="Calibri"/>
                    <w:b/>
                    <w:sz w:val="22"/>
                    <w:szCs w:val="22"/>
                    <w:lang w:val="en-US"/>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ind w:left="360" w:hanging="360"/>
                  <w:rPr>
                    <w:rFonts w:eastAsia="Calibri"/>
                    <w:b/>
                    <w:sz w:val="22"/>
                    <w:szCs w:val="22"/>
                    <w:lang w:val="en-US"/>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ind w:left="720" w:hanging="360"/>
                  <w:jc w:val="both"/>
                  <w:rPr>
                    <w:rFonts w:eastAsia="Calibri"/>
                    <w:b/>
                    <w:sz w:val="22"/>
                    <w:szCs w:val="22"/>
                    <w:lang w:val="en-US"/>
                  </w:rPr>
                </w:pPr>
                <w:r>
                  <w:rPr>
                    <w:rFonts w:eastAsia="Calibri"/>
                    <w:b/>
                    <w:sz w:val="22"/>
                    <w:szCs w:val="22"/>
                  </w:rPr>
                  <w:t>II.</w:t>
                  <w:tab/>
                </w:r>
                <w:r>
                  <w:rPr>
                    <w:rFonts w:eastAsia="Calibri"/>
                    <w:b/>
                    <w:sz w:val="22"/>
                    <w:szCs w:val="22"/>
                    <w:lang w:val="en-US"/>
                  </w:rPr>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w:t>
                </w:r>
                <w:r>
                  <w:rPr>
                    <w:rFonts w:eastAsia="Calibri"/>
                    <w:i/>
                    <w:sz w:val="22"/>
                    <w:szCs w:val="22"/>
                  </w:rPr>
                  <w:t>/ 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Cs/>
                    <w:sz w:val="22"/>
                    <w:szCs w:val="22"/>
                  </w:rPr>
                </w:pPr>
                <w:r>
                  <w:rPr>
                    <w:rFonts w:eastAsia="Calibri"/>
                    <w:iCs/>
                    <w:sz w:val="22"/>
                    <w:szCs w:val="22"/>
                  </w:rPr>
                  <w:t>Išvada pasirinkta atsižvelgiant į tai, kad kriterijus Nr. 1 įvertintas neigiamai.</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701"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lang w:val="en-US"/>
        </w:rPr>
      </w:pPr>
      <w:r>
        <w:rPr>
          <w:rFonts w:ascii="Calibri" w:eastAsia="Calibri" w:hAnsi="Calibri"/>
          <w:sz w:val="22"/>
          <w:szCs w:val="22"/>
          <w:lang w:val="en-US"/>
        </w:rPr>
        <w:separator/>
      </w:r>
    </w:p>
  </w:endnote>
  <w:end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rFonts w:ascii="Calibri" w:eastAsia="Calibri" w:hAnsi="Calibri"/>
        <w:sz w:val="22"/>
        <w:szCs w:val="22"/>
        <w:lang w:val="en-US"/>
      </w:rPr>
    </w:pPr>
  </w:p>
  <w:p>
    <w:pPr>
      <w:tabs>
        <w:tab w:val="center" w:pos="4986"/>
        <w:tab w:val="right" w:pos="9972"/>
      </w:tabs>
      <w:rPr>
        <w:rFonts w:ascii="Calibri" w:eastAsia="Calibri" w:hAnsi="Calibri"/>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lang w:val="en-US"/>
        </w:rPr>
      </w:pPr>
      <w:r>
        <w:rPr>
          <w:rFonts w:ascii="Calibri" w:eastAsia="Calibri" w:hAnsi="Calibri"/>
          <w:sz w:val="22"/>
          <w:szCs w:val="22"/>
          <w:lang w:val="en-US"/>
        </w:rPr>
        <w:separator/>
      </w:r>
    </w:p>
  </w:footnote>
  <w:foot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footnote>
  <w:footnote w:id="1">
    <w:p>
      <w:pPr>
        <w:rPr>
          <w:rFonts w:ascii="Calibri" w:eastAsia="Calibri" w:hAnsi="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sz w:val="20"/>
        </w:rPr>
        <w:t>Commission Notice on the notion of State aid pursuant to Article 107(1</w:t>
      </w:r>
      <w:r>
        <w:rPr>
          <w:rFonts w:eastAsia="Calibri"/>
          <w:sz w:val="20"/>
        </w:rPr>
        <w:t>) TFEU, jei taikoma.</w:t>
      </w:r>
    </w:p>
  </w:footnote>
  <w:footnote w:id="2">
    <w:p>
      <w:pPr>
        <w:jc w:val="both"/>
        <w:rPr>
          <w:rFonts w:eastAsia="Calibri"/>
          <w:sz w:val="20"/>
        </w:rPr>
      </w:pPr>
      <w:r>
        <w:rPr>
          <w:rFonts w:ascii="Calibri" w:eastAsia="Calibri" w:hAnsi="Calibri"/>
          <w:sz w:val="20"/>
          <w:vertAlign w:val="superscript"/>
        </w:rPr>
        <w:footnoteRef/>
      </w:r>
      <w:r>
        <w:rPr>
          <w:rFonts w:eastAsia="Calibri"/>
          <w:sz w:val="20"/>
        </w:rPr>
        <w:t xml:space="preserve"> Plačiau su šia sąvoka galima susipažinti 1987 m. birželio 16 d. Teisingumo Teismo sprendimo </w:t>
      </w:r>
      <w:r>
        <w:rPr>
          <w:rFonts w:eastAsia="Calibri"/>
          <w:i/>
          <w:sz w:val="20"/>
        </w:rPr>
        <w:t>Komisija prieš Italiją</w:t>
      </w:r>
      <w:r>
        <w:rPr>
          <w:rFonts w:eastAsia="Calibri"/>
          <w:sz w:val="20"/>
        </w:rPr>
        <w:t>,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3">
    <w:p>
      <w:pPr>
        <w:jc w:val="both"/>
        <w:rPr>
          <w:rFonts w:ascii="Calibri" w:eastAsia="Calibri" w:hAnsi="Calibri"/>
          <w:sz w:val="20"/>
        </w:rPr>
      </w:pPr>
      <w:r>
        <w:rPr>
          <w:rFonts w:eastAsia="Calibri"/>
          <w:sz w:val="20"/>
          <w:vertAlign w:val="superscript"/>
        </w:rPr>
        <w:footnoteRef/>
      </w:r>
      <w:r>
        <w:rPr>
          <w:rFonts w:eastAsia="Calibri"/>
          <w:sz w:val="20"/>
        </w:rPr>
        <w:t xml:space="preserve"> Plačiau su šia sąvoka galima susipažinti 1988 m. gegužės 4 d. Teisingumo Teismo sprendimo </w:t>
      </w:r>
      <w:r>
        <w:rPr>
          <w:rFonts w:eastAsia="Calibri"/>
          <w:i/>
          <w:sz w:val="20"/>
        </w:rPr>
        <w:t>Bodson</w:t>
      </w:r>
      <w:r>
        <w:rPr>
          <w:rFonts w:eastAsia="Calibri"/>
          <w:sz w:val="20"/>
        </w:rPr>
        <w:t>, 30/87,ECLI:EU:C:1988:225, 18 punkte.</w:t>
      </w:r>
    </w:p>
  </w:footnote>
  <w:footnote w:id="4">
    <w:p>
      <w:pPr>
        <w:jc w:val="both"/>
        <w:rPr>
          <w:rFonts w:eastAsia="Calibri"/>
          <w:sz w:val="20"/>
        </w:rPr>
      </w:pPr>
      <w:r>
        <w:rPr>
          <w:rFonts w:eastAsia="Calibri"/>
          <w:sz w:val="20"/>
          <w:vertAlign w:val="superscript"/>
        </w:rPr>
        <w:footnoteRef/>
      </w:r>
      <w:r>
        <w:rPr>
          <w:rFonts w:eastAsia="Calibri"/>
          <w:sz w:val="20"/>
        </w:rPr>
        <w:t xml:space="preserve"> Plačiau žiūrėti čia: </w:t>
      </w:r>
      <w:r>
        <w:rPr>
          <w:rFonts w:eastAsia="Calibri"/>
          <w:color w:val="0000FF"/>
          <w:sz w:val="20"/>
          <w:u w:val="single"/>
        </w:rPr>
        <w:t>http://ec.europa.eu/competition/state_aid/overview/public_services_en.html</w:t>
      </w:r>
      <w:r>
        <w:rPr>
          <w:rFonts w:eastAsia="Calibri"/>
          <w:sz w:val="20"/>
        </w:rPr>
        <w:t xml:space="preserve">. </w:t>
      </w:r>
    </w:p>
  </w:footnote>
  <w:footnote w:id="5">
    <w:p>
      <w:pPr>
        <w:jc w:val="both"/>
        <w:rPr>
          <w:rFonts w:eastAsia="Calibri"/>
          <w:sz w:val="20"/>
        </w:rPr>
      </w:pPr>
      <w:r>
        <w:rPr>
          <w:rFonts w:eastAsia="Calibri"/>
          <w:sz w:val="20"/>
          <w:vertAlign w:val="superscript"/>
        </w:rPr>
        <w:footnoteRef/>
      </w:r>
      <w:r>
        <w:rPr>
          <w:rFonts w:eastAsia="Calibri"/>
          <w:sz w:val="20"/>
        </w:rPr>
        <w:t xml:space="preserve"> Palčiau galima susipažinti </w:t>
      </w:r>
      <w:r>
        <w:rPr>
          <w:rFonts w:eastAsia="Calibri"/>
          <w:color w:val="0000FF"/>
          <w:sz w:val="20"/>
          <w:u w:val="single"/>
        </w:rPr>
        <w:t xml:space="preserve">Europos Sąjungos Teisingumo Teismo 2003 m. liepos 24 d. sprendime </w:t>
      </w:r>
      <w:r>
        <w:rPr>
          <w:rFonts w:eastAsia="Calibri"/>
          <w:i/>
          <w:iCs/>
          <w:color w:val="0000FF"/>
          <w:sz w:val="20"/>
          <w:u w:val="single"/>
        </w:rPr>
        <w:t>Altmark</w:t>
      </w:r>
      <w:r>
        <w:rPr>
          <w:rFonts w:eastAsia="Calibri"/>
          <w:color w:val="0000FF"/>
          <w:sz w:val="20"/>
          <w:u w:val="single"/>
        </w:rPr>
        <w:t>, C‑280/00, EU:C:2003:415.</w:t>
      </w:r>
      <w:r>
        <w:rPr>
          <w:rFonts w:eastAsia="Calibri"/>
          <w:sz w:val="20"/>
        </w:rPr>
        <w:t xml:space="preserve"> </w:t>
      </w:r>
    </w:p>
  </w:footnote>
  <w:footnote w:id="6">
    <w:p>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FF"/>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rFonts w:ascii="Calibri" w:eastAsia="Calibri" w:hAnsi="Calibri"/>
        <w:sz w:val="22"/>
        <w:szCs w:val="22"/>
        <w:lang w:val="en-US"/>
      </w:rPr>
    </w:pPr>
    <w:r>
      <w:rPr>
        <w:rFonts w:ascii="Calibri" w:eastAsia="Calibri" w:hAnsi="Calibri"/>
        <w:sz w:val="22"/>
        <w:szCs w:val="22"/>
        <w:lang w:val="en-US"/>
      </w:rPr>
      <w:fldChar w:fldCharType="begin"/>
    </w:r>
    <w:r>
      <w:rPr>
        <w:rFonts w:ascii="Calibri" w:eastAsia="Calibri" w:hAnsi="Calibri"/>
        <w:sz w:val="22"/>
        <w:szCs w:val="22"/>
        <w:lang w:val="en-US"/>
      </w:rPr>
      <w:instrText>PAGE   \* MERGEFORMAT</w:instrText>
    </w:r>
    <w:r>
      <w:rPr>
        <w:rFonts w:ascii="Calibri" w:eastAsia="Calibri" w:hAnsi="Calibri"/>
        <w:sz w:val="22"/>
        <w:szCs w:val="22"/>
        <w:lang w:val="en-US"/>
      </w:rPr>
      <w:fldChar w:fldCharType="separate"/>
    </w:r>
    <w:r>
      <w:rPr>
        <w:rFonts w:ascii="Calibri" w:eastAsia="Calibri" w:hAnsi="Calibri"/>
        <w:sz w:val="22"/>
        <w:szCs w:val="22"/>
      </w:rPr>
      <w:t>5</w:t>
    </w:r>
    <w:r>
      <w:rPr>
        <w:rFonts w:ascii="Calibri" w:eastAsia="Calibri" w:hAnsi="Calibri"/>
        <w:sz w:val="22"/>
        <w:szCs w:val="22"/>
        <w:lang w:val="en-US"/>
      </w:rPr>
      <w:fldChar w:fldCharType="end"/>
    </w:r>
  </w:p>
  <w:p>
    <w:pPr>
      <w:tabs>
        <w:tab w:val="center" w:pos="4986"/>
        <w:tab w:val="right" w:pos="9972"/>
      </w:tabs>
      <w:rPr>
        <w:rFonts w:ascii="Calibri" w:eastAsia="Calibri" w:hAnsi="Calibri"/>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6FC52B2-D246-491D-972B-1733BE3310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 Abbr="2 pr." Title="PAVYZDINIS PATIKROS LAPAS DĖL VALSTYBĖS PAGALBOS IR DE MINIMIS PAGALBOS BUVIMO AR NEBUVIMO" DocPartId="310ed2b5042c40299ab2905d5ed79ac8" PartId="7391dd086ace4f7b905de76dffe37b07"/>
</Parts>
</file>

<file path=customXml/itemProps1.xml><?xml version="1.0" encoding="utf-8"?>
<ds:datastoreItem xmlns:ds="http://schemas.openxmlformats.org/officeDocument/2006/customXml" ds:itemID="{6D5E549A-ED71-4AAA-BD71-D90D8BB0CE0E}">
  <ds:schemaRefs>
    <ds:schemaRef ds:uri="http://schemas.openxmlformats.org/package/2006/metadata/core-properties"/>
    <ds:schemaRef ds:uri="http://www.w3.org/XML/1998/namespace"/>
    <ds:schemaRef ds:uri="http://schemas.microsoft.com/office/2006/documentManagement/types"/>
    <ds:schemaRef ds:uri="http://purl.org/dc/dcmitype/"/>
    <ds:schemaRef ds:uri="http://purl.org/dc/terms/"/>
    <ds:schemaRef ds:uri="http://schemas.microsoft.com/office/infopath/2007/PartnerControl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0461BC24-D3EF-4EC7-811B-ECA636CD3B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8D8EC0A-DAE7-4E5C-B223-DE6B263E7BE7}">
  <ds:schemaRefs>
    <ds:schemaRef ds:uri="http://schemas.microsoft.com/sharepoint/v3/contenttype/forms"/>
  </ds:schemaRefs>
</ds:datastoreItem>
</file>

<file path=customXml/itemProps4.xml><?xml version="1.0" encoding="utf-8"?>
<ds:datastoreItem xmlns:ds="http://schemas.openxmlformats.org/officeDocument/2006/customXml" ds:itemID="{46B0A60A-0F71-478E-905E-131916FFC3DB}">
  <ds:schemaRefs>
    <ds:schemaRef ds:uri="http://schemas.openxmlformats.org/officeDocument/2006/bibliography"/>
  </ds:schemaRefs>
</ds:datastoreItem>
</file>

<file path=customXml/itemProps5.xml><?xml version="1.0" encoding="utf-8"?>
<ds:datastoreItem xmlns:ds="http://schemas.openxmlformats.org/officeDocument/2006/customXml" ds:itemID="{658E42B9-3F96-41C7-A3D1-611D3B8708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1595</Words>
  <Characters>11250</Characters>
  <Application>Microsoft Office Word</Application>
  <DocSecurity>4</DocSecurity>
  <Lines>220</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12745</CharactersWithSpaces>
  <SharedDoc>false</SharedDoc>
  <HyperlinkBase/>
  <HLinks>
    <vt:vector size="18" baseType="variant">
      <vt:variant>
        <vt:i4>1245195</vt:i4>
      </vt:variant>
      <vt:variant>
        <vt:i4>6</vt:i4>
      </vt:variant>
      <vt:variant>
        <vt:i4>0</vt:i4>
      </vt:variant>
      <vt:variant>
        <vt:i4>5</vt:i4>
      </vt:variant>
      <vt:variant>
        <vt:lpwstr>https://eur-lex.europa.eu/legal-content/LT/ALL/?uri=CELEX:52012XC0111(02)</vt:lpwstr>
      </vt:variant>
      <vt:variant>
        <vt:lpwstr/>
      </vt:variant>
      <vt:variant>
        <vt:i4>7405687</vt:i4>
      </vt:variant>
      <vt:variant>
        <vt:i4>3</vt:i4>
      </vt:variant>
      <vt:variant>
        <vt:i4>0</vt:i4>
      </vt:variant>
      <vt:variant>
        <vt:i4>5</vt:i4>
      </vt:variant>
      <vt:variant>
        <vt:lpwstr>https://eur-lex.europa.eu/legal-content/LT/TXT/HTML/?uri=CELEX:62000CJ0280&amp;from=EN</vt:lpwstr>
      </vt:variant>
      <vt:variant>
        <vt:lpwstr/>
      </vt: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2022-11-25T06:30:00Z</dcterms:created>
  <dc:creator>Eimantas Galkevičius</dc:creator>
  <lastModifiedBy>adlibuser</lastModifiedBy>
  <dcterms:modified xsi:type="dcterms:W3CDTF">2022-11-25T06:30:00Z</dcterms:modified>
  <revision>2</revision>
  <dc:title>30945b77-6a6d-439f-9b02-e970fcc37038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a401ad3-c3c3-4b29-b009-5b1524060aa8_Enabled">
    <vt:lpwstr>true</vt:lpwstr>
  </property>
  <property fmtid="{D5CDD505-2E9C-101B-9397-08002B2CF9AE}" pid="3" name="MSIP_Label_fa401ad3-c3c3-4b29-b009-5b1524060aa8_SetDate">
    <vt:lpwstr>2021-08-20T10:49:38Z</vt:lpwstr>
  </property>
  <property fmtid="{D5CDD505-2E9C-101B-9397-08002B2CF9AE}" pid="4" name="MSIP_Label_fa401ad3-c3c3-4b29-b009-5b1524060aa8_Method">
    <vt:lpwstr>Standard</vt:lpwstr>
  </property>
  <property fmtid="{D5CDD505-2E9C-101B-9397-08002B2CF9AE}" pid="5" name="MSIP_Label_fa401ad3-c3c3-4b29-b009-5b1524060aa8_Name">
    <vt:lpwstr>Vieša</vt:lpwstr>
  </property>
  <property fmtid="{D5CDD505-2E9C-101B-9397-08002B2CF9AE}" pid="6" name="MSIP_Label_fa401ad3-c3c3-4b29-b009-5b1524060aa8_SiteId">
    <vt:lpwstr>aca392c0-3934-41ec-a6fc-1be04b6ed0b9</vt:lpwstr>
  </property>
  <property fmtid="{D5CDD505-2E9C-101B-9397-08002B2CF9AE}" pid="7" name="MSIP_Label_fa401ad3-c3c3-4b29-b009-5b1524060aa8_ActionId">
    <vt:lpwstr>b3cfff42-9848-4860-8bf7-e2dbaa66b195</vt:lpwstr>
  </property>
  <property fmtid="{D5CDD505-2E9C-101B-9397-08002B2CF9AE}" pid="8" name="MSIP_Label_fa401ad3-c3c3-4b29-b009-5b1524060aa8_ContentBits">
    <vt:lpwstr>0</vt:lpwstr>
  </property>
  <property fmtid="{D5CDD505-2E9C-101B-9397-08002B2CF9AE}" pid="9" name="ContentTypeId">
    <vt:lpwstr>0x010100D8ECFFBDDA118244861569856C5AC6C3</vt:lpwstr>
  </property>
  <property fmtid="{D5CDD505-2E9C-101B-9397-08002B2CF9AE}" pid="10" name="Komentarai">
    <vt:lpwstr>Koreguota vizavimo metu</vt:lpwstr>
  </property>
</Properties>
</file>