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dba6d869838e4d1f99a848b0142565b2"/>
        <w:lock w:val="sdtLocked"/>
        <w:richText/>
      </w:sdtPr>
      <w:sdtContent>
        <w:p>
          <w:pPr>
            <w:tabs>
              <w:tab w:val="center" w:pos="4153"/>
              <w:tab w:val="right" w:pos="8306"/>
            </w:tabs>
            <w:ind w:firstLine="567"/>
            <w:jc w:val="both"/>
            <w:rPr>
              <w:szCs w:val="24"/>
            </w:rPr>
          </w:pPr>
        </w:p>
        <w:p>
          <w:pPr>
            <w:tabs>
              <w:tab w:val="left" w:pos="3420"/>
              <w:tab w:val="center" w:pos="4153"/>
              <w:tab w:val="left" w:pos="4860"/>
              <w:tab w:val="left" w:pos="5400"/>
              <w:tab w:val="right" w:pos="8306"/>
            </w:tabs>
            <w:ind w:left="4253"/>
            <w:rPr>
              <w:szCs w:val="24"/>
            </w:rPr>
          </w:pPr>
          <w:r>
            <w:rPr>
              <w:szCs w:val="24"/>
            </w:rPr>
            <w:t>FR0784 forma patvirtinta</w:t>
          </w:r>
        </w:p>
        <w:p>
          <w:pPr>
            <w:tabs>
              <w:tab w:val="left" w:pos="3420"/>
              <w:tab w:val="center" w:pos="4153"/>
              <w:tab w:val="left" w:pos="4860"/>
              <w:tab w:val="left" w:pos="5400"/>
              <w:tab w:val="right" w:pos="8306"/>
            </w:tabs>
            <w:ind w:left="4253"/>
            <w:rPr>
              <w:szCs w:val="24"/>
            </w:rPr>
          </w:pPr>
          <w:r>
            <w:rPr>
              <w:szCs w:val="24"/>
            </w:rPr>
            <w:t>Valstybinės mokesčių inspekcijos prie</w:t>
          </w:r>
        </w:p>
        <w:p>
          <w:pPr>
            <w:tabs>
              <w:tab w:val="left" w:pos="3420"/>
              <w:tab w:val="center" w:pos="4153"/>
              <w:tab w:val="left" w:pos="4860"/>
              <w:tab w:val="left" w:pos="5400"/>
              <w:tab w:val="right" w:pos="8306"/>
            </w:tabs>
            <w:ind w:left="4253"/>
            <w:rPr>
              <w:szCs w:val="24"/>
            </w:rPr>
          </w:pPr>
          <w:r>
            <w:rPr>
              <w:szCs w:val="24"/>
            </w:rPr>
            <w:t>Lietuvos Respublikos finansų ministerijos</w:t>
          </w:r>
        </w:p>
        <w:p>
          <w:pPr>
            <w:tabs>
              <w:tab w:val="center" w:pos="4153"/>
              <w:tab w:val="right" w:pos="8306"/>
            </w:tabs>
            <w:ind w:left="4253" w:right="-234"/>
            <w:rPr>
              <w:szCs w:val="24"/>
            </w:rPr>
          </w:pPr>
          <w:r>
            <w:rPr>
              <w:szCs w:val="24"/>
            </w:rPr>
            <w:t xml:space="preserve">viršininko </w:t>
          </w:r>
          <w:smartTag w:uri="urn:schemas-microsoft-com:office:smarttags" w:element="metricconverter">
            <w:smartTagPr>
              <w:attr w:name="ProductID" w:val="2004 m"/>
            </w:smartTagPr>
            <w:r>
              <w:rPr>
                <w:szCs w:val="24"/>
              </w:rPr>
              <w:t>2004 m</w:t>
            </w:r>
          </w:smartTag>
          <w:r>
            <w:rPr>
              <w:szCs w:val="24"/>
            </w:rPr>
            <w:t>. gruodžio 7 d. įsakymu Nr. VA-186</w:t>
          </w:r>
        </w:p>
        <w:p>
          <w:pPr>
            <w:tabs>
              <w:tab w:val="center" w:pos="4153"/>
              <w:tab w:val="left" w:pos="4860"/>
              <w:tab w:val="left" w:pos="5040"/>
              <w:tab w:val="right" w:pos="8306"/>
            </w:tabs>
            <w:ind w:left="4253"/>
            <w:rPr>
              <w:szCs w:val="24"/>
            </w:rPr>
          </w:pPr>
          <w:r>
            <w:rPr>
              <w:szCs w:val="24"/>
            </w:rPr>
            <w:t>(Valstybinės mokesčių inspekcijos prie</w:t>
          </w:r>
        </w:p>
        <w:p>
          <w:pPr>
            <w:tabs>
              <w:tab w:val="center" w:pos="4153"/>
              <w:tab w:val="left" w:pos="4860"/>
              <w:tab w:val="left" w:pos="5103"/>
              <w:tab w:val="right" w:pos="8306"/>
            </w:tabs>
            <w:ind w:left="4253"/>
            <w:rPr>
              <w:szCs w:val="24"/>
            </w:rPr>
          </w:pPr>
          <w:r>
            <w:rPr>
              <w:szCs w:val="24"/>
            </w:rPr>
            <w:t xml:space="preserve">Lietuvos Respublikos finansų ministerijos </w:t>
          </w:r>
        </w:p>
        <w:p>
          <w:pPr>
            <w:tabs>
              <w:tab w:val="center" w:pos="4153"/>
              <w:tab w:val="left" w:pos="4860"/>
              <w:tab w:val="left" w:pos="5103"/>
              <w:tab w:val="right" w:pos="8306"/>
            </w:tabs>
            <w:ind w:left="4253"/>
            <w:rPr>
              <w:szCs w:val="24"/>
            </w:rPr>
          </w:pPr>
          <w:r>
            <w:rPr>
              <w:szCs w:val="24"/>
            </w:rPr>
            <w:t>viršininko 2021m. kovo 16 d. įsakymo Nr. VA-17</w:t>
          </w:r>
        </w:p>
        <w:p>
          <w:pPr>
            <w:tabs>
              <w:tab w:val="center" w:pos="4153"/>
              <w:tab w:val="left" w:pos="4860"/>
              <w:tab w:val="left" w:pos="5103"/>
              <w:tab w:val="right" w:pos="8306"/>
            </w:tabs>
            <w:ind w:left="4253"/>
            <w:rPr>
              <w:b/>
              <w:szCs w:val="24"/>
            </w:rPr>
          </w:pPr>
          <w:r>
            <w:rPr>
              <w:szCs w:val="24"/>
            </w:rPr>
            <w:t>redakcija)</w:t>
          </w:r>
        </w:p>
        <w:p>
          <w:pPr>
            <w:tabs>
              <w:tab w:val="left" w:pos="8820"/>
            </w:tabs>
            <w:jc w:val="both"/>
            <w:rPr>
              <w:szCs w:val="24"/>
            </w:rPr>
          </w:pPr>
        </w:p>
        <w:p>
          <w:pPr>
            <w:ind w:firstLine="567"/>
            <w:jc w:val="center"/>
            <w:rPr>
              <w:szCs w:val="24"/>
            </w:rPr>
          </w:pPr>
          <w:r>
            <w:rPr>
              <w:color w:val="000000"/>
              <w:szCs w:val="24"/>
              <w:lang w:val="en-US"/>
            </w:rPr>
            <w:drawing>
              <wp:inline distT="0" distB="0" distL="0" distR="0" wp14:anchorId="398052A6" wp14:editId="0AEF771C">
                <wp:extent cx="542925" cy="552450"/>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ind w:firstLine="567"/>
            <w:jc w:val="center"/>
            <w:rPr>
              <w:b/>
              <w:szCs w:val="24"/>
            </w:rPr>
          </w:pPr>
          <w:r>
            <w:rPr>
              <w:b/>
              <w:szCs w:val="24"/>
            </w:rPr>
            <w:t>VALSTYBINĖ MOKESČIŲ INSPEKCIJA</w:t>
          </w:r>
        </w:p>
        <w:p>
          <w:pPr>
            <w:keepNext/>
            <w:jc w:val="center"/>
            <w:rPr>
              <w:b/>
              <w:bCs/>
              <w:szCs w:val="24"/>
            </w:rPr>
          </w:pPr>
          <w:r>
            <w:rPr>
              <w:b/>
              <w:bCs/>
              <w:szCs w:val="24"/>
            </w:rPr>
            <w:t>PRIE LIETUVOS RESPUBLIKOS FINANSŲ MINISTERIJOS</w:t>
          </w:r>
        </w:p>
        <w:p>
          <w:pPr>
            <w:tabs>
              <w:tab w:val="left" w:pos="4820"/>
              <w:tab w:val="left" w:pos="7229"/>
            </w:tabs>
            <w:ind w:firstLine="567"/>
            <w:jc w:val="center"/>
            <w:rPr>
              <w:szCs w:val="24"/>
              <w:lang w:val="en-US"/>
            </w:rPr>
          </w:pPr>
          <w:r>
            <w:rPr>
              <w:szCs w:val="24"/>
            </w:rPr>
            <w:t xml:space="preserve">Biudžetinė įstaiga, Vasario 16-osios g. 14, LT- 01107 Vilnius, tel. (85) 2668 200, faks. (85) 212 56 04, el. p. </w:t>
          </w:r>
          <w:r>
            <w:rPr>
              <w:color w:val="0000FF"/>
              <w:szCs w:val="24"/>
              <w:u w:val="single"/>
            </w:rPr>
            <w:t>vmi</w:t>
          </w:r>
          <w:r>
            <w:rPr>
              <w:color w:val="0000FF"/>
              <w:szCs w:val="24"/>
              <w:u w:val="single"/>
              <w:lang w:val="en-US"/>
            </w:rPr>
            <w:t>@vmi.lt</w:t>
          </w:r>
          <w:r>
            <w:rPr>
              <w:szCs w:val="24"/>
              <w:lang w:val="en-US"/>
            </w:rPr>
            <w:t xml:space="preserve">, </w:t>
          </w:r>
          <w:r>
            <w:rPr>
              <w:color w:val="0000FF"/>
              <w:szCs w:val="24"/>
              <w:u w:val="single"/>
              <w:lang w:val="en-US"/>
            </w:rPr>
            <w:t>www.vmi.lt</w:t>
          </w:r>
        </w:p>
        <w:p>
          <w:pPr>
            <w:tabs>
              <w:tab w:val="left" w:pos="270"/>
              <w:tab w:val="center" w:pos="4890"/>
            </w:tabs>
            <w:ind w:firstLine="567"/>
            <w:jc w:val="both"/>
            <w:rPr>
              <w:szCs w:val="24"/>
            </w:rPr>
          </w:pPr>
        </w:p>
        <w:p>
          <w:pPr>
            <w:tabs>
              <w:tab w:val="left" w:pos="270"/>
              <w:tab w:val="center" w:pos="4890"/>
            </w:tabs>
            <w:ind w:firstLine="567"/>
            <w:jc w:val="both"/>
            <w:rPr>
              <w:szCs w:val="24"/>
            </w:rPr>
          </w:pPr>
          <w:r>
            <w:rPr>
              <w:szCs w:val="24"/>
              <w:lang w:val="en-US"/>
            </w:rPr>
            <mc:AlternateContent>
              <mc:Choice Requires="wps">
                <w:drawing>
                  <wp:anchor distT="4294967295" distB="4294967295" distL="114300" distR="114300" simplePos="0" relativeHeight="251659264" behindDoc="0" locked="0" layoutInCell="0" allowOverlap="1" wp14:anchorId="3828D1B1" wp14:editId="11013996">
                    <wp:simplePos x="0" y="0"/>
                    <wp:positionH relativeFrom="column">
                      <wp:posOffset>0</wp:posOffset>
                    </wp:positionH>
                    <wp:positionV relativeFrom="paragraph">
                      <wp:posOffset>22859</wp:posOffset>
                    </wp:positionV>
                    <wp:extent cx="6047740" cy="0"/>
                    <wp:effectExtent l="0" t="0" r="29210" b="19050"/>
                    <wp:wrapTight wrapText="bothSides">
                      <wp:wrapPolygon edited="0">
                        <wp:start x="0" y="-1"/>
                        <wp:lineTo x="0" y="-1"/>
                        <wp:lineTo x="21636" y="-1"/>
                        <wp:lineTo x="21636" y="-1"/>
                        <wp:lineTo x="0" y="-1"/>
                      </wp:wrapPolygon>
                    </wp:wrapTight>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477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AAC7642" id="Line 1"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0,1.8pt" to="476.2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T3fa3EwIAACgEAAAOAAAAZHJzL2Uyb0RvYy54bWysU8uO2yAU3VfqPyD2ie3UeVlxRpWddJO2 kWb6AQRwjIoBAYkTVf33XsijTWczquoF5nHu4dx7LounUyfRkVsntCpxNkwx4opqJtS+xN9e1oMZ Rs4TxYjUipf4zB1+Wr5/t+hNwUe61ZJxi4BEuaI3JW69N0WSONryjrihNlzBYaNtRzws7T5hlvTA 3slklKaTpNeWGaspdw5268shXkb+puHUf20axz2SJQZtPo42jrswJssFKfaWmFbQqwzyDyo6IhRc eqeqiSfoYMUrqk5Qq51u/JDqLtFNIyiPOUA2WfpXNs8tMTzmAsVx5l4m9/9o6Zfj1iLBSjzCSJEO LNoIxVEWKtMbVwCgUlsbcqMn9Ww2mn53SOmqJWrPo8KXs4GwGJE8hISFM8C/6z9rBhhy8DqW6dTY LlBCAdApunG+u8FPHlHYnKT5dJqDafR2lpDiFmis85+47lCYlFiC5khMjhvnQTpAb5Bwj9JrIWU0 WyrUl3g+Ho1jgNNSsHAYYM7ud5W06EhCu8Qv1AHIHmBWHxSLZC0nbHWdeyLkZQ54qQIfpAJyrrNL P/yYp/PVbDXLB/loshrkaV0PPq6rfDBZZ9Nx/aGuqjr7GaRledEKxrgK6m69meVv8/76Si5dde/O exmSR/aYIoi9/aPo6GWw79IIO83OWxuqEWyFdozg69MJ/f7nOqJ+P/DlLwAAAP//AwBQSwMEFAAG AAgAAAAhADrVcY3aAAAABAEAAA8AAABkcnMvZG93bnJldi54bWxMj8FOwzAQRO9I/IO1SFwq6pBC BWk2FQJy40IBcd3G2yQiXqex24Z+PS4XOI5mNPMmX462U3sefOsE4XqagGKpnGmlRnh/K6/uQPlA Yqhzwgjf7GFZnJ/llBl3kFfer0KtYon4jBCaEPpMa181bMlPXc8SvY0bLIUoh1qbgQ6x3HY6TZK5 ttRKXGio58eGq6/VziL48oO35XFSTZLPWe043T69PBPi5cX4sAAVeAx/YTjhR3QoItPa7cR41SHE IwFhNgcVzfvb9AbU+lfrItf/4YsfAAAA//8DAFBLAQItABQABgAIAAAAIQC2gziS/gAAAOEBAAAT AAAAAAAAAAAAAAAAAAAAAABbQ29udGVudF9UeXBlc10ueG1sUEsBAi0AFAAGAAgAAAAhADj9If/W AAAAlAEAAAsAAAAAAAAAAAAAAAAALwEAAF9yZWxzLy5yZWxzUEsBAi0AFAAGAAgAAAAhABPd9rcT AgAAKAQAAA4AAAAAAAAAAAAAAAAALgIAAGRycy9lMm9Eb2MueG1sUEsBAi0AFAAGAAgAAAAhADrV cY3aAAAABAEAAA8AAAAAAAAAAAAAAAAAbQQAAGRycy9kb3ducmV2LnhtbFBLBQYAAAAABAAEAPMA AAB0BQAAAAA= " o:allowincell="f">
                    <w10:wrap type="tight"/>
                  </v:line>
                </w:pict>
              </mc:Fallback>
            </mc:AlternateContent>
          </w:r>
        </w:p>
        <w:sdt>
          <w:sdtPr>
            <w:alias w:val="preambule"/>
            <w:tag w:val="part_a70c5f11ff04495a914d1ed27f4cea8b"/>
            <w:lock w:val="sdtLocked"/>
            <w:richText/>
          </w:sdtPr>
          <w:sdtContent>
            <w:p>
              <w:pPr>
                <w:tabs>
                  <w:tab w:val="right" w:leader="underscore" w:pos="9638"/>
                </w:tabs>
                <w:ind w:firstLine="567"/>
                <w:jc w:val="both"/>
                <w:rPr>
                  <w:szCs w:val="24"/>
                </w:rPr>
              </w:pPr>
              <w:r>
                <w:rPr>
                  <w:szCs w:val="24"/>
                </w:rPr>
                <w:t>(Adresatas)</w:t>
              </w:r>
            </w:p>
            <w:p>
              <w:pPr>
                <w:tabs>
                  <w:tab w:val="right" w:leader="underscore" w:pos="9638"/>
                </w:tabs>
                <w:ind w:firstLine="567"/>
                <w:jc w:val="both"/>
                <w:rPr>
                  <w:szCs w:val="24"/>
                </w:rPr>
              </w:pPr>
            </w:p>
            <w:p>
              <w:pPr>
                <w:tabs>
                  <w:tab w:val="right" w:leader="underscore" w:pos="9638"/>
                </w:tabs>
                <w:ind w:firstLine="187"/>
                <w:jc w:val="both"/>
                <w:rPr>
                  <w:szCs w:val="24"/>
                </w:rPr>
              </w:pPr>
            </w:p>
            <w:p>
              <w:pPr>
                <w:ind w:firstLine="709"/>
                <w:jc w:val="both"/>
                <w:rPr>
                  <w:szCs w:val="24"/>
                </w:rPr>
              </w:pPr>
            </w:p>
          </w:sdtContent>
        </w:sdt>
        <w:sdt>
          <w:sdtPr>
            <w:alias w:val="skirsnis"/>
            <w:tag w:val="part_66657b6f0ab84588a7bcbb62c7e079ae"/>
            <w:lock w:val="sdtLocked"/>
            <w:richText/>
          </w:sdtPr>
          <w:sdtContent>
            <w:p>
              <w:pPr>
                <w:ind w:firstLine="567"/>
                <w:jc w:val="center"/>
                <w:rPr>
                  <w:b/>
                  <w:szCs w:val="24"/>
                </w:rPr>
              </w:pPr>
              <w:sdt>
                <w:sdtPr>
                  <w:alias w:val="Pavadinimas"/>
                  <w:tag w:val="title_66657b6f0ab84588a7bcbb62c7e079ae"/>
                  <w:lock w:val="sdtLocked"/>
                  <w:richText/>
                </w:sdtPr>
                <w:sdtContent>
                  <w:r>
                    <w:rPr>
                      <w:b/>
                      <w:szCs w:val="24"/>
                    </w:rPr>
                    <w:t>PRANEŠIMAS APIE GYVENTOJŲ PAJAMŲ MOKESČIO GRĄŽINIMĄ PAGAL PAJAMŲ MOKESČIO DEKLARACIJĄ</w:t>
                  </w:r>
                </w:sdtContent>
              </w:sdt>
            </w:p>
            <w:p>
              <w:pPr>
                <w:ind w:firstLine="709"/>
                <w:jc w:val="both"/>
                <w:rPr>
                  <w:szCs w:val="24"/>
                </w:rPr>
              </w:pPr>
            </w:p>
            <w:p>
              <w:pPr>
                <w:tabs>
                  <w:tab w:val="left" w:pos="3240"/>
                  <w:tab w:val="left" w:pos="4950"/>
                </w:tabs>
                <w:ind w:firstLine="2520"/>
                <w:jc w:val="both"/>
                <w:rPr>
                  <w:szCs w:val="24"/>
                </w:rPr>
              </w:pPr>
              <w:r>
                <w:rPr>
                  <w:szCs w:val="24"/>
                </w:rPr>
                <w:t xml:space="preserve">________________  Nr.</w:t>
                <w:tab/>
                <w:t>___________________</w:t>
                <w:tab/>
              </w:r>
            </w:p>
            <w:p>
              <w:pPr>
                <w:tabs>
                  <w:tab w:val="left" w:pos="3240"/>
                  <w:tab w:val="left" w:pos="5250"/>
                  <w:tab w:val="left" w:leader="underscore" w:pos="5400"/>
                  <w:tab w:val="left" w:leader="underscore" w:pos="7740"/>
                </w:tabs>
                <w:ind w:firstLine="3293"/>
                <w:jc w:val="both"/>
                <w:rPr>
                  <w:sz w:val="20"/>
                  <w:szCs w:val="24"/>
                </w:rPr>
              </w:pPr>
              <w:r>
                <w:rPr>
                  <w:sz w:val="20"/>
                  <w:szCs w:val="24"/>
                </w:rPr>
                <w:t>(data)</w:t>
                <w:tab/>
                <w:t>(registracijos numeris)</w:t>
              </w:r>
            </w:p>
            <w:p>
              <w:pPr>
                <w:tabs>
                  <w:tab w:val="left" w:pos="3240"/>
                  <w:tab w:val="right" w:leader="underscore" w:pos="6660"/>
                </w:tabs>
                <w:ind w:firstLine="3240"/>
                <w:jc w:val="both"/>
                <w:rPr>
                  <w:szCs w:val="24"/>
                </w:rPr>
              </w:pPr>
              <w:r>
                <w:rPr>
                  <w:szCs w:val="24"/>
                </w:rPr>
                <w:tab/>
              </w:r>
            </w:p>
            <w:p>
              <w:pPr>
                <w:tabs>
                  <w:tab w:val="center" w:pos="5040"/>
                </w:tabs>
                <w:ind w:firstLine="709"/>
                <w:jc w:val="both"/>
                <w:rPr>
                  <w:sz w:val="20"/>
                  <w:szCs w:val="24"/>
                </w:rPr>
              </w:pPr>
              <w:r>
                <w:rPr>
                  <w:szCs w:val="24"/>
                </w:rPr>
                <w:tab/>
              </w:r>
              <w:r>
                <w:rPr>
                  <w:sz w:val="20"/>
                  <w:szCs w:val="24"/>
                </w:rPr>
                <w:t>(sudarymo vieta)</w:t>
              </w:r>
            </w:p>
            <w:p>
              <w:pPr>
                <w:tabs>
                  <w:tab w:val="center" w:pos="5040"/>
                </w:tabs>
                <w:ind w:firstLine="709"/>
                <w:jc w:val="both"/>
                <w:rPr>
                  <w:sz w:val="20"/>
                  <w:szCs w:val="24"/>
                </w:rPr>
              </w:pPr>
            </w:p>
            <w:p>
              <w:pPr>
                <w:ind w:firstLine="709"/>
                <w:jc w:val="both"/>
                <w:rPr>
                  <w:szCs w:val="24"/>
                </w:rPr>
              </w:pPr>
            </w:p>
            <w:p>
              <w:pPr>
                <w:ind w:right="-171" w:firstLine="540"/>
                <w:jc w:val="both"/>
                <w:rPr>
                  <w:szCs w:val="24"/>
                </w:rPr>
              </w:pPr>
              <w:r>
                <w:rPr>
                  <w:szCs w:val="24"/>
                </w:rPr>
                <w:t>Pranešame, kad, vadovaujantis Lietuvos Respublikos mokesčių administravimo įstatymo 87 straipsnio 1, 3, 4, 4</w:t>
              </w:r>
              <w:r>
                <w:rPr>
                  <w:szCs w:val="24"/>
                  <w:vertAlign w:val="superscript"/>
                </w:rPr>
                <w:t>1</w:t>
              </w:r>
              <w:r>
                <w:rPr>
                  <w:szCs w:val="24"/>
                </w:rPr>
                <w:t>,</w:t>
              </w:r>
              <w:r>
                <w:rPr>
                  <w:szCs w:val="24"/>
                  <w:vertAlign w:val="superscript"/>
                </w:rPr>
                <w:t xml:space="preserve"> </w:t>
              </w:r>
              <w:r>
                <w:rPr>
                  <w:szCs w:val="24"/>
                </w:rPr>
                <w:t>5,13 dalių nuostatomis ir Mokesčių mokėtojo permokos (skirtumo) ar nepagrįstai išieškotų sumų grąžinimo (įskaitymo) taisyklių, patvirtintų Valstybinės mokesčių inspekcijos prie Lietuvos Respublikos finansų ministerijos viršininko 2004 m. gruodžio 7 d. įsakymu Nr. VA-186 „Dėl Mokesčių mokėtojo permokos (skirtumo) ar nepagrįstai išieškotų sumų grąžinimo (įskaitymo)“, nustatyta tvarka:</w:t>
              </w:r>
            </w:p>
            <w:p>
              <w:pPr>
                <w:ind w:firstLine="709"/>
                <w:jc w:val="both"/>
                <w:rPr>
                  <w:szCs w:val="24"/>
                </w:rPr>
              </w:pPr>
            </w:p>
            <w:sdt>
              <w:sdtPr>
                <w:alias w:val="lentele"/>
                <w:tag w:val="part_4b2b69ec2c9b46528518758680a4fea8"/>
                <w:lock w:val="sdtLocked"/>
                <w:richText/>
              </w:sdtPr>
              <w:sdtContent>
                <w:p>
                  <w:pPr>
                    <w:jc w:val="both"/>
                    <w:rPr>
                      <w:b/>
                      <w:szCs w:val="24"/>
                    </w:rPr>
                  </w:pPr>
                  <w:sdt>
                    <w:sdtPr>
                      <w:alias w:val="Pavadinimas"/>
                      <w:tag w:val="title_4b2b69ec2c9b46528518758680a4fea8"/>
                      <w:lock w:val="sdtLocked"/>
                      <w:richText/>
                    </w:sdtPr>
                    <w:sdtContent>
                      <w:r>
                        <w:rPr>
                          <w:b/>
                          <w:szCs w:val="24"/>
                        </w:rPr>
                        <w:t xml:space="preserve">deklaruota grąžintina suma pajamų mokesčio deklaracijoje </w:t>
                      </w:r>
                    </w:sdtContent>
                  </w:sdt>
                </w:p>
                <w:tbl>
                  <w:tblPr>
                    <w:tblW w:w="983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0"/>
                    <w:gridCol w:w="2126"/>
                    <w:gridCol w:w="5297"/>
                  </w:tblGrid>
                  <w:tr>
                    <w:tc>
                      <w:tcPr>
                        <w:tcW w:w="2410" w:type="dxa"/>
                      </w:tcPr>
                      <w:p>
                        <w:pPr>
                          <w:ind w:left="-41" w:hanging="41"/>
                          <w:jc w:val="center"/>
                          <w:rPr>
                            <w:sz w:val="22"/>
                            <w:szCs w:val="24"/>
                            <w:lang w:eastAsia="lt-LT"/>
                          </w:rPr>
                        </w:pPr>
                        <w:r>
                          <w:rPr>
                            <w:szCs w:val="24"/>
                            <w:lang w:eastAsia="lt-LT"/>
                          </w:rPr>
                          <w:t>Deklaracijos pateikimo data</w:t>
                        </w:r>
                      </w:p>
                    </w:tc>
                    <w:tc>
                      <w:tcPr>
                        <w:tcW w:w="2126" w:type="dxa"/>
                      </w:tcPr>
                      <w:p>
                        <w:pPr>
                          <w:ind w:firstLine="2"/>
                          <w:jc w:val="center"/>
                          <w:rPr>
                            <w:sz w:val="22"/>
                            <w:szCs w:val="24"/>
                            <w:lang w:eastAsia="lt-LT"/>
                          </w:rPr>
                        </w:pPr>
                        <w:r>
                          <w:rPr>
                            <w:szCs w:val="24"/>
                            <w:lang w:eastAsia="lt-LT"/>
                          </w:rPr>
                          <w:t>Mokestinis laikotarpis</w:t>
                        </w:r>
                      </w:p>
                    </w:tc>
                    <w:tc>
                      <w:tcPr>
                        <w:tcW w:w="5297" w:type="dxa"/>
                      </w:tcPr>
                      <w:p>
                        <w:pPr>
                          <w:ind w:hanging="144"/>
                          <w:jc w:val="center"/>
                          <w:rPr>
                            <w:sz w:val="22"/>
                            <w:szCs w:val="24"/>
                            <w:lang w:eastAsia="lt-LT"/>
                          </w:rPr>
                        </w:pPr>
                        <w:r>
                          <w:rPr>
                            <w:szCs w:val="24"/>
                            <w:lang w:eastAsia="lt-LT"/>
                          </w:rPr>
                          <w:t>Suma</w:t>
                        </w:r>
                      </w:p>
                      <w:p>
                        <w:pPr>
                          <w:ind w:hanging="144"/>
                          <w:jc w:val="center"/>
                          <w:rPr>
                            <w:sz w:val="22"/>
                            <w:szCs w:val="24"/>
                            <w:lang w:eastAsia="lt-LT"/>
                          </w:rPr>
                        </w:pPr>
                        <w:r>
                          <w:rPr>
                            <w:szCs w:val="24"/>
                            <w:lang w:eastAsia="lt-LT"/>
                          </w:rPr>
                          <w:t>Eur</w:t>
                        </w:r>
                      </w:p>
                    </w:tc>
                  </w:tr>
                  <w:tr>
                    <w:tc>
                      <w:tcPr>
                        <w:tcW w:w="2410" w:type="dxa"/>
                      </w:tcPr>
                      <w:p>
                        <w:pPr>
                          <w:ind w:firstLine="567"/>
                          <w:jc w:val="center"/>
                          <w:rPr>
                            <w:sz w:val="22"/>
                            <w:szCs w:val="24"/>
                          </w:rPr>
                        </w:pPr>
                      </w:p>
                    </w:tc>
                    <w:tc>
                      <w:tcPr>
                        <w:tcW w:w="2126" w:type="dxa"/>
                      </w:tcPr>
                      <w:p>
                        <w:pPr>
                          <w:ind w:firstLine="567"/>
                          <w:jc w:val="center"/>
                          <w:rPr>
                            <w:sz w:val="22"/>
                            <w:szCs w:val="24"/>
                          </w:rPr>
                        </w:pPr>
                      </w:p>
                    </w:tc>
                    <w:tc>
                      <w:tcPr>
                        <w:tcW w:w="5297" w:type="dxa"/>
                      </w:tcPr>
                      <w:p>
                        <w:pPr>
                          <w:ind w:firstLine="567"/>
                          <w:jc w:val="right"/>
                          <w:rPr>
                            <w:sz w:val="22"/>
                            <w:szCs w:val="24"/>
                          </w:rPr>
                        </w:pPr>
                      </w:p>
                    </w:tc>
                  </w:tr>
                </w:tbl>
                <w:p>
                  <w:pPr>
                    <w:ind w:firstLine="709"/>
                    <w:jc w:val="both"/>
                    <w:rPr>
                      <w:szCs w:val="24"/>
                    </w:rPr>
                  </w:pPr>
                </w:p>
              </w:sdtContent>
            </w:sdt>
            <w:sdt>
              <w:sdtPr>
                <w:alias w:val="lentele"/>
                <w:tag w:val="part_e7d00d83d8634048a67c547a37fc036e"/>
                <w:lock w:val="sdtLocked"/>
                <w:richText/>
              </w:sdtPr>
              <w:sdtContent>
                <w:p>
                  <w:pPr>
                    <w:jc w:val="both"/>
                    <w:rPr>
                      <w:b/>
                      <w:szCs w:val="24"/>
                    </w:rPr>
                  </w:pPr>
                  <w:sdt>
                    <w:sdtPr>
                      <w:alias w:val="Pavadinimas"/>
                      <w:tag w:val="title_e7d00d83d8634048a67c547a37fc036e"/>
                      <w:lock w:val="sdtLocked"/>
                      <w:richText/>
                    </w:sdtPr>
                    <w:sdtContent>
                      <w:r>
                        <w:rPr>
                          <w:b/>
                          <w:szCs w:val="24"/>
                        </w:rPr>
                        <w:t>grąžinta / pervesta pagal trečiųjų asmenų reikalavimus</w:t>
                      </w:r>
                    </w:sdtContent>
                  </w:sdt>
                </w:p>
                <w:tbl>
                  <w:tblPr>
                    <w:tblW w:w="981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3"/>
                    <w:gridCol w:w="5598"/>
                    <w:gridCol w:w="1701"/>
                    <w:gridCol w:w="1588"/>
                  </w:tblGrid>
                  <w:tr>
                    <w:tc>
                      <w:tcPr>
                        <w:tcW w:w="923" w:type="dxa"/>
                      </w:tcPr>
                      <w:p>
                        <w:pPr>
                          <w:jc w:val="both"/>
                          <w:rPr>
                            <w:sz w:val="22"/>
                            <w:szCs w:val="24"/>
                          </w:rPr>
                        </w:pPr>
                        <w:r>
                          <w:rPr>
                            <w:szCs w:val="24"/>
                          </w:rPr>
                          <w:t>Eil. Nr.</w:t>
                        </w:r>
                      </w:p>
                    </w:tc>
                    <w:tc>
                      <w:tcPr>
                        <w:tcW w:w="5598" w:type="dxa"/>
                      </w:tcPr>
                      <w:p>
                        <w:pPr>
                          <w:jc w:val="center"/>
                          <w:rPr>
                            <w:sz w:val="22"/>
                            <w:szCs w:val="24"/>
                          </w:rPr>
                        </w:pPr>
                        <w:r>
                          <w:rPr>
                            <w:szCs w:val="24"/>
                          </w:rPr>
                          <w:t>Gavėjas, sąskaitos Nr., kredito įstaigos pavadinimas</w:t>
                        </w:r>
                      </w:p>
                    </w:tc>
                    <w:tc>
                      <w:tcPr>
                        <w:tcW w:w="1701" w:type="dxa"/>
                      </w:tcPr>
                      <w:p>
                        <w:pPr>
                          <w:jc w:val="center"/>
                          <w:rPr>
                            <w:sz w:val="22"/>
                            <w:szCs w:val="24"/>
                          </w:rPr>
                        </w:pPr>
                        <w:r>
                          <w:rPr>
                            <w:szCs w:val="24"/>
                          </w:rPr>
                          <w:t xml:space="preserve">Grąžinimo data </w:t>
                        </w:r>
                      </w:p>
                    </w:tc>
                    <w:tc>
                      <w:tcPr>
                        <w:tcW w:w="1588" w:type="dxa"/>
                      </w:tcPr>
                      <w:p>
                        <w:pPr>
                          <w:jc w:val="center"/>
                          <w:rPr>
                            <w:sz w:val="22"/>
                            <w:szCs w:val="24"/>
                          </w:rPr>
                        </w:pPr>
                        <w:r>
                          <w:rPr>
                            <w:szCs w:val="24"/>
                          </w:rPr>
                          <w:t xml:space="preserve">Suma </w:t>
                        </w:r>
                      </w:p>
                      <w:p>
                        <w:pPr>
                          <w:jc w:val="center"/>
                          <w:rPr>
                            <w:sz w:val="22"/>
                            <w:szCs w:val="24"/>
                          </w:rPr>
                        </w:pPr>
                        <w:r>
                          <w:rPr>
                            <w:szCs w:val="24"/>
                          </w:rPr>
                          <w:t>Eur</w:t>
                        </w:r>
                      </w:p>
                    </w:tc>
                  </w:tr>
                  <w:tr>
                    <w:tc>
                      <w:tcPr>
                        <w:tcW w:w="923" w:type="dxa"/>
                      </w:tcPr>
                      <w:p>
                        <w:pPr>
                          <w:ind w:firstLine="567"/>
                          <w:jc w:val="both"/>
                          <w:rPr>
                            <w:b/>
                            <w:sz w:val="22"/>
                            <w:szCs w:val="24"/>
                          </w:rPr>
                        </w:pPr>
                      </w:p>
                    </w:tc>
                    <w:tc>
                      <w:tcPr>
                        <w:tcW w:w="5598" w:type="dxa"/>
                      </w:tcPr>
                      <w:p>
                        <w:pPr>
                          <w:ind w:firstLine="567"/>
                          <w:jc w:val="both"/>
                          <w:rPr>
                            <w:b/>
                            <w:sz w:val="22"/>
                            <w:szCs w:val="24"/>
                          </w:rPr>
                        </w:pPr>
                      </w:p>
                    </w:tc>
                    <w:tc>
                      <w:tcPr>
                        <w:tcW w:w="1701" w:type="dxa"/>
                      </w:tcPr>
                      <w:p>
                        <w:pPr>
                          <w:ind w:firstLine="567"/>
                          <w:jc w:val="center"/>
                          <w:rPr>
                            <w:b/>
                            <w:sz w:val="22"/>
                            <w:szCs w:val="24"/>
                          </w:rPr>
                        </w:pPr>
                      </w:p>
                    </w:tc>
                    <w:tc>
                      <w:tcPr>
                        <w:tcW w:w="1588" w:type="dxa"/>
                      </w:tcPr>
                      <w:p>
                        <w:pPr>
                          <w:ind w:firstLine="567"/>
                          <w:jc w:val="right"/>
                          <w:rPr>
                            <w:b/>
                            <w:sz w:val="22"/>
                            <w:szCs w:val="24"/>
                          </w:rPr>
                        </w:pPr>
                      </w:p>
                    </w:tc>
                  </w:tr>
                  <w:tr>
                    <w:tc>
                      <w:tcPr>
                        <w:tcW w:w="923" w:type="dxa"/>
                      </w:tcPr>
                      <w:p>
                        <w:pPr>
                          <w:ind w:firstLine="567"/>
                          <w:jc w:val="both"/>
                          <w:rPr>
                            <w:sz w:val="22"/>
                            <w:szCs w:val="24"/>
                          </w:rPr>
                        </w:pPr>
                      </w:p>
                    </w:tc>
                    <w:tc>
                      <w:tcPr>
                        <w:tcW w:w="5598" w:type="dxa"/>
                      </w:tcPr>
                      <w:p>
                        <w:pPr>
                          <w:ind w:firstLine="567"/>
                          <w:jc w:val="both"/>
                          <w:rPr>
                            <w:sz w:val="22"/>
                            <w:szCs w:val="24"/>
                          </w:rPr>
                        </w:pPr>
                      </w:p>
                    </w:tc>
                    <w:tc>
                      <w:tcPr>
                        <w:tcW w:w="1701" w:type="dxa"/>
                      </w:tcPr>
                      <w:p>
                        <w:pPr>
                          <w:ind w:firstLine="567"/>
                          <w:jc w:val="center"/>
                          <w:rPr>
                            <w:sz w:val="22"/>
                            <w:szCs w:val="24"/>
                          </w:rPr>
                        </w:pPr>
                      </w:p>
                    </w:tc>
                    <w:tc>
                      <w:tcPr>
                        <w:tcW w:w="1588" w:type="dxa"/>
                      </w:tcPr>
                      <w:p>
                        <w:pPr>
                          <w:ind w:firstLine="567"/>
                          <w:jc w:val="right"/>
                          <w:rPr>
                            <w:sz w:val="22"/>
                            <w:szCs w:val="24"/>
                          </w:rPr>
                        </w:pPr>
                      </w:p>
                    </w:tc>
                  </w:tr>
                  <w:tr>
                    <w:tc>
                      <w:tcPr>
                        <w:tcW w:w="923" w:type="dxa"/>
                      </w:tcPr>
                      <w:p>
                        <w:pPr>
                          <w:ind w:firstLine="567"/>
                          <w:jc w:val="both"/>
                          <w:rPr>
                            <w:sz w:val="22"/>
                            <w:szCs w:val="24"/>
                          </w:rPr>
                        </w:pPr>
                      </w:p>
                    </w:tc>
                    <w:tc>
                      <w:tcPr>
                        <w:tcW w:w="5598" w:type="dxa"/>
                      </w:tcPr>
                      <w:p>
                        <w:pPr>
                          <w:ind w:firstLine="567"/>
                          <w:jc w:val="right"/>
                          <w:rPr>
                            <w:sz w:val="22"/>
                            <w:szCs w:val="24"/>
                          </w:rPr>
                        </w:pPr>
                        <w:r>
                          <w:rPr>
                            <w:szCs w:val="24"/>
                          </w:rPr>
                          <w:t>Iš viso:</w:t>
                        </w:r>
                      </w:p>
                    </w:tc>
                    <w:tc>
                      <w:tcPr>
                        <w:tcW w:w="1701" w:type="dxa"/>
                      </w:tcPr>
                      <w:p>
                        <w:pPr>
                          <w:rPr>
                            <w:sz w:val="18"/>
                            <w:szCs w:val="18"/>
                          </w:rPr>
                        </w:pPr>
                      </w:p>
                      <w:p>
                        <w:pPr>
                          <w:keepNext/>
                          <w:keepLines/>
                          <w:ind w:firstLine="567"/>
                          <w:jc w:val="right"/>
                          <w:outlineLvl w:val="1"/>
                          <w:rPr>
                            <w:sz w:val="22"/>
                            <w:szCs w:val="24"/>
                          </w:rPr>
                        </w:pPr>
                      </w:p>
                    </w:tc>
                    <w:tc>
                      <w:tcPr>
                        <w:tcW w:w="1588" w:type="dxa"/>
                      </w:tcPr>
                      <w:p>
                        <w:pPr>
                          <w:rPr>
                            <w:sz w:val="18"/>
                            <w:szCs w:val="18"/>
                          </w:rPr>
                        </w:pPr>
                      </w:p>
                      <w:p>
                        <w:pPr>
                          <w:keepNext/>
                          <w:keepLines/>
                          <w:ind w:firstLine="567"/>
                          <w:jc w:val="right"/>
                          <w:outlineLvl w:val="1"/>
                          <w:rPr>
                            <w:sz w:val="22"/>
                            <w:szCs w:val="24"/>
                          </w:rPr>
                        </w:pPr>
                      </w:p>
                    </w:tc>
                  </w:tr>
                </w:tbl>
                <w:p>
                  <w:pPr>
                    <w:ind w:firstLine="709"/>
                    <w:jc w:val="both"/>
                    <w:rPr>
                      <w:spacing w:val="60"/>
                      <w:szCs w:val="24"/>
                    </w:rPr>
                  </w:pPr>
                </w:p>
                <w:p>
                  <w:pPr>
                    <w:tabs>
                      <w:tab w:val="left" w:pos="4590"/>
                    </w:tabs>
                    <w:ind w:hanging="90"/>
                    <w:jc w:val="both"/>
                    <w:rPr>
                      <w:b/>
                      <w:szCs w:val="24"/>
                    </w:rPr>
                  </w:pPr>
                </w:p>
              </w:sdtContent>
            </w:sdt>
            <w:sdt>
              <w:sdtPr>
                <w:alias w:val="lentele"/>
                <w:tag w:val="part_601460ea562c492db9fd9259246c6fa1"/>
                <w:lock w:val="sdtLocked"/>
                <w:richText/>
              </w:sdtPr>
              <w:sdtContent>
                <w:p>
                  <w:pPr>
                    <w:tabs>
                      <w:tab w:val="left" w:pos="4590"/>
                    </w:tabs>
                    <w:jc w:val="both"/>
                    <w:rPr>
                      <w:szCs w:val="24"/>
                    </w:rPr>
                  </w:pPr>
                  <w:sdt>
                    <w:sdtPr>
                      <w:alias w:val="Pavadinimas"/>
                      <w:tag w:val="title_601460ea562c492db9fd9259246c6fa1"/>
                      <w:lock w:val="sdtLocked"/>
                      <w:richText/>
                    </w:sdtPr>
                    <w:sdtContent>
                      <w:r>
                        <w:rPr>
                          <w:b/>
                          <w:szCs w:val="24"/>
                        </w:rPr>
                        <w:t>Įskaityta (+ / -)</w:t>
                      </w:r>
                      <w:r>
                        <w:rPr>
                          <w:b/>
                          <w:szCs w:val="24"/>
                          <w:vertAlign w:val="superscript"/>
                        </w:rPr>
                        <w:t>*</w:t>
                      </w:r>
                      <w:r>
                        <w:rPr>
                          <w:b/>
                          <w:szCs w:val="24"/>
                        </w:rPr>
                        <w:t>mokesčiams ir (arba) kitoms įmokoms padengti</w:t>
                      </w:r>
                    </w:sdtContent>
                  </w:sdt>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2"/>
                    <w:gridCol w:w="1276"/>
                    <w:gridCol w:w="4678"/>
                    <w:gridCol w:w="1701"/>
                    <w:gridCol w:w="1559"/>
                  </w:tblGrid>
                  <w:tr>
                    <w:tc>
                      <w:tcPr>
                        <w:tcW w:w="562" w:type="dxa"/>
                      </w:tcPr>
                      <w:p>
                        <w:pPr>
                          <w:jc w:val="both"/>
                          <w:rPr>
                            <w:sz w:val="22"/>
                            <w:szCs w:val="24"/>
                            <w:lang w:eastAsia="lt-LT"/>
                          </w:rPr>
                        </w:pPr>
                        <w:r>
                          <w:rPr>
                            <w:szCs w:val="24"/>
                            <w:lang w:eastAsia="lt-LT"/>
                          </w:rPr>
                          <w:t>Eil. Nr.</w:t>
                        </w:r>
                      </w:p>
                    </w:tc>
                    <w:tc>
                      <w:tcPr>
                        <w:tcW w:w="1276" w:type="dxa"/>
                      </w:tcPr>
                      <w:p>
                        <w:pPr>
                          <w:jc w:val="center"/>
                          <w:rPr>
                            <w:sz w:val="22"/>
                            <w:szCs w:val="24"/>
                            <w:lang w:eastAsia="lt-LT"/>
                          </w:rPr>
                        </w:pPr>
                        <w:r>
                          <w:rPr>
                            <w:szCs w:val="24"/>
                            <w:lang w:eastAsia="lt-LT"/>
                          </w:rPr>
                          <w:t>Įmokos kodas</w:t>
                        </w:r>
                      </w:p>
                    </w:tc>
                    <w:tc>
                      <w:tcPr>
                        <w:tcW w:w="4678" w:type="dxa"/>
                      </w:tcPr>
                      <w:p>
                        <w:pPr>
                          <w:tabs>
                            <w:tab w:val="center" w:pos="4153"/>
                            <w:tab w:val="right" w:pos="8306"/>
                          </w:tabs>
                          <w:jc w:val="center"/>
                          <w:rPr>
                            <w:szCs w:val="24"/>
                          </w:rPr>
                        </w:pPr>
                        <w:r>
                          <w:rPr>
                            <w:szCs w:val="24"/>
                          </w:rPr>
                          <w:t>Mokestis ir (arba) kita įmoka</w:t>
                        </w:r>
                      </w:p>
                      <w:p>
                        <w:pPr>
                          <w:ind w:firstLine="567"/>
                          <w:jc w:val="center"/>
                          <w:rPr>
                            <w:sz w:val="22"/>
                            <w:szCs w:val="24"/>
                            <w:lang w:eastAsia="lt-LT"/>
                          </w:rPr>
                        </w:pPr>
                      </w:p>
                    </w:tc>
                    <w:tc>
                      <w:tcPr>
                        <w:tcW w:w="1701" w:type="dxa"/>
                      </w:tcPr>
                      <w:p>
                        <w:pPr>
                          <w:ind w:hanging="19"/>
                          <w:jc w:val="center"/>
                          <w:rPr>
                            <w:sz w:val="22"/>
                            <w:szCs w:val="24"/>
                            <w:lang w:eastAsia="lt-LT"/>
                          </w:rPr>
                        </w:pPr>
                        <w:r>
                          <w:rPr>
                            <w:szCs w:val="24"/>
                            <w:lang w:eastAsia="lt-LT"/>
                          </w:rPr>
                          <w:t>Įskaitymo data</w:t>
                        </w:r>
                      </w:p>
                    </w:tc>
                    <w:tc>
                      <w:tcPr>
                        <w:tcW w:w="1559" w:type="dxa"/>
                      </w:tcPr>
                      <w:p>
                        <w:pPr>
                          <w:jc w:val="center"/>
                          <w:rPr>
                            <w:sz w:val="22"/>
                            <w:szCs w:val="24"/>
                            <w:lang w:eastAsia="lt-LT"/>
                          </w:rPr>
                        </w:pPr>
                        <w:r>
                          <w:rPr>
                            <w:szCs w:val="24"/>
                            <w:lang w:eastAsia="lt-LT"/>
                          </w:rPr>
                          <w:t xml:space="preserve">Suma </w:t>
                        </w:r>
                      </w:p>
                      <w:p>
                        <w:pPr>
                          <w:jc w:val="center"/>
                          <w:rPr>
                            <w:sz w:val="22"/>
                            <w:szCs w:val="24"/>
                            <w:lang w:eastAsia="lt-LT"/>
                          </w:rPr>
                        </w:pPr>
                        <w:r>
                          <w:rPr>
                            <w:szCs w:val="24"/>
                            <w:lang w:eastAsia="lt-LT"/>
                          </w:rPr>
                          <w:t>Eur</w:t>
                        </w:r>
                      </w:p>
                    </w:tc>
                  </w:tr>
                  <w:tr>
                    <w:tc>
                      <w:tcPr>
                        <w:tcW w:w="562" w:type="dxa"/>
                      </w:tcPr>
                      <w:p>
                        <w:pPr>
                          <w:keepNext/>
                          <w:ind w:firstLine="567"/>
                          <w:jc w:val="center"/>
                          <w:rPr>
                            <w:sz w:val="22"/>
                            <w:szCs w:val="24"/>
                          </w:rPr>
                        </w:pPr>
                      </w:p>
                    </w:tc>
                    <w:tc>
                      <w:tcPr>
                        <w:tcW w:w="1276" w:type="dxa"/>
                      </w:tcPr>
                      <w:p>
                        <w:pPr>
                          <w:keepNext/>
                          <w:ind w:firstLine="567"/>
                          <w:jc w:val="center"/>
                          <w:rPr>
                            <w:sz w:val="22"/>
                            <w:szCs w:val="24"/>
                          </w:rPr>
                        </w:pPr>
                      </w:p>
                    </w:tc>
                    <w:tc>
                      <w:tcPr>
                        <w:tcW w:w="4678" w:type="dxa"/>
                      </w:tcPr>
                      <w:p>
                        <w:pPr>
                          <w:keepNext/>
                          <w:ind w:firstLine="567"/>
                          <w:jc w:val="center"/>
                          <w:rPr>
                            <w:sz w:val="22"/>
                            <w:szCs w:val="24"/>
                          </w:rPr>
                        </w:pPr>
                      </w:p>
                    </w:tc>
                    <w:tc>
                      <w:tcPr>
                        <w:tcW w:w="1701" w:type="dxa"/>
                      </w:tcPr>
                      <w:p>
                        <w:pPr>
                          <w:keepNext/>
                          <w:ind w:firstLine="567"/>
                          <w:jc w:val="center"/>
                          <w:rPr>
                            <w:sz w:val="22"/>
                            <w:szCs w:val="24"/>
                          </w:rPr>
                        </w:pPr>
                      </w:p>
                    </w:tc>
                    <w:tc>
                      <w:tcPr>
                        <w:tcW w:w="1559" w:type="dxa"/>
                      </w:tcPr>
                      <w:p>
                        <w:pPr>
                          <w:keepNext/>
                          <w:ind w:firstLine="567"/>
                          <w:jc w:val="right"/>
                          <w:rPr>
                            <w:sz w:val="22"/>
                            <w:szCs w:val="24"/>
                          </w:rPr>
                        </w:pPr>
                      </w:p>
                    </w:tc>
                  </w:tr>
                  <w:tr>
                    <w:tc>
                      <w:tcPr>
                        <w:tcW w:w="562" w:type="dxa"/>
                      </w:tcPr>
                      <w:p>
                        <w:pPr>
                          <w:keepNext/>
                          <w:ind w:firstLine="567"/>
                          <w:jc w:val="center"/>
                          <w:rPr>
                            <w:sz w:val="22"/>
                            <w:szCs w:val="24"/>
                          </w:rPr>
                        </w:pPr>
                      </w:p>
                    </w:tc>
                    <w:tc>
                      <w:tcPr>
                        <w:tcW w:w="1276" w:type="dxa"/>
                      </w:tcPr>
                      <w:p>
                        <w:pPr>
                          <w:keepNext/>
                          <w:ind w:firstLine="567"/>
                          <w:jc w:val="center"/>
                          <w:rPr>
                            <w:sz w:val="22"/>
                            <w:szCs w:val="24"/>
                          </w:rPr>
                        </w:pPr>
                      </w:p>
                    </w:tc>
                    <w:tc>
                      <w:tcPr>
                        <w:tcW w:w="4678" w:type="dxa"/>
                      </w:tcPr>
                      <w:p>
                        <w:pPr>
                          <w:keepNext/>
                          <w:ind w:firstLine="567"/>
                          <w:jc w:val="center"/>
                          <w:rPr>
                            <w:sz w:val="22"/>
                            <w:szCs w:val="24"/>
                          </w:rPr>
                        </w:pPr>
                      </w:p>
                    </w:tc>
                    <w:tc>
                      <w:tcPr>
                        <w:tcW w:w="1701" w:type="dxa"/>
                      </w:tcPr>
                      <w:p>
                        <w:pPr>
                          <w:keepNext/>
                          <w:ind w:firstLine="567"/>
                          <w:jc w:val="center"/>
                          <w:rPr>
                            <w:sz w:val="22"/>
                            <w:szCs w:val="24"/>
                          </w:rPr>
                        </w:pPr>
                      </w:p>
                    </w:tc>
                    <w:tc>
                      <w:tcPr>
                        <w:tcW w:w="1559" w:type="dxa"/>
                      </w:tcPr>
                      <w:p>
                        <w:pPr>
                          <w:keepNext/>
                          <w:ind w:firstLine="567"/>
                          <w:jc w:val="right"/>
                          <w:rPr>
                            <w:sz w:val="22"/>
                            <w:szCs w:val="24"/>
                          </w:rPr>
                        </w:pPr>
                      </w:p>
                    </w:tc>
                  </w:tr>
                  <w:tr>
                    <w:tc>
                      <w:tcPr>
                        <w:tcW w:w="562" w:type="dxa"/>
                        <w:tcBorders>
                          <w:bottom w:val="single" w:sz="4" w:space="0" w:color="auto"/>
                        </w:tcBorders>
                      </w:tcPr>
                      <w:p>
                        <w:pPr>
                          <w:keepNext/>
                          <w:ind w:firstLine="567"/>
                          <w:jc w:val="center"/>
                          <w:rPr>
                            <w:sz w:val="22"/>
                            <w:szCs w:val="24"/>
                          </w:rPr>
                        </w:pPr>
                      </w:p>
                    </w:tc>
                    <w:tc>
                      <w:tcPr>
                        <w:tcW w:w="1276" w:type="dxa"/>
                      </w:tcPr>
                      <w:p>
                        <w:pPr>
                          <w:keepNext/>
                          <w:ind w:firstLine="567"/>
                          <w:jc w:val="center"/>
                          <w:rPr>
                            <w:sz w:val="22"/>
                            <w:szCs w:val="24"/>
                          </w:rPr>
                        </w:pPr>
                      </w:p>
                    </w:tc>
                    <w:tc>
                      <w:tcPr>
                        <w:tcW w:w="4678" w:type="dxa"/>
                      </w:tcPr>
                      <w:p>
                        <w:pPr>
                          <w:ind w:left="1903" w:firstLine="1739"/>
                          <w:jc w:val="center"/>
                          <w:rPr>
                            <w:sz w:val="22"/>
                            <w:szCs w:val="24"/>
                          </w:rPr>
                        </w:pPr>
                        <w:r>
                          <w:rPr>
                            <w:szCs w:val="24"/>
                          </w:rPr>
                          <w:t>Iš viso:</w:t>
                        </w:r>
                      </w:p>
                    </w:tc>
                    <w:tc>
                      <w:tcPr>
                        <w:tcW w:w="1701" w:type="dxa"/>
                      </w:tcPr>
                      <w:p>
                        <w:pPr>
                          <w:ind w:firstLine="567"/>
                          <w:jc w:val="center"/>
                          <w:rPr>
                            <w:sz w:val="22"/>
                            <w:szCs w:val="24"/>
                          </w:rPr>
                        </w:pPr>
                      </w:p>
                    </w:tc>
                    <w:tc>
                      <w:tcPr>
                        <w:tcW w:w="1559" w:type="dxa"/>
                      </w:tcPr>
                      <w:p>
                        <w:pPr>
                          <w:ind w:firstLine="567"/>
                          <w:jc w:val="right"/>
                          <w:rPr>
                            <w:sz w:val="22"/>
                            <w:szCs w:val="24"/>
                          </w:rPr>
                        </w:pPr>
                      </w:p>
                      <w:p>
                        <w:pPr>
                          <w:ind w:firstLine="567"/>
                          <w:jc w:val="right"/>
                          <w:rPr>
                            <w:sz w:val="22"/>
                            <w:szCs w:val="24"/>
                          </w:rPr>
                        </w:pPr>
                      </w:p>
                    </w:tc>
                  </w:tr>
                </w:tbl>
                <w:p>
                  <w:pPr>
                    <w:spacing w:line="200" w:lineRule="exact"/>
                    <w:ind w:firstLine="567"/>
                    <w:jc w:val="both"/>
                    <w:rPr>
                      <w:szCs w:val="24"/>
                      <w:vertAlign w:val="superscript"/>
                    </w:rPr>
                  </w:pPr>
                </w:p>
              </w:sdtContent>
            </w:sdt>
            <w:sdt>
              <w:sdtPr>
                <w:alias w:val="pastraipa"/>
                <w:tag w:val="part_a37c7016b302454996fc1a1a1bad9bcf"/>
                <w:lock w:val="sdtLocked"/>
                <w:richText/>
              </w:sdtPr>
              <w:sdtContent>
                <w:p>
                  <w:pPr>
                    <w:ind w:right="-171" w:firstLine="540"/>
                    <w:jc w:val="both"/>
                    <w:rPr>
                      <w:sz w:val="20"/>
                      <w:szCs w:val="24"/>
                      <w:lang w:eastAsia="lt-LT"/>
                    </w:rPr>
                  </w:pPr>
                  <w:r>
                    <w:rPr>
                      <w:szCs w:val="24"/>
                    </w:rPr>
                    <w:t>Pranešimas gali būti skundžiamas Lietuvos Respublikos mokesčių administravimo įstatymo IX skyriuje nustatyta tvarka Mokestinių ginčų komisijai prie Lietuvos Respublikos Vyriausybės (Vilniaus g. 27, 01402 Vilnius), skundą paduodant per Valstybinę mokesčių inspekciją prie Lietuvos Respublikos finansų ministerijos (Vasario 16-osios g. 14, 01107 Vilnius), per 20 (dvidešimt) dienų nuo šio sprendimo įteikimo mokesčių mokėtojui dienos.</w:t>
                  </w:r>
                </w:p>
                <w:p/>
                <w:p>
                  <w:pPr>
                    <w:tabs>
                      <w:tab w:val="center" w:pos="4500"/>
                      <w:tab w:val="center" w:pos="8820"/>
                    </w:tabs>
                    <w:ind w:firstLine="709"/>
                    <w:jc w:val="both"/>
                    <w:rPr>
                      <w:szCs w:val="24"/>
                    </w:rPr>
                  </w:pPr>
                </w:p>
                <w:p>
                  <w:pPr>
                    <w:tabs>
                      <w:tab w:val="center" w:pos="4500"/>
                      <w:tab w:val="center" w:pos="8820"/>
                    </w:tabs>
                    <w:ind w:hanging="142"/>
                    <w:jc w:val="both"/>
                    <w:rPr>
                      <w:szCs w:val="24"/>
                    </w:rPr>
                  </w:pPr>
                </w:p>
              </w:sdtContent>
            </w:sdt>
            <w:sdt>
              <w:sdtPr>
                <w:alias w:val="lentele"/>
                <w:tag w:val="part_fb153bc754de4acb98b0b832bf14866e"/>
                <w:lock w:val="sdtLocked"/>
                <w:richText/>
              </w:sdtPr>
              <w:sdtContent>
                <w:tbl>
                  <w:tblPr>
                    <w:tblW w:w="0" w:type="auto"/>
                    <w:tblInd w:w="8" w:type="dxa"/>
                    <w:tblLayout w:type="fixed"/>
                    <w:tblCellMar>
                      <w:left w:w="0" w:type="dxa"/>
                      <w:right w:w="0" w:type="dxa"/>
                    </w:tblCellMar>
                    <w:tblLook w:val="0000" w:firstRow="0" w:lastRow="0" w:firstColumn="0" w:lastColumn="0" w:noHBand="0" w:noVBand="0"/>
                  </w:tblPr>
                  <w:tblGrid>
                    <w:gridCol w:w="3402"/>
                    <w:gridCol w:w="2694"/>
                    <w:gridCol w:w="3544"/>
                  </w:tblGrid>
                  <w:tr>
                    <w:tc>
                      <w:tcPr>
                        <w:tcW w:w="3402" w:type="dxa"/>
                        <w:vAlign w:val="bottom"/>
                      </w:tcPr>
                      <w:p>
                        <w:pPr>
                          <w:tabs>
                            <w:tab w:val="left" w:pos="4820"/>
                            <w:tab w:val="left" w:pos="7229"/>
                          </w:tabs>
                          <w:jc w:val="both"/>
                          <w:rPr>
                            <w:color w:val="000000"/>
                            <w:szCs w:val="24"/>
                          </w:rPr>
                        </w:pPr>
                        <w:r>
                          <w:rPr>
                            <w:color w:val="000000"/>
                            <w:szCs w:val="24"/>
                          </w:rPr>
                          <w:t>(Pareigų pavadinimas)</w:t>
                        </w:r>
                      </w:p>
                    </w:tc>
                    <w:tc>
                      <w:tcPr>
                        <w:tcW w:w="2694" w:type="dxa"/>
                        <w:vAlign w:val="bottom"/>
                      </w:tcPr>
                      <w:p>
                        <w:pPr>
                          <w:tabs>
                            <w:tab w:val="left" w:pos="4820"/>
                            <w:tab w:val="left" w:pos="7229"/>
                          </w:tabs>
                          <w:ind w:firstLine="815"/>
                          <w:jc w:val="center"/>
                          <w:rPr>
                            <w:color w:val="000000"/>
                            <w:szCs w:val="24"/>
                          </w:rPr>
                        </w:pPr>
                        <w:r>
                          <w:rPr>
                            <w:szCs w:val="24"/>
                          </w:rPr>
                          <w:t>(Parašas)</w:t>
                        </w:r>
                      </w:p>
                    </w:tc>
                    <w:tc>
                      <w:tcPr>
                        <w:tcW w:w="3544" w:type="dxa"/>
                        <w:vAlign w:val="bottom"/>
                      </w:tcPr>
                      <w:p>
                        <w:pPr>
                          <w:tabs>
                            <w:tab w:val="left" w:pos="4820"/>
                            <w:tab w:val="left" w:pos="7229"/>
                          </w:tabs>
                          <w:ind w:firstLine="567"/>
                          <w:jc w:val="right"/>
                          <w:rPr>
                            <w:color w:val="000000"/>
                            <w:szCs w:val="24"/>
                          </w:rPr>
                        </w:pPr>
                        <w:r>
                          <w:rPr>
                            <w:color w:val="000000"/>
                            <w:szCs w:val="24"/>
                          </w:rPr>
                          <w:t>(Vardas ir pavardė)</w:t>
                        </w:r>
                      </w:p>
                    </w:tc>
                  </w:tr>
                </w:tbl>
                <w:p/>
              </w:sdtContent>
            </w:sdt>
          </w:sdtContent>
        </w:sdt>
        <w:sdt>
          <w:sdtPr>
            <w:alias w:val="signatura"/>
            <w:tag w:val="part_9ac3e7ad3cf14445a054909c65cd7714"/>
            <w:lock w:val="sdtLocked"/>
            <w:richText/>
          </w:sdtPr>
          <w:sdtContent>
            <w:p>
              <w:pPr>
                <w:tabs>
                  <w:tab w:val="left" w:pos="2220"/>
                </w:tabs>
                <w:ind w:firstLine="2220"/>
                <w:jc w:val="both"/>
                <w:rPr>
                  <w:szCs w:val="24"/>
                </w:rPr>
              </w:pPr>
              <w:r>
                <w:rPr>
                  <w:szCs w:val="24"/>
                </w:rPr>
                <w:t>A. V.</w:t>
              </w: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hanging="142"/>
                <w:jc w:val="both"/>
                <w:rPr>
                  <w:szCs w:val="24"/>
                </w:rPr>
              </w:pPr>
            </w:p>
            <w:p>
              <w:pPr>
                <w:tabs>
                  <w:tab w:val="center" w:pos="4500"/>
                  <w:tab w:val="center" w:pos="8820"/>
                </w:tabs>
                <w:ind w:firstLine="567"/>
                <w:jc w:val="both"/>
                <w:rPr>
                  <w:szCs w:val="24"/>
                </w:rPr>
              </w:pPr>
            </w:p>
            <w:p>
              <w:pPr>
                <w:tabs>
                  <w:tab w:val="center" w:pos="4500"/>
                  <w:tab w:val="center" w:pos="8820"/>
                </w:tabs>
                <w:ind w:left="-90"/>
                <w:jc w:val="both"/>
                <w:rPr>
                  <w:szCs w:val="24"/>
                </w:rPr>
              </w:pPr>
              <w:r>
                <w:rPr>
                  <w:szCs w:val="24"/>
                </w:rPr>
                <w:t>(Rengėjo nuoroda)</w:t>
              </w:r>
            </w:p>
          </w:sdtContent>
        </w:sdt>
      </w:sdtContent>
    </w:sdt>
    <w:sectPr>
      <w:headerReference w:type="even" r:id="rId11"/>
      <w:headerReference w:type="default" r:id="rId12"/>
      <w:footerReference w:type="even" r:id="rId13"/>
      <w:footerReference w:type="default" r:id="rId14"/>
      <w:headerReference w:type="first" r:id="rId15"/>
      <w:footerReference w:type="first" r:id="rId16"/>
      <w:pgSz w:w="11907" w:h="16840" w:code="9"/>
      <w:pgMar w:top="810"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567"/>
        <w:jc w:val="both"/>
        <w:rPr>
          <w:szCs w:val="24"/>
        </w:rPr>
      </w:pPr>
      <w:r>
        <w:rPr>
          <w:szCs w:val="24"/>
        </w:rPr>
        <w:separator/>
      </w:r>
    </w:p>
  </w:endnote>
  <w:endnote w:type="continuationSeparator" w:id="0">
    <w:p>
      <w:pPr>
        <w:ind w:firstLine="567"/>
        <w:jc w:val="both"/>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spacing w:line="240" w:lineRule="exact"/>
      <w:jc w:val="both"/>
      <w:rPr>
        <w:szCs w:val="24"/>
        <w:vertAlign w:val="superscript"/>
      </w:rPr>
    </w:pPr>
    <w:r>
      <w:rPr>
        <w:szCs w:val="24"/>
        <w:vertAlign w:val="superscript"/>
      </w:rPr>
      <w:t>________________________________________________________________________________________________________________________</w:t>
    </w:r>
  </w:p>
  <w:p>
    <w:pPr>
      <w:spacing w:line="240" w:lineRule="exact"/>
      <w:jc w:val="both"/>
      <w:rPr>
        <w:szCs w:val="24"/>
        <w:vertAlign w:val="superscript"/>
      </w:rPr>
    </w:pPr>
    <w:r>
      <w:rPr>
        <w:szCs w:val="24"/>
        <w:vertAlign w:val="superscript"/>
      </w:rPr>
      <w:t xml:space="preserve">(+) – iš Pranešime nurodyto mokestinio laikotarpio deklaruotos grąžintinos sumos mokestis įskaitytas to paties ar kito mokestinio laikotarpio                                                            susidariusiai nepriemokai padengti;</w:t>
    </w:r>
  </w:p>
  <w:p>
    <w:pPr>
      <w:tabs>
        <w:tab w:val="center" w:pos="4153"/>
        <w:tab w:val="right" w:pos="8306"/>
      </w:tabs>
      <w:rPr>
        <w:lang w:eastAsia="lt-LT"/>
      </w:rPr>
    </w:pPr>
    <w:r>
      <w:rPr>
        <w:szCs w:val="24"/>
        <w:vertAlign w:val="superscript"/>
        <w:lang w:eastAsia="lt-LT"/>
      </w:rPr>
      <w:t xml:space="preserve">(-) – iš kito mokestinio laikotarpio permokos įskaityta Pranešime nurodyto deklaruoto grąžintino mokestinio laikotarpio susidariusi nepriemoka.  </w:t>
    </w: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567"/>
        <w:jc w:val="both"/>
        <w:rPr>
          <w:szCs w:val="24"/>
        </w:rPr>
      </w:pPr>
      <w:r>
        <w:rPr>
          <w:szCs w:val="24"/>
        </w:rPr>
        <w:separator/>
      </w:r>
    </w:p>
  </w:footnote>
  <w:footnote w:type="continuationSeparator" w:id="0">
    <w:p>
      <w:pPr>
        <w:ind w:firstLine="567"/>
        <w:jc w:val="both"/>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ind w:firstLine="567"/>
      <w:jc w:val="both"/>
      <w:rPr>
        <w:szCs w:val="24"/>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ind w:firstLine="567"/>
      <w:jc w:val="both"/>
      <w:rPr>
        <w:szCs w:val="24"/>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ind w:firstLine="567"/>
      <w:jc w:val="both"/>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26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638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a234121f32647069068785016c642d6" PartId="dba6d869838e4d1f99a848b0142565b2">
    <Part Type="preambule" DocPartId="f6d51ccd43cf48d088b8abfe2d8819fe" PartId="a70c5f11ff04495a914d1ed27f4cea8b"/>
    <Part Type="skirsnis" Title="PRANEŠIMAS APIE GYVENTOJŲ PAJAMŲ MOKESČIO GRĄŽINIMĄ PAGAL PAJAMŲ MOKESČIO DEKLARACIJĄ" DocPartId="4534b853f8ff4fad942fa3cbed924dc8" PartId="66657b6f0ab84588a7bcbb62c7e079ae">
      <Part Type="lentele" Title="deklaruota grąžintina suma pajamų mokesčio deklaracijoje" DocPartId="e3b411fbfad64cf885de394558604fc0" PartId="4b2b69ec2c9b46528518758680a4fea8"/>
      <Part Type="lentele" Title="grąžinta / pervesta pagal trečiųjų asmenų reikalavimus" DocPartId="68dcef831a22475383f93d68be9a2346" PartId="e7d00d83d8634048a67c547a37fc036e"/>
      <Part Type="lentele" Title="Įskaityta (+ / -)*mokesčiams ir (arba) kitoms įmokoms padengti" DocPartId="ba88b0c75d7043b6960b5c2a9842285e" PartId="601460ea562c492db9fd9259246c6fa1"/>
      <Part Type="pastraipa" DocPartId="55e0924be1c24f159f15078b1451c741" PartId="a37c7016b302454996fc1a1a1bad9bcf"/>
      <Part Type="lentele" DocPartId="db5ada83c46a40a1b73de1b115ffc26b" PartId="fb153bc754de4acb98b0b832bf14866e"/>
    </Part>
    <Part Type="signatura" DocPartId="134c1d1837254db4b2a789082424332e" PartId="9ac3e7ad3cf14445a054909c65cd7714"/>
  </Part>
</Parts>
</file>

<file path=customXml/itemProps1.xml><?xml version="1.0" encoding="utf-8"?>
<ds:datastoreItem xmlns:ds="http://schemas.openxmlformats.org/officeDocument/2006/customXml" ds:itemID="{0E4DEA36-1C79-493F-81E1-0656FDFD0A51}">
  <ds:schemaRefs>
    <ds:schemaRef ds:uri="http://schemas.openxmlformats.org/officeDocument/2006/bibliography"/>
  </ds:schemaRefs>
</ds:datastoreItem>
</file>

<file path=customXml/itemProps2.xml><?xml version="1.0" encoding="utf-8"?>
<ds:datastoreItem xmlns:ds="http://schemas.openxmlformats.org/officeDocument/2006/customXml" ds:itemID="{9FF0B42D-90C3-418C-9573-B7922B375A2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289</Words>
  <Characters>2000</Characters>
  <Application>Microsoft Office Word</Application>
  <DocSecurity>4</DocSecurity>
  <Lines>153</Lines>
  <Paragraphs>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VMI</Company>
  <LinksUpToDate>false</LinksUpToDate>
  <CharactersWithSpaces>2237</CharactersWithSpaces>
  <SharedDoc>false</SharedDoc>
  <HyperlinkBase/>
  <HLinks>
    <vt:vector size="6" baseType="variant">
      <vt:variant>
        <vt:i4>1441866</vt:i4>
      </vt:variant>
      <vt:variant>
        <vt:i4>0</vt:i4>
      </vt:variant>
      <vt:variant>
        <vt:i4>0</vt:i4>
      </vt:variant>
      <vt:variant>
        <vt:i4>5</vt:i4>
      </vt:variant>
      <vt:variant>
        <vt:lpwstr>https://www.infolex.lt/ta/142708</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2021-03-17T07:07:00Z</dcterms:created>
  <dc:creator>G.Kirdulyte</dc:creator>
  <lastModifiedBy>adlibuser</lastModifiedBy>
  <lastPrinted>2013-01-30T07:02:00Z</lastPrinted>
  <dcterms:modified xsi:type="dcterms:W3CDTF">2021-03-17T07:07:00Z</dcterms:modified>
  <revision>2</revision>
</coreProperties>
</file>