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f1f516f854584ffc867de31066305451"/>
        <w:lock w:val="sdtLocked"/>
        <w:richText/>
      </w:sdtPr>
      <w:sdtContent>
        <w:p w14:paraId="41F8032B" w14:textId="77777777">
          <w:pPr>
            <w:tabs>
              <w:tab w:val="center" w:pos="4986"/>
              <w:tab w:val="right" w:pos="9972"/>
            </w:tabs>
          </w:pPr>
        </w:p>
        <w:p w14:paraId="61CE04EC" w14:textId="77777777">
          <w:pPr>
            <w:tabs>
              <w:tab w:val="center" w:pos="4819"/>
              <w:tab w:val="right" w:pos="9638"/>
            </w:tabs>
          </w:pPr>
        </w:p>
        <w:p w14:paraId="761E66A5" w14:textId="77777777">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582255D3" w14:textId="42385030">
          <w:pPr>
            <w:ind w:left="10065"/>
            <w:jc w:val="both"/>
            <w:rPr>
              <w:szCs w:val="24"/>
            </w:rPr>
          </w:pPr>
          <w:sdt>
            <w:sdtPr>
              <w:alias w:val="Numeris"/>
              <w:tag w:val="nr_f1f516f854584ffc867de31066305451"/>
              <w:lock w:val="sdtLocked"/>
              <w:richText/>
            </w:sdtPr>
            <w:sdtContent>
              <w:r>
                <w:rPr>
                  <w:szCs w:val="24"/>
                </w:rPr>
                <w:t>9</w:t>
              </w:r>
            </w:sdtContent>
          </w:sdt>
          <w:r>
            <w:rPr>
              <w:szCs w:val="24"/>
            </w:rPr>
            <w:t xml:space="preserve"> priedas  </w:t>
          </w:r>
        </w:p>
        <w:p w14:paraId="09BED49B" w14:textId="77777777">
          <w:pPr>
            <w:jc w:val="center"/>
            <w:rPr>
              <w:i/>
              <w:szCs w:val="24"/>
            </w:rPr>
          </w:pPr>
        </w:p>
        <w:p w14:paraId="78EEF514" w14:textId="10C04239">
          <w:pPr>
            <w:jc w:val="center"/>
            <w:rPr>
              <w:b/>
              <w:bCs/>
              <w:szCs w:val="24"/>
              <w:lang w:val="en-US"/>
            </w:rPr>
          </w:pPr>
          <w:sdt>
            <w:sdtPr>
              <w:alias w:val="Pavadinimas"/>
              <w:tag w:val="title_f1f516f854584ffc867de31066305451"/>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9</w:t>
              </w:r>
            </w:sdtContent>
          </w:sdt>
        </w:p>
        <w:p w14:paraId="7AD3B93A" w14:textId="1BE7F05E">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59"/>
            <w:gridCol w:w="1134"/>
            <w:gridCol w:w="992"/>
            <w:gridCol w:w="993"/>
            <w:gridCol w:w="1275"/>
            <w:gridCol w:w="1276"/>
            <w:gridCol w:w="1134"/>
            <w:gridCol w:w="1276"/>
            <w:gridCol w:w="1276"/>
            <w:gridCol w:w="1275"/>
            <w:gridCol w:w="1418"/>
          </w:tblGrid>
          <w:tr w14:paraId="728ADD58" w14:textId="07785E05">
            <w:tc>
              <w:tcPr>
                <w:tcW w:w="13467" w:type="dxa"/>
                <w:gridSpan w:val="11"/>
                <w:tcBorders>
                  <w:top w:val="single" w:sz="4" w:space="0" w:color="auto"/>
                  <w:left w:val="single" w:sz="4" w:space="0" w:color="auto"/>
                  <w:bottom w:val="single" w:sz="4" w:space="0" w:color="auto"/>
                  <w:right w:val="single" w:sz="4" w:space="0" w:color="auto"/>
                </w:tcBorders>
                <w:vAlign w:val="center"/>
              </w:tcPr>
              <w:p w14:paraId="46C0EE82" w14:textId="4CFED36F">
                <w:pPr>
                  <w:jc w:val="center"/>
                  <w:rPr>
                    <w:b/>
                    <w:i/>
                    <w:sz w:val="20"/>
                  </w:rPr>
                </w:pPr>
                <w:r>
                  <w:rPr>
                    <w:b/>
                    <w:sz w:val="20"/>
                  </w:rPr>
                  <w:t>VEIKLOS AR POVEIKLĖS, KURIOMS NUSTATOMOS PROJEKTŲ FINANSAVIMO SĄLYGOS</w:t>
                </w:r>
              </w:p>
            </w:tc>
            <w:tc>
              <w:tcPr>
                <w:tcW w:w="1418" w:type="dxa"/>
                <w:tcBorders>
                  <w:top w:val="single" w:sz="4" w:space="0" w:color="auto"/>
                  <w:left w:val="single" w:sz="4" w:space="0" w:color="auto"/>
                  <w:bottom w:val="single" w:sz="4" w:space="0" w:color="auto"/>
                  <w:right w:val="single" w:sz="4" w:space="0" w:color="auto"/>
                </w:tcBorders>
              </w:tcPr>
              <w:p w14:paraId="2FBB9446" w14:textId="77777777">
                <w:pPr>
                  <w:jc w:val="center"/>
                  <w:rPr>
                    <w:b/>
                    <w:sz w:val="20"/>
                  </w:rPr>
                </w:pPr>
              </w:p>
            </w:tc>
          </w:tr>
          <w:tr w14:paraId="4DDF1560" w14:textId="4A340C95">
            <w:tc>
              <w:tcPr>
                <w:tcW w:w="1277" w:type="dxa"/>
                <w:tcBorders>
                  <w:top w:val="single" w:sz="4" w:space="0" w:color="auto"/>
                  <w:left w:val="single" w:sz="4" w:space="0" w:color="auto"/>
                  <w:bottom w:val="single" w:sz="4" w:space="0" w:color="auto"/>
                  <w:right w:val="single" w:sz="4" w:space="0" w:color="auto"/>
                </w:tcBorders>
                <w:vAlign w:val="center"/>
                <w:hideMark/>
              </w:tcPr>
              <w:p w14:paraId="545A7D4B" w14:textId="49508808">
                <w:pPr>
                  <w:rPr>
                    <w:b/>
                    <w:i/>
                    <w:sz w:val="20"/>
                  </w:rPr>
                </w:pPr>
                <w:r>
                  <w:rPr>
                    <w:b/>
                    <w:sz w:val="20"/>
                  </w:rPr>
                  <w:t>Veiklos ar poveiklės pavadini-mas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8577B2" w14:textId="2D0989D8">
                <w:pPr>
                  <w:rPr>
                    <w:b/>
                    <w:i/>
                    <w:sz w:val="20"/>
                  </w:rPr>
                </w:pPr>
                <w:r>
                  <w:rPr>
                    <w:b/>
                    <w:sz w:val="20"/>
                  </w:rPr>
                  <w:t>Finansavimo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DD46139" w14:textId="77777777">
                <w:pPr>
                  <w:rPr>
                    <w:b/>
                    <w:bCs/>
                    <w:sz w:val="20"/>
                  </w:rPr>
                </w:pPr>
                <w:r>
                  <w:rPr>
                    <w:b/>
                    <w:bCs/>
                    <w:sz w:val="20"/>
                  </w:rPr>
                  <w:t>Prioritetas ar kompo-</w:t>
                </w:r>
              </w:p>
              <w:p w14:paraId="514DAC26" w14:textId="2CC7A876">
                <w:pPr>
                  <w:rPr>
                    <w:b/>
                    <w:i/>
                    <w:sz w:val="20"/>
                  </w:rPr>
                </w:pPr>
                <w:r>
                  <w:rPr>
                    <w:b/>
                    <w:bCs/>
                    <w:sz w:val="20"/>
                  </w:rPr>
                  <w:t>nentas</w:t>
                </w:r>
              </w:p>
            </w:tc>
            <w:tc>
              <w:tcPr>
                <w:tcW w:w="992" w:type="dxa"/>
                <w:tcBorders>
                  <w:top w:val="single" w:sz="4" w:space="0" w:color="auto"/>
                  <w:left w:val="single" w:sz="4" w:space="0" w:color="auto"/>
                  <w:bottom w:val="single" w:sz="4" w:space="0" w:color="auto"/>
                  <w:right w:val="single" w:sz="4" w:space="0" w:color="auto"/>
                </w:tcBorders>
                <w:vAlign w:val="center"/>
                <w:hideMark/>
              </w:tcPr>
              <w:p w14:paraId="500F1E46" w14:textId="77777777">
                <w:pPr>
                  <w:rPr>
                    <w:b/>
                    <w:bCs/>
                    <w:sz w:val="20"/>
                  </w:rPr>
                </w:pPr>
                <w:r>
                  <w:rPr>
                    <w:b/>
                    <w:bCs/>
                    <w:sz w:val="20"/>
                  </w:rPr>
                  <w:t>Uždavi-</w:t>
                </w:r>
              </w:p>
              <w:p w14:paraId="62CC4D66" w14:textId="77777777">
                <w:pPr>
                  <w:rPr>
                    <w:b/>
                    <w:bCs/>
                    <w:sz w:val="20"/>
                  </w:rPr>
                </w:pPr>
                <w:r>
                  <w:rPr>
                    <w:b/>
                    <w:bCs/>
                    <w:sz w:val="20"/>
                  </w:rPr>
                  <w:t>nys ar priemo-</w:t>
                </w:r>
              </w:p>
              <w:p w14:paraId="2BD20865" w14:textId="4EC12599">
                <w:pPr>
                  <w:rPr>
                    <w:b/>
                    <w:i/>
                    <w:sz w:val="20"/>
                  </w:rPr>
                </w:pPr>
                <w:r>
                  <w:rPr>
                    <w:b/>
                    <w:bCs/>
                    <w:sz w:val="20"/>
                  </w:rPr>
                  <w:t>nė</w:t>
                </w:r>
              </w:p>
            </w:tc>
            <w:tc>
              <w:tcPr>
                <w:tcW w:w="993" w:type="dxa"/>
                <w:tcBorders>
                  <w:top w:val="single" w:sz="4" w:space="0" w:color="auto"/>
                  <w:left w:val="single" w:sz="4" w:space="0" w:color="auto"/>
                  <w:bottom w:val="single" w:sz="4" w:space="0" w:color="auto"/>
                  <w:right w:val="single" w:sz="4" w:space="0" w:color="auto"/>
                </w:tcBorders>
                <w:vAlign w:val="center"/>
                <w:hideMark/>
              </w:tcPr>
              <w:p w14:paraId="3398D552" w14:textId="11999F95">
                <w:pPr>
                  <w:rPr>
                    <w:b/>
                    <w:i/>
                    <w:sz w:val="20"/>
                  </w:rPr>
                </w:pPr>
                <w:r>
                  <w:rPr>
                    <w:b/>
                    <w:bCs/>
                    <w:sz w:val="20"/>
                  </w:rPr>
                  <w:t>Veikla ar poveiklė</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93C8156" w14:textId="52C234B2">
                <w:pPr>
                  <w:rPr>
                    <w:b/>
                    <w:i/>
                    <w:sz w:val="20"/>
                  </w:rPr>
                </w:pPr>
                <w:r>
                  <w:rPr>
                    <w:b/>
                    <w:sz w:val="20"/>
                  </w:rPr>
                  <w:t>Intervenci-nės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3A6BD9" w14:textId="7F6C670E">
                <w:pPr>
                  <w:rPr>
                    <w:b/>
                    <w:i/>
                    <w:sz w:val="20"/>
                  </w:rPr>
                </w:pPr>
                <w:r>
                  <w:rPr>
                    <w:b/>
                    <w:sz w:val="20"/>
                  </w:rPr>
                  <w:t>Regionas, kuriam priskiria-ma veikla ar poveiklė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9485918" w14:textId="3A91437C">
                <w:pPr>
                  <w:rPr>
                    <w:b/>
                    <w:i/>
                    <w:sz w:val="20"/>
                  </w:rPr>
                </w:pPr>
                <w:r>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78ED1E7" w14:textId="1C040DB7">
                <w:pPr>
                  <w:rPr>
                    <w:b/>
                    <w:i/>
                    <w:sz w:val="20"/>
                  </w:rPr>
                </w:pPr>
                <w:r>
                  <w:rPr>
                    <w:b/>
                    <w:bCs/>
                    <w:sz w:val="20"/>
                  </w:rPr>
                  <w:t>Pagrindi-nės teritorinės srities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1738C6" w14:textId="45289CB8">
                <w:pPr>
                  <w:rPr>
                    <w:b/>
                    <w:bCs/>
                    <w:i/>
                    <w:sz w:val="20"/>
                  </w:rPr>
                </w:pPr>
                <w:r>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EE9E410" w14:textId="26BE6E4C">
                <w:pPr>
                  <w:rPr>
                    <w:b/>
                    <w:bCs/>
                    <w:i/>
                    <w:sz w:val="20"/>
                  </w:rPr>
                </w:pPr>
                <w:r>
                  <w:rPr>
                    <w:b/>
                    <w:bCs/>
                    <w:sz w:val="20"/>
                  </w:rPr>
                  <w:t>„Europos socialinio fondo +“ (toliau – ESF+) antrinių temų kodai</w:t>
                </w:r>
              </w:p>
            </w:tc>
            <w:tc>
              <w:tcPr>
                <w:tcW w:w="1418" w:type="dxa"/>
                <w:tcBorders>
                  <w:top w:val="single" w:sz="4" w:space="0" w:color="auto"/>
                  <w:left w:val="single" w:sz="4" w:space="0" w:color="auto"/>
                  <w:bottom w:val="single" w:sz="4" w:space="0" w:color="auto"/>
                  <w:right w:val="single" w:sz="4" w:space="0" w:color="auto"/>
                </w:tcBorders>
                <w:vAlign w:val="center"/>
              </w:tcPr>
              <w:p w14:paraId="49D39116" w14:textId="48FF7BC4">
                <w:pPr>
                  <w:rPr>
                    <w:b/>
                    <w:bCs/>
                    <w:sz w:val="20"/>
                  </w:rPr>
                </w:pPr>
                <w:r>
                  <w:rPr>
                    <w:b/>
                    <w:bCs/>
                    <w:sz w:val="20"/>
                  </w:rPr>
                  <w:t>Lyčių lygybės matmens kodas</w:t>
                </w:r>
              </w:p>
            </w:tc>
          </w:tr>
          <w:tr w14:paraId="33850D15" w14:textId="5471D47B">
            <w:tc>
              <w:tcPr>
                <w:tcW w:w="1277"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1B729137">
                <w:pPr>
                  <w:jc w:val="center"/>
                  <w:rPr>
                    <w:bCs/>
                    <w:iCs/>
                    <w:sz w:val="20"/>
                  </w:rPr>
                </w:pPr>
                <w:r>
                  <w:rPr>
                    <w:sz w:val="20"/>
                  </w:rPr>
                  <w:t>S</w:t>
                </w:r>
                <w:r>
                  <w:rPr>
                    <w:sz w:val="20"/>
                    <w:lang w:eastAsia="lt-LT"/>
                  </w:rPr>
                  <w:t>veikatos priežiūros paslaugų kokybės vertinimo modelio (rodiklių švieslentės) sukūrimas</w:t>
                </w:r>
                <w:r>
                  <w:rPr>
                    <w:bCs/>
                    <w:iCs/>
                    <w:sz w:val="20"/>
                  </w:rPr>
                  <w:t xml:space="preserve"> Nr. </w:t>
                </w:r>
                <w:r>
                  <w:rPr>
                    <w:bCs/>
                    <w:iCs/>
                    <w:sz w:val="20"/>
                    <w:lang w:val="en-US"/>
                  </w:rPr>
                  <w:t>4</w:t>
                </w:r>
                <w:r>
                  <w:rPr>
                    <w:bCs/>
                    <w:iCs/>
                    <w:sz w:val="20"/>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69C97C" w14:textId="321AED5C">
                <w:pPr>
                  <w:jc w:val="center"/>
                  <w:rPr>
                    <w:bCs/>
                    <w:iCs/>
                    <w:sz w:val="20"/>
                  </w:rPr>
                </w:pPr>
                <w:r>
                  <w:rPr>
                    <w:bCs/>
                    <w:iCs/>
                    <w:sz w:val="20"/>
                  </w:rPr>
                  <w:t xml:space="preserve">Ekonomikos gaivinimo ir atsparumo didinimo priemonė  (toliau – EGADP)</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55EC13AF">
                <w:pPr>
                  <w:jc w:val="center"/>
                  <w:rPr>
                    <w:bCs/>
                    <w:iCs/>
                    <w:sz w:val="20"/>
                  </w:rPr>
                </w:pPr>
                <w:r>
                  <w:rPr>
                    <w:bCs/>
                    <w:iCs/>
                    <w:sz w:val="20"/>
                  </w:rPr>
                  <w:t>1</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568A7DAE">
                <w:pPr>
                  <w:jc w:val="center"/>
                  <w:rPr>
                    <w:bCs/>
                    <w:iCs/>
                    <w:sz w:val="20"/>
                    <w:lang w:val="en-US"/>
                  </w:rPr>
                </w:pPr>
                <w:r>
                  <w:rPr>
                    <w:bCs/>
                    <w:iCs/>
                    <w:sz w:val="20"/>
                  </w:rPr>
                  <w:t>A.1.</w:t>
                </w:r>
                <w:r>
                  <w:rPr>
                    <w:bCs/>
                    <w:iCs/>
                    <w:sz w:val="20"/>
                    <w:lang w:val="en-US"/>
                  </w:rPr>
                  <w:t>1</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0C4A676A" w14:textId="31D2B2A0">
                <w:pPr>
                  <w:jc w:val="center"/>
                  <w:rPr>
                    <w:bCs/>
                    <w:iCs/>
                    <w:sz w:val="20"/>
                  </w:rPr>
                </w:pPr>
                <w:r>
                  <w:rPr>
                    <w:bCs/>
                    <w:iCs/>
                    <w:sz w:val="20"/>
                  </w:rPr>
                  <w:t>A.1.1.10</w:t>
                </w:r>
              </w:p>
              <w:p w14:paraId="0E740F49" w14:textId="016A1097">
                <w:pPr>
                  <w:jc w:val="center"/>
                  <w:rPr>
                    <w:bCs/>
                    <w:iCs/>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157B21A3" w14:textId="2CF53422">
                <w:pPr>
                  <w:jc w:val="center"/>
                  <w:rPr>
                    <w:bCs/>
                    <w:iCs/>
                    <w:sz w:val="20"/>
                  </w:rPr>
                </w:pPr>
                <w:r>
                  <w:rPr>
                    <w:bCs/>
                    <w:iCs/>
                    <w:sz w:val="20"/>
                  </w:rPr>
                  <w:t>095</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54E47662">
                <w:pPr>
                  <w:jc w:val="center"/>
                  <w:rPr>
                    <w:bCs/>
                    <w:iCs/>
                    <w:sz w:val="20"/>
                  </w:rPr>
                </w:pPr>
                <w:r>
                  <w:rPr>
                    <w:bCs/>
                    <w:iCs/>
                    <w:sz w:val="20"/>
                  </w:rPr>
                  <w:t>Nepildoma</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683ADCFA">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67343FEC">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40507FF4">
                <w:pPr>
                  <w:jc w:val="center"/>
                  <w:rPr>
                    <w:bCs/>
                    <w:iCs/>
                    <w:sz w:val="20"/>
                  </w:rPr>
                </w:pPr>
                <w:r>
                  <w:rPr>
                    <w:bCs/>
                    <w:iCs/>
                    <w:sz w:val="20"/>
                  </w:rPr>
                  <w:t>Nepildoma</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E5589E8">
                <w:pPr>
                  <w:jc w:val="center"/>
                  <w:rPr>
                    <w:bCs/>
                    <w:iCs/>
                    <w:sz w:val="20"/>
                  </w:rPr>
                </w:pPr>
                <w:r>
                  <w:rPr>
                    <w:bCs/>
                    <w:iCs/>
                    <w:sz w:val="20"/>
                  </w:rPr>
                  <w:t>Nepildoma</w:t>
                </w:r>
              </w:p>
            </w:tc>
            <w:tc>
              <w:tcPr>
                <w:tcW w:w="1418" w:type="dxa"/>
                <w:vMerge w:val="restart"/>
                <w:tcBorders>
                  <w:top w:val="single" w:sz="4" w:space="0" w:color="auto"/>
                  <w:left w:val="single" w:sz="4" w:space="0" w:color="auto"/>
                  <w:right w:val="single" w:sz="4" w:space="0" w:color="auto"/>
                </w:tcBorders>
                <w:vAlign w:val="center"/>
              </w:tcPr>
              <w:p w14:paraId="2DF14435" w14:textId="532DB32C">
                <w:pPr>
                  <w:jc w:val="center"/>
                  <w:rPr>
                    <w:bCs/>
                    <w:iCs/>
                    <w:sz w:val="20"/>
                  </w:rPr>
                </w:pPr>
                <w:r>
                  <w:rPr>
                    <w:bCs/>
                    <w:iCs/>
                    <w:sz w:val="20"/>
                  </w:rPr>
                  <w:t>Nepildoma</w:t>
                </w:r>
              </w:p>
            </w:tc>
          </w:tr>
          <w:tr w14:paraId="29653445" w14:textId="1BD270B6">
            <w:tc>
              <w:tcPr>
                <w:tcW w:w="1277"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pPr>
                  <w:rPr>
                    <w:b/>
                    <w:i/>
                    <w:sz w:val="20"/>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F09DA17" w14:textId="0B0E5099">
                <w:pPr>
                  <w:jc w:val="center"/>
                  <w:rPr>
                    <w:bCs/>
                    <w:sz w:val="20"/>
                  </w:rPr>
                </w:pPr>
                <w:r>
                  <w:rPr>
                    <w:bCs/>
                    <w:sz w:val="20"/>
                  </w:rPr>
                  <w:t>Lietuvos Respublikos valstybės biudžetas (toliau – VB)</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pPr>
                  <w:rPr>
                    <w:b/>
                    <w:bCs/>
                    <w:i/>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pPr>
                  <w:rPr>
                    <w:b/>
                    <w:bCs/>
                    <w:i/>
                    <w:sz w:val="20"/>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pPr>
                  <w:rPr>
                    <w:b/>
                    <w:bCs/>
                    <w:i/>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2195C82A" w14:textId="77777777">
                <w:pPr>
                  <w:jc w:val="center"/>
                  <w:rPr>
                    <w:b/>
                    <w:i/>
                    <w:sz w:val="20"/>
                  </w:rPr>
                </w:pPr>
                <w:r>
                  <w:rPr>
                    <w:b/>
                    <w:i/>
                    <w:sz w:val="20"/>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pPr>
                  <w:rPr>
                    <w:b/>
                    <w:bCs/>
                    <w:i/>
                    <w:sz w:val="20"/>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A28271" w14:textId="77777777">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pPr>
                  <w:rPr>
                    <w:b/>
                    <w:bCs/>
                    <w:i/>
                    <w:sz w:val="20"/>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pPr>
                  <w:rPr>
                    <w:b/>
                    <w:bCs/>
                    <w:i/>
                    <w:sz w:val="20"/>
                  </w:rPr>
                </w:pPr>
              </w:p>
            </w:tc>
            <w:tc>
              <w:tcPr>
                <w:tcW w:w="1418" w:type="dxa"/>
                <w:vMerge/>
                <w:tcBorders>
                  <w:left w:val="single" w:sz="4" w:space="0" w:color="auto"/>
                  <w:bottom w:val="single" w:sz="4" w:space="0" w:color="auto"/>
                  <w:right w:val="single" w:sz="4" w:space="0" w:color="auto"/>
                </w:tcBorders>
              </w:tcPr>
              <w:p w14:paraId="733AA638" w14:textId="77777777">
                <w:pPr>
                  <w:rPr>
                    <w:b/>
                    <w:bCs/>
                    <w:i/>
                    <w:sz w:val="20"/>
                  </w:rPr>
                </w:pPr>
              </w:p>
            </w:tc>
          </w:tr>
        </w:tbl>
        <w:p w14:paraId="2BFD077D" w14:textId="77777777">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2686"/>
            <w:gridCol w:w="2410"/>
            <w:gridCol w:w="2551"/>
            <w:gridCol w:w="3119"/>
          </w:tblGrid>
          <w:tr w14:paraId="157F0212" w14:textId="77777777">
            <w:trPr>
              <w:trHeight w:val="405"/>
            </w:trPr>
            <w:tc>
              <w:tcPr>
                <w:tcW w:w="4119" w:type="dxa"/>
                <w:shd w:val="clear" w:color="auto" w:fill="auto"/>
                <w:vAlign w:val="center"/>
              </w:tcPr>
              <w:p w14:paraId="2F749CDE" w14:textId="28E59CC3">
                <w:pPr>
                  <w:spacing w:line="276" w:lineRule="auto"/>
                  <w:jc w:val="center"/>
                  <w:rPr>
                    <w:szCs w:val="24"/>
                  </w:rPr>
                </w:pPr>
                <w:r>
                  <w:rPr>
                    <w:szCs w:val="24"/>
                  </w:rPr>
                  <w:t>Rodiklio pavadinimas</w:t>
                </w:r>
              </w:p>
            </w:tc>
            <w:tc>
              <w:tcPr>
                <w:tcW w:w="2686" w:type="dxa"/>
                <w:shd w:val="clear" w:color="auto" w:fill="auto"/>
                <w:vAlign w:val="center"/>
              </w:tcPr>
              <w:p w14:paraId="27B2AAB8" w14:textId="77777777">
                <w:pPr>
                  <w:spacing w:line="276" w:lineRule="auto"/>
                  <w:jc w:val="center"/>
                  <w:rPr>
                    <w:szCs w:val="24"/>
                  </w:rPr>
                </w:pPr>
                <w:r>
                  <w:rPr>
                    <w:szCs w:val="24"/>
                  </w:rPr>
                  <w:t>Rodiklio kodas</w:t>
                </w:r>
              </w:p>
            </w:tc>
            <w:tc>
              <w:tcPr>
                <w:tcW w:w="2410" w:type="dxa"/>
                <w:shd w:val="clear" w:color="auto" w:fill="auto"/>
                <w:vAlign w:val="center"/>
              </w:tcPr>
              <w:p w14:paraId="0C4C25EB" w14:textId="77777777">
                <w:pPr>
                  <w:spacing w:line="276" w:lineRule="auto"/>
                  <w:jc w:val="center"/>
                  <w:rPr>
                    <w:szCs w:val="24"/>
                  </w:rPr>
                </w:pPr>
                <w:r>
                  <w:rPr>
                    <w:szCs w:val="24"/>
                  </w:rPr>
                  <w:t>Matavimo vienetai</w:t>
                </w:r>
              </w:p>
            </w:tc>
            <w:tc>
              <w:tcPr>
                <w:tcW w:w="2551" w:type="dxa"/>
                <w:vAlign w:val="center"/>
              </w:tcPr>
              <w:p w14:paraId="68C8C681" w14:textId="2067090B">
                <w:pPr>
                  <w:spacing w:line="276" w:lineRule="auto"/>
                  <w:jc w:val="center"/>
                  <w:rPr>
                    <w:bCs/>
                    <w:szCs w:val="24"/>
                  </w:rPr>
                </w:pPr>
                <w:r>
                  <w:rPr>
                    <w:bCs/>
                    <w:szCs w:val="24"/>
                  </w:rPr>
                  <w:t>Tarpinė siektina reikšmė, 2023 m. II ketv.</w:t>
                </w:r>
              </w:p>
            </w:tc>
            <w:tc>
              <w:tcPr>
                <w:tcW w:w="3119" w:type="dxa"/>
                <w:shd w:val="clear" w:color="auto" w:fill="auto"/>
                <w:vAlign w:val="center"/>
              </w:tcPr>
              <w:p w14:paraId="63A8E828" w14:textId="39B10875">
                <w:pPr>
                  <w:jc w:val="center"/>
                  <w:rPr>
                    <w:szCs w:val="24"/>
                  </w:rPr>
                </w:pPr>
                <w:r>
                  <w:rPr>
                    <w:szCs w:val="24"/>
                  </w:rPr>
                  <w:t>Galutinė siektina reikšmė, 2024 m. II ketv.</w:t>
                </w:r>
              </w:p>
              <w:p w14:paraId="60577060" w14:textId="61DF2C35">
                <w:pPr>
                  <w:spacing w:line="276" w:lineRule="auto"/>
                  <w:jc w:val="center"/>
                  <w:rPr>
                    <w:szCs w:val="24"/>
                    <w:lang w:val="en-US"/>
                  </w:rPr>
                </w:pPr>
              </w:p>
            </w:tc>
          </w:tr>
          <w:tr w14:paraId="6EEDFAC1" w14:textId="77777777">
            <w:trPr>
              <w:trHeight w:val="725"/>
            </w:trPr>
            <w:tc>
              <w:tcPr>
                <w:tcW w:w="4119" w:type="dxa"/>
                <w:vAlign w:val="center"/>
              </w:tcPr>
              <w:p w14:paraId="447F354B" w14:textId="04F60B7F">
                <w:pPr>
                  <w:spacing w:line="276" w:lineRule="auto"/>
                  <w:jc w:val="center"/>
                  <w:rPr>
                    <w:szCs w:val="24"/>
                  </w:rPr>
                </w:pPr>
                <w:r>
                  <w:rPr>
                    <w:szCs w:val="24"/>
                  </w:rPr>
                  <w:t>Sveikatos priežiūros įstaigų, įtrauktų į veiklos rezultatų rodiklių rinkiniu grindžiamą Lietuvos nacionalinės sveikatos sistemos švieslentę, dalis</w:t>
                </w:r>
              </w:p>
            </w:tc>
            <w:tc>
              <w:tcPr>
                <w:tcW w:w="2686" w:type="dxa"/>
                <w:vAlign w:val="center"/>
              </w:tcPr>
              <w:p w14:paraId="213A0B12" w14:textId="42590C41">
                <w:pPr>
                  <w:spacing w:line="276" w:lineRule="auto"/>
                  <w:jc w:val="center"/>
                  <w:rPr>
                    <w:szCs w:val="24"/>
                  </w:rPr>
                </w:pPr>
                <w:r>
                  <w:rPr>
                    <w:szCs w:val="24"/>
                  </w:rPr>
                  <w:t>R.S.1.1011</w:t>
                </w:r>
              </w:p>
              <w:p w14:paraId="1B0D1710" w14:textId="477F3404">
                <w:pPr>
                  <w:spacing w:line="276" w:lineRule="auto"/>
                  <w:jc w:val="center"/>
                  <w:rPr>
                    <w:szCs w:val="24"/>
                  </w:rPr>
                </w:pPr>
                <w:r>
                  <w:rPr>
                    <w:szCs w:val="24"/>
                  </w:rPr>
                  <w:t>P-11-002-02-11-01-23</w:t>
                </w:r>
              </w:p>
              <w:p w14:paraId="5F2C6665" w14:textId="0C472A9A">
                <w:pPr>
                  <w:spacing w:line="276" w:lineRule="auto"/>
                  <w:jc w:val="center"/>
                  <w:rPr>
                    <w:i/>
                    <w:iCs/>
                    <w:szCs w:val="24"/>
                  </w:rPr>
                </w:pPr>
              </w:p>
            </w:tc>
            <w:tc>
              <w:tcPr>
                <w:tcW w:w="2410" w:type="dxa"/>
                <w:vAlign w:val="center"/>
              </w:tcPr>
              <w:p w14:paraId="45611CF6" w14:textId="12267DD4">
                <w:pPr>
                  <w:spacing w:line="276" w:lineRule="auto"/>
                  <w:jc w:val="center"/>
                  <w:rPr>
                    <w:i/>
                    <w:iCs/>
                    <w:szCs w:val="24"/>
                  </w:rPr>
                </w:pPr>
                <w:r>
                  <w:rPr>
                    <w:szCs w:val="24"/>
                  </w:rPr>
                  <w:t>Procentai</w:t>
                </w:r>
              </w:p>
            </w:tc>
            <w:tc>
              <w:tcPr>
                <w:tcW w:w="2551" w:type="dxa"/>
                <w:vAlign w:val="center"/>
              </w:tcPr>
              <w:p w14:paraId="771C0FF2" w14:textId="6A5891E9">
                <w:pPr>
                  <w:ind w:right="-234"/>
                  <w:jc w:val="center"/>
                  <w:rPr>
                    <w:szCs w:val="24"/>
                    <w:lang w:val="en-US"/>
                  </w:rPr>
                </w:pPr>
                <w:r>
                  <w:rPr>
                    <w:szCs w:val="24"/>
                    <w:lang w:val="en-US"/>
                  </w:rPr>
                  <w:t>70</w:t>
                </w:r>
              </w:p>
            </w:tc>
            <w:tc>
              <w:tcPr>
                <w:tcW w:w="3119" w:type="dxa"/>
                <w:vAlign w:val="center"/>
              </w:tcPr>
              <w:p w14:paraId="39A0F544" w14:textId="3898228C">
                <w:pPr>
                  <w:ind w:right="-234"/>
                  <w:jc w:val="center"/>
                  <w:rPr>
                    <w:szCs w:val="24"/>
                    <w:lang w:val="en-US"/>
                  </w:rPr>
                </w:pPr>
                <w:r>
                  <w:rPr>
                    <w:szCs w:val="24"/>
                    <w:lang w:val="en-US"/>
                  </w:rPr>
                  <w:t>100</w:t>
                </w:r>
              </w:p>
            </w:tc>
          </w:tr>
          <w:tr w14:paraId="30CECE0D" w14:textId="77777777">
            <w:trPr>
              <w:trHeight w:val="725"/>
            </w:trPr>
            <w:tc>
              <w:tcPr>
                <w:tcW w:w="4119" w:type="dxa"/>
                <w:vAlign w:val="center"/>
              </w:tcPr>
              <w:p w14:paraId="3AB9C223" w14:textId="48DB4352">
                <w:pPr>
                  <w:spacing w:line="276" w:lineRule="auto"/>
                  <w:jc w:val="center"/>
                  <w:rPr>
                    <w:szCs w:val="24"/>
                    <w:lang w:val="en-US"/>
                  </w:rPr>
                </w:pPr>
                <w:r>
                  <w:rPr>
                    <w:szCs w:val="24"/>
                  </w:rPr>
                  <w:t>Naujų ir patobulintų viešųjų skaitmeninių paslaugų, produktų ir procesų naudotojai</w:t>
                </w:r>
              </w:p>
            </w:tc>
            <w:tc>
              <w:tcPr>
                <w:tcW w:w="2686" w:type="dxa"/>
                <w:vAlign w:val="center"/>
              </w:tcPr>
              <w:p w14:paraId="13C96481" w14:textId="2F991FD5">
                <w:pPr>
                  <w:spacing w:line="276" w:lineRule="auto"/>
                  <w:jc w:val="center"/>
                  <w:rPr>
                    <w:szCs w:val="24"/>
                  </w:rPr>
                </w:pPr>
                <w:r>
                  <w:rPr>
                    <w:szCs w:val="24"/>
                  </w:rPr>
                  <w:t>R.B.1.2007</w:t>
                </w:r>
              </w:p>
              <w:p w14:paraId="035994A8" w14:textId="6EF697F8">
                <w:pPr>
                  <w:spacing w:line="276" w:lineRule="auto"/>
                  <w:jc w:val="center"/>
                  <w:rPr>
                    <w:szCs w:val="24"/>
                  </w:rPr>
                </w:pPr>
                <w:r>
                  <w:rPr>
                    <w:szCs w:val="24"/>
                  </w:rPr>
                  <w:t>R-11-002-02-11-01-34</w:t>
                </w:r>
              </w:p>
            </w:tc>
            <w:tc>
              <w:tcPr>
                <w:tcW w:w="2410" w:type="dxa"/>
                <w:vAlign w:val="center"/>
              </w:tcPr>
              <w:p w14:paraId="1EA89FA4" w14:textId="36ACC3AF">
                <w:pPr>
                  <w:spacing w:line="276" w:lineRule="auto"/>
                  <w:jc w:val="center"/>
                  <w:rPr>
                    <w:szCs w:val="24"/>
                  </w:rPr>
                </w:pPr>
                <w:r>
                  <w:rPr>
                    <w:szCs w:val="24"/>
                  </w:rPr>
                  <w:t>Naudotojų skaičius per metus</w:t>
                </w:r>
              </w:p>
            </w:tc>
            <w:tc>
              <w:tcPr>
                <w:tcW w:w="2551" w:type="dxa"/>
                <w:vAlign w:val="center"/>
              </w:tcPr>
              <w:p w14:paraId="39A28637" w14:textId="77777777">
                <w:pPr>
                  <w:spacing w:line="276" w:lineRule="auto"/>
                  <w:jc w:val="center"/>
                  <w:rPr>
                    <w:szCs w:val="24"/>
                  </w:rPr>
                </w:pPr>
              </w:p>
            </w:tc>
            <w:tc>
              <w:tcPr>
                <w:tcW w:w="3119" w:type="dxa"/>
                <w:vAlign w:val="center"/>
              </w:tcPr>
              <w:p w14:paraId="4601094E" w14:textId="0A9CBA44">
                <w:pPr>
                  <w:spacing w:line="276" w:lineRule="auto"/>
                  <w:jc w:val="center"/>
                  <w:rPr>
                    <w:szCs w:val="24"/>
                  </w:rPr>
                </w:pPr>
                <w:r>
                  <w:rPr>
                    <w:szCs w:val="24"/>
                  </w:rPr>
                  <w:t>n/a*</w:t>
                </w:r>
              </w:p>
            </w:tc>
          </w:tr>
        </w:tbl>
        <w:p w14:paraId="5AB95B08" w14:textId="0E49C9FD">
          <w:pPr>
            <w:ind w:left="-426" w:right="111"/>
            <w:jc w:val="both"/>
            <w:rPr>
              <w:szCs w:val="24"/>
            </w:rPr>
          </w:pPr>
          <w:r>
            <w:rPr>
              <w:i/>
              <w:iCs/>
              <w:szCs w:val="24"/>
            </w:rPr>
            <w:t>*</w:t>
          </w:r>
          <w:r>
            <w:rPr>
              <w:szCs w:val="24"/>
              <w:lang w:eastAsia="lt-LT"/>
            </w:rPr>
            <w:t xml:space="preserve"> Bendrieji rodikliai </w:t>
          </w:r>
          <w:r>
            <w:rPr>
              <w:szCs w:val="24"/>
            </w:rPr>
            <w:t xml:space="preserve">nurodyti EGADP „Naujos kartos Lietuva“ ir neturi siektinų reikšmių. Duomenys bus renkami iš susijusių reformų ir investicijų rodiklių. Ataskaitinis laikotarpis </w:t>
          </w:r>
          <w:r>
            <w:rPr>
              <w:color w:val="000000"/>
              <w:szCs w:val="24"/>
            </w:rPr>
            <w:t>–</w:t>
          </w:r>
          <w:r>
            <w:rPr>
              <w:szCs w:val="24"/>
            </w:rPr>
            <w:t xml:space="preserve"> iki 2026 m. gruodžio mėn. </w:t>
          </w:r>
        </w:p>
        <w:p w14:paraId="21CCF771" w14:textId="26F3F64B">
          <w:pPr>
            <w:ind w:left="-426"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(stebėsenos rodiklių kortelės) skelbiamas Lietuvos Respublikos sveikatos apsaugos ministerijos interneto svetainės www.sam.lrv.lt</w:t>
          </w:r>
          <w:r>
            <w:rPr>
              <w:szCs w:val="24"/>
              <w:vertAlign w:val="superscript"/>
            </w:rPr>
            <w:footnoteReference w:id="2"/>
          </w:r>
          <w:r>
            <w:rPr>
              <w:szCs w:val="24"/>
            </w:rPr>
            <w:t>.</w:t>
          </w:r>
        </w:p>
        <w:p w14:paraId="04363AA6" w14:textId="77777777">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14:paraId="3D1A22F6" w14:textId="77777777">
            <w:tc>
              <w:tcPr>
                <w:tcW w:w="14885" w:type="dxa"/>
              </w:tcPr>
              <w:p w14:paraId="4DA48F4C" w14:textId="77777777">
                <w:pPr>
                  <w:jc w:val="both"/>
                  <w:rPr>
                    <w:b/>
                    <w:szCs w:val="24"/>
                  </w:rPr>
                </w:pPr>
                <w:r>
                  <w:rPr>
                    <w:b/>
                    <w:szCs w:val="24"/>
                  </w:rPr>
                  <w:t>SPECIALIEJI FINANSAVIMO REIKALAVIMAI</w:t>
                </w:r>
              </w:p>
            </w:tc>
          </w:tr>
          <w:tr w14:paraId="007409DA" w14:textId="77777777">
            <w:tc>
              <w:tcPr>
                <w:tcW w:w="14885" w:type="dxa"/>
              </w:tcPr>
              <w:p w14:paraId="2EBC14BB" w14:textId="77777777">
                <w:pPr>
                  <w:jc w:val="both"/>
                  <w:rPr>
                    <w:b/>
                    <w:bCs/>
                    <w:szCs w:val="24"/>
                  </w:rPr>
                </w:pPr>
                <w:r>
                  <w:rPr>
                    <w:b/>
                    <w:bCs/>
                    <w:szCs w:val="24"/>
                  </w:rPr>
                  <w:t>1. Taikomi teisės aktai</w:t>
                </w:r>
              </w:p>
            </w:tc>
          </w:tr>
          <w:tr w14:paraId="334499DD" w14:textId="77777777">
            <w:tc>
              <w:tcPr>
                <w:tcW w:w="14885" w:type="dxa"/>
              </w:tcPr>
              <w:p w14:paraId="74F78DE4" w14:textId="38F33F60">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priemonės aprašas</w:t>
                </w:r>
                <w:r>
                  <w:rPr>
                    <w:szCs w:val="24"/>
                    <w:lang w:eastAsia="lt-LT"/>
                  </w:rPr>
                  <w:t>)</w:t>
                </w:r>
                <w:r>
                  <w:rPr>
                    <w:color w:val="000000"/>
                    <w:szCs w:val="24"/>
                    <w:vertAlign w:val="superscript"/>
                  </w:rPr>
                  <w:t xml:space="preserve"> </w:t>
                  <w:footnoteReference w:id="3"/>
                </w:r>
                <w:r>
                  <w:rPr>
                    <w:szCs w:val="24"/>
                    <w:lang w:eastAsia="lt-LT"/>
                  </w:rPr>
                  <w:t xml:space="preserve">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9</w:t>
                </w:r>
                <w:r>
                  <w:rPr>
                    <w:szCs w:val="24"/>
                    <w:lang w:eastAsia="lt-LT"/>
                  </w:rPr>
                  <w:t xml:space="preserve"> (toliau – Aprašas):</w:t>
                </w:r>
              </w:p>
              <w:p w14:paraId="72FCB32A" w14:textId="2C0D8FDD">
                <w:pPr>
                  <w:tabs>
                    <w:tab w:val="left" w:pos="600"/>
                  </w:tabs>
                  <w:spacing w:line="276" w:lineRule="auto"/>
                  <w:jc w:val="both"/>
                  <w:rPr>
                    <w:b/>
                    <w:color w:val="000000"/>
                    <w:szCs w:val="24"/>
                  </w:rPr>
                </w:pPr>
                <w:r>
                  <w:rPr>
                    <w:b/>
                    <w:color w:val="000000"/>
                    <w:szCs w:val="24"/>
                  </w:rPr>
                  <w:t>bendrieji teisės aktai:</w:t>
                </w:r>
              </w:p>
              <w:p w14:paraId="637243EC" w14:textId="06CBD751">
                <w:pPr>
                  <w:tabs>
                    <w:tab w:val="left" w:pos="462"/>
                  </w:tabs>
                  <w:spacing w:line="276" w:lineRule="auto"/>
                  <w:ind w:firstLine="36"/>
                  <w:jc w:val="both"/>
                  <w:rPr>
                    <w:szCs w:val="24"/>
                  </w:rPr>
                </w:pPr>
                <w:r>
                  <w:rPr>
                    <w:szCs w:val="24"/>
                  </w:rPr>
                  <w:t>1.1.</w:t>
                  <w:tab/>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31A4A3B4" w14:textId="7D636651">
                <w:pPr>
                  <w:tabs>
                    <w:tab w:val="left" w:pos="462"/>
                  </w:tabs>
                  <w:spacing w:line="276" w:lineRule="auto"/>
                  <w:ind w:left="36"/>
                  <w:jc w:val="both"/>
                  <w:rPr>
                    <w:szCs w:val="24"/>
                  </w:rPr>
                </w:pPr>
                <w:r>
                  <w:rPr>
                    <w:szCs w:val="24"/>
                  </w:rPr>
                  <w:t>1.2.</w:t>
                  <w:tab/>
                  <w:t>2021 m. liepos 28 d. Tarybos įgyvendinimo sprendimas CM4171/21 dėl Lietuvos ekonomikos gaivinimo ir atsparumo didinimo plano įvertinimo patvirtinimo (toliau – planas „Naujos kartos Lietuva“)</w:t>
                </w:r>
                <w:r>
                  <w:rPr>
                    <w:szCs w:val="24"/>
                    <w:vertAlign w:val="superscript"/>
                  </w:rPr>
                  <w:t xml:space="preserve"> </w:t>
                </w:r>
                <w:r>
                  <w:rPr>
                    <w:vertAlign w:val="superscript"/>
                  </w:rPr>
                  <w:footnoteReference w:id="4"/>
                </w:r>
                <w:r>
                  <w:rPr>
                    <w:szCs w:val="24"/>
                  </w:rPr>
                  <w:t>;</w:t>
                </w:r>
              </w:p>
              <w:p w14:paraId="1FE1A01C" w14:textId="48A998EA">
                <w:pPr>
                  <w:spacing w:line="276" w:lineRule="auto"/>
                  <w:jc w:val="both"/>
                  <w:rPr>
                    <w:szCs w:val="24"/>
                  </w:rPr>
                </w:pPr>
                <w:r>
                  <w:rPr>
                    <w:szCs w:val="24"/>
                  </w:rPr>
                  <w:t>1.3. Lietuvos Respublikos finansų ministro 2022 m. birželio 22 d. įsakymas Nr. 1K-237 „Dėl 2021–2027 metų Europos Sąjungos fondų investicijų programos ir Ekonomikos gaivinimo ir atsparumo didinimo plano „Naujos kartos Lietuva“ įgyvendinimo“</w:t>
                </w:r>
                <w:r>
                  <w:rPr>
                    <w:szCs w:val="24"/>
                    <w:vertAlign w:val="superscript"/>
                  </w:rPr>
                  <w:footnoteReference w:id="5"/>
                </w:r>
                <w:r>
                  <w:rPr>
                    <w:szCs w:val="24"/>
                  </w:rPr>
                  <w:t xml:space="preserve">,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670035A6" w14:textId="495DA7E6">
                <w:pPr>
                  <w:tabs>
                    <w:tab w:val="left" w:pos="600"/>
                  </w:tabs>
                  <w:spacing w:line="276" w:lineRule="auto"/>
                  <w:ind w:firstLine="36"/>
                  <w:jc w:val="both"/>
                  <w:rPr>
                    <w:b/>
                    <w:color w:val="000000"/>
                    <w:szCs w:val="24"/>
                  </w:rPr>
                </w:pPr>
                <w:r>
                  <w:rPr>
                    <w:b/>
                    <w:color w:val="000000"/>
                    <w:szCs w:val="24"/>
                  </w:rPr>
                  <w:t>specialieji teisės aktai:</w:t>
                </w:r>
              </w:p>
              <w:p w14:paraId="38ECE297" w14:textId="0475B59A">
                <w:pPr>
                  <w:tabs>
                    <w:tab w:val="left" w:pos="461"/>
                  </w:tabs>
                  <w:spacing w:line="276" w:lineRule="auto"/>
                  <w:jc w:val="both"/>
                  <w:rPr>
                    <w:color w:val="000000"/>
                    <w:szCs w:val="24"/>
                  </w:rPr>
                </w:pPr>
                <w:r>
                  <w:rPr>
                    <w:color w:val="000000"/>
                    <w:szCs w:val="24"/>
                  </w:rPr>
                  <w:t>1.4.</w:t>
                  <w:tab/>
                </w:r>
                <w:r>
                  <w:t>Lietuvos Respublikos sveikatos priežiūros įstaigų įstatymas</w:t>
                </w:r>
                <w:r>
                  <w:rPr>
                    <w:vertAlign w:val="superscript"/>
                  </w:rPr>
                  <w:footnoteReference w:id="6"/>
                </w:r>
                <w:r>
                  <w:t>;</w:t>
                </w:r>
              </w:p>
              <w:p w14:paraId="270176D3" w14:textId="2D5C3462">
                <w:pPr>
                  <w:tabs>
                    <w:tab w:val="left" w:pos="461"/>
                  </w:tabs>
                  <w:spacing w:line="276" w:lineRule="auto"/>
                  <w:jc w:val="both"/>
                  <w:rPr>
                    <w:color w:val="000000"/>
                    <w:szCs w:val="24"/>
                  </w:rPr>
                </w:pPr>
                <w:r>
                  <w:rPr>
                    <w:szCs w:val="24"/>
                    <w:lang w:val="en-US"/>
                  </w:rPr>
                  <w:t xml:space="preserve">1.5. </w:t>
                </w:r>
                <w:r>
                  <w:rPr>
                    <w:szCs w:val="24"/>
                  </w:rPr>
                  <w:t>Lietuvos Respublikos valstybės informacinių išteklių valdymo įstatymas</w:t>
                </w:r>
                <w:r>
                  <w:rPr>
                    <w:szCs w:val="24"/>
                    <w:vertAlign w:val="superscript"/>
                  </w:rPr>
                  <w:footnoteReference w:id="7"/>
                </w:r>
                <w:r>
                  <w:rPr>
                    <w:color w:val="000000"/>
                    <w:szCs w:val="24"/>
                  </w:rPr>
                  <w:t>;</w:t>
                </w:r>
              </w:p>
              <w:p w14:paraId="3642E3D6" w14:textId="30FB6ECD">
                <w:pPr>
                  <w:tabs>
                    <w:tab w:val="left" w:pos="462"/>
                  </w:tabs>
                  <w:spacing w:line="276" w:lineRule="auto"/>
                  <w:jc w:val="both"/>
                  <w:rPr>
                    <w:color w:val="000000"/>
                    <w:szCs w:val="24"/>
                  </w:rPr>
                </w:pPr>
                <w:r>
                  <w:rPr>
                    <w:color w:val="000000"/>
                    <w:szCs w:val="24"/>
                  </w:rPr>
                  <w:t>1.6.</w:t>
                  <w:tab/>
                </w:r>
                <w:r>
                  <w:rPr>
                    <w:szCs w:val="24"/>
                  </w:rPr>
                  <w:t>Lietuvos Respublikos kibernetinio saugumo įstatymas</w:t>
                </w:r>
                <w:r>
                  <w:rPr>
                    <w:szCs w:val="24"/>
                    <w:vertAlign w:val="superscript"/>
                  </w:rPr>
                  <w:footnoteReference w:id="8"/>
                </w:r>
                <w:r>
                  <w:rPr>
                    <w:szCs w:val="24"/>
                  </w:rPr>
                  <w:t>;</w:t>
                </w:r>
                <w:r>
                  <w:rPr>
                    <w:color w:val="000000"/>
                    <w:szCs w:val="24"/>
                  </w:rPr>
                  <w:t xml:space="preserve"> </w:t>
                </w:r>
              </w:p>
              <w:p w14:paraId="38D67402" w14:textId="12693185">
                <w:pPr>
                  <w:tabs>
                    <w:tab w:val="left" w:pos="462"/>
                  </w:tabs>
                  <w:spacing w:line="276" w:lineRule="auto"/>
                  <w:jc w:val="both"/>
                  <w:rPr>
                    <w:color w:val="000000"/>
                    <w:szCs w:val="24"/>
                  </w:rPr>
                </w:pPr>
                <w:r>
                  <w:t>1.7. Lietuvos Respublikos teisės gauti informaciją ir duomenų pakartotinio naudojimo įstatymas</w:t>
                </w:r>
                <w:r>
                  <w:rPr>
                    <w:vertAlign w:val="superscript"/>
                  </w:rPr>
                  <w:footnoteReference w:id="9"/>
                </w:r>
                <w:r>
                  <w:t>;</w:t>
                </w:r>
              </w:p>
              <w:p w14:paraId="7D3B4DC4" w14:textId="0229E8AC">
                <w:pPr>
                  <w:tabs>
                    <w:tab w:val="left" w:pos="462"/>
                  </w:tabs>
                  <w:spacing w:line="276" w:lineRule="auto"/>
                  <w:jc w:val="both"/>
                </w:pPr>
                <w:r>
                  <w:rPr>
                    <w:color w:val="000000"/>
                    <w:szCs w:val="24"/>
                  </w:rPr>
                  <w:t xml:space="preserve">1.8.  </w:t>
                </w:r>
                <w:r>
                  <w:t>Lietuvos Respublikos Vyriausybės 2013 m. vasario 27 d. nutarimas</w:t>
                </w:r>
                <w:r>
                  <w:rPr>
                    <w:color w:val="000000"/>
                  </w:rPr>
                  <w:t xml:space="preserve"> Nr. </w:t>
                </w:r>
                <w:r>
                  <w:t>180 „Dėl Valstybės informacinių sistemų steigimo, kūrimo, modernizavimo ir likvidavimo tvarkos aprašo patvirtinimo“</w:t>
                </w:r>
                <w:r>
                  <w:rPr>
                    <w:vertAlign w:val="superscript"/>
                  </w:rPr>
                  <w:footnoteReference w:id="10"/>
                </w:r>
                <w:r>
                  <w:t>;</w:t>
                </w:r>
              </w:p>
              <w:p w14:paraId="78C0E845" w14:textId="1CCFC14A">
                <w:pPr>
                  <w:tabs>
                    <w:tab w:val="left" w:pos="462"/>
                  </w:tabs>
                  <w:spacing w:line="276" w:lineRule="auto"/>
                  <w:jc w:val="both"/>
                </w:pPr>
                <w:r>
                  <w:rPr>
                    <w:color w:val="000000"/>
                    <w:szCs w:val="24"/>
                    <w:lang w:val="en-US"/>
                  </w:rPr>
                  <w:t xml:space="preserve">1.9. </w:t>
                </w:r>
                <w:r>
                  <w:rPr>
                    <w:szCs w:val="24"/>
                  </w:rPr>
                  <w:t>Informacinės visuomenės plėtros komiteto prie Susisiekimo ministerijos direktoriaus 2014 m. vasario 25 d. įsakymas Nr. T-29 „</w:t>
                </w:r>
                <w:r>
                  <w:t>Dėl Valstybės informacinių sistemų gyvavimo ciklo valdymo metodikos patvirtinimo“</w:t>
                </w:r>
                <w:r>
                  <w:rPr>
                    <w:vertAlign w:val="superscript"/>
                  </w:rPr>
                  <w:footnoteReference w:id="11"/>
                </w:r>
                <w:r>
                  <w:t xml:space="preserve">; </w:t>
                </w:r>
              </w:p>
              <w:p w14:paraId="1EF21F8E" w14:textId="6936ED34">
                <w:pPr>
                  <w:tabs>
                    <w:tab w:val="left" w:pos="462"/>
                  </w:tabs>
                  <w:spacing w:line="276" w:lineRule="auto"/>
                  <w:jc w:val="both"/>
                  <w:rPr>
                    <w:szCs w:val="24"/>
                  </w:rPr>
                </w:pPr>
                <w:r>
                  <w:t xml:space="preserve">1.10. </w:t>
                </w:r>
                <w:r>
                  <w:rPr>
                    <w:szCs w:val="24"/>
                  </w:rPr>
                  <w:t>Lietuvos Respublikos susisiekimo ministro 2015 m. spalio 7 d. įsakymas Nr. 3-416(1.5 E) „Dėl metodinių dokumentų patvirtinimo“</w:t>
                </w:r>
                <w:r>
                  <w:rPr>
                    <w:szCs w:val="24"/>
                    <w:vertAlign w:val="superscript"/>
                  </w:rPr>
                  <w:footnoteReference w:id="12"/>
                </w:r>
                <w:r>
                  <w:rPr>
                    <w:szCs w:val="24"/>
                  </w:rPr>
                  <w:t>;</w:t>
                </w:r>
              </w:p>
              <w:p w14:paraId="378C1B1F" w14:textId="0149DBE2">
                <w:pPr>
                  <w:spacing w:line="276" w:lineRule="auto"/>
                  <w:jc w:val="both"/>
                  <w:rPr>
                    <w:szCs w:val="24"/>
                  </w:rPr>
                </w:pPr>
                <w:r>
                  <w:rPr>
                    <w:szCs w:val="24"/>
                  </w:rPr>
                  <w:t>1.11. Lietuvos Respublikos Vyriausybės 2003 m. balandžio 18 d. nutarimas Nr. 480 „Dėl Bendrųjų reikalavimų valstybės ir savivaldybių institucijų ir įstaigų interneto svetainėms ir mobiliosioms programoms aprašo patvirtinimo“</w:t>
                </w:r>
                <w:r>
                  <w:rPr>
                    <w:szCs w:val="24"/>
                    <w:vertAlign w:val="superscript"/>
                  </w:rPr>
                  <w:footnoteReference w:id="13"/>
                </w:r>
                <w:r>
                  <w:rPr>
                    <w:szCs w:val="24"/>
                  </w:rPr>
                  <w:t>;</w:t>
                </w:r>
              </w:p>
              <w:p w14:paraId="441DAC55" w14:textId="09850CCD">
                <w:pPr>
                  <w:tabs>
                    <w:tab w:val="left" w:pos="462"/>
                  </w:tabs>
                  <w:spacing w:line="276" w:lineRule="auto"/>
                  <w:jc w:val="both"/>
                  <w:rPr>
                    <w:szCs w:val="24"/>
                  </w:rPr>
                </w:pPr>
                <w:r>
                  <w:rPr>
                    <w:color w:val="000000"/>
                    <w:szCs w:val="24"/>
                    <w:lang w:val="en-US"/>
                  </w:rPr>
                  <w:t xml:space="preserve">1.12.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r>
                  <w:rPr>
                    <w:szCs w:val="24"/>
                    <w:vertAlign w:val="superscript"/>
                  </w:rPr>
                  <w:footnoteReference w:id="14"/>
                </w:r>
                <w:r>
                  <w:rPr>
                    <w:szCs w:val="24"/>
                  </w:rPr>
                  <w:t xml:space="preserve">; </w:t>
                </w:r>
              </w:p>
              <w:p w14:paraId="45AC727B" w14:textId="5048C194">
                <w:pPr>
                  <w:tabs>
                    <w:tab w:val="left" w:pos="462"/>
                  </w:tabs>
                  <w:spacing w:line="276" w:lineRule="auto"/>
                  <w:jc w:val="both"/>
                  <w:rPr>
                    <w:szCs w:val="24"/>
                  </w:rPr>
                </w:pPr>
                <w:r>
                  <w:rPr>
                    <w:szCs w:val="24"/>
                  </w:rPr>
                  <w:t>1.13.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r>
                  <w:rPr>
                    <w:szCs w:val="24"/>
                    <w:vertAlign w:val="superscript"/>
                  </w:rPr>
                  <w:footnoteReference w:id="15"/>
                </w:r>
                <w:r>
                  <w:rPr>
                    <w:szCs w:val="24"/>
                  </w:rPr>
                  <w:t>;</w:t>
                </w:r>
              </w:p>
              <w:p w14:paraId="6F00C7F5" w14:textId="12373D72">
                <w:pPr>
                  <w:tabs>
                    <w:tab w:val="left" w:pos="462"/>
                  </w:tabs>
                  <w:spacing w:line="276" w:lineRule="auto"/>
                  <w:jc w:val="both"/>
                  <w:rPr>
                    <w:szCs w:val="24"/>
                  </w:rPr>
                </w:pPr>
                <w:r>
                  <w:rPr>
                    <w:szCs w:val="24"/>
                  </w:rPr>
                  <w:t>1.14. Lietuvos Respublikos Vyriausybės 2015 m. gegužės 13 d. nutarimas Nr. 498 „Dėl valstybės informacinių išteklių infrastruktūros konsolidavimo ir jos valdymo optimizavimo“</w:t>
                </w:r>
                <w:r>
                  <w:rPr>
                    <w:szCs w:val="24"/>
                    <w:vertAlign w:val="superscript"/>
                  </w:rPr>
                  <w:footnoteReference w:id="16"/>
                </w:r>
                <w:r>
                  <w:rPr>
                    <w:szCs w:val="24"/>
                  </w:rPr>
                  <w:t xml:space="preserve"> (toliau – Nutarimas Nr. 498);</w:t>
                </w:r>
              </w:p>
              <w:p w14:paraId="20398395" w14:textId="7BFB4843">
                <w:pPr>
                  <w:tabs>
                    <w:tab w:val="left" w:pos="462"/>
                  </w:tabs>
                  <w:spacing w:line="276" w:lineRule="auto"/>
                  <w:jc w:val="both"/>
                  <w:rPr>
                    <w:szCs w:val="24"/>
                  </w:rPr>
                </w:pPr>
                <w:r>
                  <w:rPr>
                    <w:szCs w:val="24"/>
                  </w:rPr>
                  <w:t>1.15. Informacinės visuomenės plėtros komiteto prie Susisiekimo ministerijos direktoriaus 2013 m. kovo 25 d. įsakymas Nr. T-36 „Dėl Duomenų teikimo formatų ir standartų rekomendacijų patvirtinimo“</w:t>
                </w:r>
                <w:r>
                  <w:rPr>
                    <w:szCs w:val="24"/>
                    <w:vertAlign w:val="superscript"/>
                  </w:rPr>
                  <w:footnoteReference w:id="17"/>
                </w:r>
                <w:r>
                  <w:rPr>
                    <w:szCs w:val="24"/>
                  </w:rPr>
                  <w:t>.</w:t>
                </w:r>
              </w:p>
              <w:p w14:paraId="3833B8C8" w14:textId="7C8BF4C1">
                <w:pPr>
                  <w:tabs>
                    <w:tab w:val="left" w:pos="462"/>
                  </w:tabs>
                  <w:spacing w:line="276" w:lineRule="auto"/>
                  <w:jc w:val="both"/>
                  <w:rPr>
                    <w:color w:val="000000"/>
                    <w:szCs w:val="24"/>
                  </w:rPr>
                </w:pPr>
                <w:r>
                  <w:rPr>
                    <w:szCs w:val="24"/>
                  </w:rPr>
                  <w:t xml:space="preserve">Apraše vartojamos sąvokos suprantamos taip, kaip jos apibrėžtos Aprašo 1 punkte paminėtuose teisės aktuose. </w:t>
                </w:r>
              </w:p>
            </w:tc>
          </w:tr>
          <w:tr w14:paraId="574F59DC" w14:textId="77777777">
            <w:tc>
              <w:tcPr>
                <w:tcW w:w="14885" w:type="dxa"/>
              </w:tcPr>
              <w:p w14:paraId="69CF7884" w14:textId="0E77A8E1">
                <w:pPr>
                  <w:spacing w:line="276" w:lineRule="auto"/>
                  <w:rPr>
                    <w:b/>
                    <w:szCs w:val="24"/>
                  </w:rPr>
                </w:pPr>
                <w:r>
                  <w:rPr>
                    <w:b/>
                    <w:szCs w:val="24"/>
                  </w:rPr>
                  <w:t>2. Reikalavimai projektams</w:t>
                </w:r>
              </w:p>
            </w:tc>
          </w:tr>
          <w:tr w14:paraId="2D43049F" w14:textId="77777777">
            <w:tc>
              <w:tcPr>
                <w:tcW w:w="14885" w:type="dxa"/>
              </w:tcPr>
              <w:p w14:paraId="140E6D96" w14:textId="73A1F5F1">
                <w:pPr>
                  <w:tabs>
                    <w:tab w:val="left" w:pos="454"/>
                  </w:tabs>
                  <w:spacing w:line="276" w:lineRule="auto"/>
                  <w:ind w:firstLine="36"/>
                  <w:jc w:val="both"/>
                  <w:rPr>
                    <w:szCs w:val="24"/>
                    <w:lang w:eastAsia="lt-LT"/>
                  </w:rPr>
                </w:pPr>
                <w:r>
                  <w:rPr>
                    <w:szCs w:val="24"/>
                    <w:lang w:eastAsia="lt-LT"/>
                  </w:rPr>
                  <w:t xml:space="preserve">2.1. </w:t>
                </w:r>
                <w:r>
                  <w:rPr>
                    <w:color w:val="000000"/>
                    <w:szCs w:val="24"/>
                    <w:lang w:eastAsia="lt-LT"/>
                  </w:rPr>
                  <w:t>Galimas pareiškėjas – V</w:t>
                </w:r>
                <w:r>
                  <w:rPr>
                    <w:szCs w:val="24"/>
                  </w:rPr>
                  <w:t>alstybinė ligonių kasa prie Sveikatos apsaugos ministerijos.</w:t>
                </w:r>
              </w:p>
              <w:p w14:paraId="36F775CF" w14:textId="2FFEB88B">
                <w:pPr>
                  <w:tabs>
                    <w:tab w:val="left" w:pos="454"/>
                  </w:tabs>
                  <w:spacing w:line="276" w:lineRule="auto"/>
                  <w:ind w:firstLine="36"/>
                  <w:jc w:val="both"/>
                  <w:rPr>
                    <w:szCs w:val="24"/>
                  </w:rPr>
                </w:pPr>
                <w:r>
                  <w:rPr>
                    <w:color w:val="000000"/>
                    <w:szCs w:val="24"/>
                    <w:lang w:eastAsia="lt-LT"/>
                  </w:rPr>
                  <w:t xml:space="preserve">2.2. </w:t>
                </w:r>
                <w:r>
                  <w:rPr>
                    <w:rFonts w:eastAsia="Calibri"/>
                    <w:szCs w:val="24"/>
                  </w:rPr>
                  <w:t xml:space="preserve">Galimi projekto partneriai: Sveikatos apsaugos ministerija, </w:t>
                </w:r>
                <w:r>
                  <w:rPr>
                    <w:szCs w:val="24"/>
                  </w:rPr>
                  <w:t>Higienos institutas, Valstybinė akreditavimo sveikatos priežiūros veiklai tarnyba prie Sveikatos apsaugos ministerijos, Valstybės duomenų agentūra, Valstybės įmonė Registrų centras.</w:t>
                </w:r>
              </w:p>
              <w:p w14:paraId="12E25DE0" w14:textId="5D6DA935">
                <w:pPr>
                  <w:tabs>
                    <w:tab w:val="left" w:pos="426"/>
                    <w:tab w:val="left" w:pos="709"/>
                  </w:tabs>
                  <w:spacing w:line="276" w:lineRule="auto"/>
                  <w:jc w:val="both"/>
                  <w:rPr>
                    <w:szCs w:val="24"/>
                  </w:rPr>
                </w:pPr>
                <w:r>
                  <w:rPr>
                    <w:szCs w:val="24"/>
                    <w:lang w:val="en-US"/>
                  </w:rPr>
                  <w:t xml:space="preserve">2.3. </w:t>
                </w:r>
                <w:r>
                  <w:rPr>
                    <w:szCs w:val="24"/>
                  </w:rPr>
                  <w:t>Jeigu projektas įgyvendinamas su partneriu, partnerystė projekte turi būti pagrįsta, teikti naudą ir prisidėti prie projekto tikslo įgyvendinimo ir iki PĮP pateikimo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113822F2" w14:textId="7222BD6B">
                <w:pPr>
                  <w:tabs>
                    <w:tab w:val="left" w:pos="426"/>
                    <w:tab w:val="left" w:pos="567"/>
                  </w:tabs>
                  <w:spacing w:line="276" w:lineRule="auto"/>
                  <w:jc w:val="both"/>
                  <w:rPr>
                    <w:szCs w:val="24"/>
                  </w:rPr>
                </w:pPr>
                <w:r>
                  <w:rPr>
                    <w:szCs w:val="24"/>
                    <w:lang w:val="en-US"/>
                  </w:rPr>
                  <w:t xml:space="preserve">2.3.1. </w:t>
                </w:r>
                <w:r>
                  <w:rPr>
                    <w:szCs w:val="24"/>
                  </w:rPr>
                  <w:t>partneris turi būti perskaitęs PĮP ir susipažinęs su savo teisėmis ir pareigomis įgyvendinant PĮP;</w:t>
                </w:r>
              </w:p>
              <w:p w14:paraId="31A16177" w14:textId="09541991">
                <w:pPr>
                  <w:tabs>
                    <w:tab w:val="left" w:pos="426"/>
                    <w:tab w:val="left" w:pos="567"/>
                  </w:tabs>
                  <w:spacing w:line="276" w:lineRule="auto"/>
                  <w:jc w:val="both"/>
                  <w:rPr>
                    <w:szCs w:val="24"/>
                  </w:rPr>
                </w:pPr>
                <w:r>
                  <w:rPr>
                    <w:szCs w:val="24"/>
                    <w:lang w:val="en-US"/>
                  </w:rPr>
                  <w:t xml:space="preserve">2.3.2. </w:t>
                </w:r>
                <w:r>
                  <w:rPr>
                    <w:szCs w:val="24"/>
                  </w:rPr>
                  <w:t>įgyvendindamas projektą projekto vykdytojas privalo reguliariai konsultuotis su partneriu ir nuolat jį informuoti apie projekto įgyvendinimo eigą;</w:t>
                </w:r>
              </w:p>
              <w:p w14:paraId="1724CF43" w14:textId="24D81029">
                <w:pPr>
                  <w:tabs>
                    <w:tab w:val="left" w:pos="426"/>
                    <w:tab w:val="left" w:pos="709"/>
                    <w:tab w:val="left" w:pos="885"/>
                  </w:tabs>
                  <w:spacing w:line="276" w:lineRule="auto"/>
                  <w:jc w:val="both"/>
                  <w:rPr>
                    <w:bCs/>
                    <w:iCs/>
                    <w:szCs w:val="24"/>
                    <w:highlight w:val="yellow"/>
                  </w:rPr>
                </w:pPr>
                <w:r>
                  <w:rPr>
                    <w:iCs/>
                    <w:szCs w:val="24"/>
                  </w:rPr>
                  <w:t>2.3.3. visi PĮP pakeitimai, turintys įtakos partnerio įsipareigojimams ir teisėms, prieš kreipiantis į įgyvendinančiąją instituciją pirmiausia turi būti suderinti su partneriu.</w:t>
                </w:r>
              </w:p>
              <w:p w14:paraId="370FAD8A" w14:textId="1F3B8D64">
                <w:pPr>
                  <w:tabs>
                    <w:tab w:val="left" w:pos="454"/>
                  </w:tabs>
                  <w:spacing w:line="276" w:lineRule="auto"/>
                  <w:jc w:val="both"/>
                  <w:rPr>
                    <w:color w:val="000000"/>
                    <w:szCs w:val="24"/>
                  </w:rPr>
                </w:pPr>
                <w:r>
                  <w:rPr>
                    <w:szCs w:val="24"/>
                    <w:lang w:eastAsia="lt-LT"/>
                  </w:rPr>
                  <w:t xml:space="preserve">2.4. </w:t>
                </w:r>
                <w:r>
                  <w:rPr>
                    <w:color w:val="000000"/>
                    <w:szCs w:val="24"/>
                  </w:rPr>
                  <w:t xml:space="preserve">Projektui pagal šio Aprašo veiklą įgyvendinti skiriama iki </w:t>
                </w:r>
                <w:r>
                  <w:rPr>
                    <w:color w:val="000000"/>
                    <w:szCs w:val="24"/>
                    <w:lang w:val="en-US"/>
                  </w:rPr>
                  <w:t>2</w:t>
                </w:r>
                <w:r>
                  <w:rPr>
                    <w:color w:val="000000"/>
                    <w:szCs w:val="24"/>
                  </w:rPr>
                  <w:t xml:space="preserve"> 500 000 Eur </w:t>
                </w:r>
                <w:r>
                  <w:rPr>
                    <w:szCs w:val="24"/>
                  </w:rPr>
                  <w:t xml:space="preserve">(dviejų milijonų penkių šimtų tūkstančių eurų) </w:t>
                </w:r>
                <w:r>
                  <w:rPr>
                    <w:bCs/>
                    <w:iCs/>
                    <w:szCs w:val="24"/>
                  </w:rPr>
                  <w:t>EGADP</w:t>
                </w:r>
                <w:r>
                  <w:rPr>
                    <w:color w:val="000000"/>
                    <w:szCs w:val="24"/>
                  </w:rPr>
                  <w:t xml:space="preserve"> lėšų ir iki </w:t>
                </w:r>
                <w:r>
                  <w:rPr>
                    <w:color w:val="000000"/>
                    <w:szCs w:val="24"/>
                    <w:lang w:val="en-US"/>
                  </w:rPr>
                  <w:t xml:space="preserve">525 000 </w:t>
                </w:r>
                <w:r>
                  <w:rPr>
                    <w:szCs w:val="24"/>
                  </w:rPr>
                  <w:t>Eur (penkių šimtų dvidešimt penkių tūkstančių eurų</w:t>
                </w:r>
                <w:r>
                  <w:rPr>
                    <w:color w:val="000000"/>
                    <w:szCs w:val="24"/>
                  </w:rPr>
                  <w:t xml:space="preserve">) VB lėšų, </w:t>
                </w:r>
                <w:r>
                  <w:rPr>
                    <w:szCs w:val="24"/>
                  </w:rPr>
                  <w:t>skirtų PVM</w:t>
                </w:r>
                <w:r>
                  <w:rPr>
                    <w:color w:val="000000"/>
                    <w:szCs w:val="24"/>
                  </w:rPr>
                  <w:t>.</w:t>
                </w:r>
              </w:p>
              <w:p w14:paraId="5A1B845E" w14:textId="59F89D44">
                <w:pPr>
                  <w:spacing w:line="276" w:lineRule="auto"/>
                  <w:jc w:val="both"/>
                  <w:rPr>
                    <w:color w:val="FF0000"/>
                    <w:szCs w:val="24"/>
                  </w:rPr>
                </w:pPr>
                <w:r>
                  <w:rPr>
                    <w:color w:val="000000"/>
                    <w:szCs w:val="24"/>
                    <w:lang w:val="en-US"/>
                  </w:rPr>
                  <w:t xml:space="preserve">2.5. </w:t>
                </w:r>
                <w:r>
                  <w:rPr>
                    <w:szCs w:val="24"/>
                  </w:rPr>
                  <w:t xml:space="preserve">Finansuojamos veiklos turi būti baigtos įgyvendinti iki 2024 m. birželio 30 d. </w:t>
                </w:r>
              </w:p>
              <w:p w14:paraId="2F5F1D4D" w14:textId="40A21A14">
                <w:pPr>
                  <w:spacing w:line="276" w:lineRule="auto"/>
                  <w:jc w:val="both"/>
                  <w:rPr>
                    <w:szCs w:val="24"/>
                    <w:lang w:eastAsia="lt-LT"/>
                  </w:rPr>
                </w:pPr>
                <w:r>
                  <w:rPr>
                    <w:color w:val="000000"/>
                    <w:szCs w:val="24"/>
                    <w:lang w:val="en-US" w:eastAsia="lt-LT"/>
                  </w:rPr>
                  <w:t xml:space="preserve">2.6. </w:t>
                </w:r>
                <w:r>
                  <w:rPr>
                    <w:szCs w:val="24"/>
                    <w:lang w:eastAsia="lt-LT"/>
                  </w:rPr>
                  <w:t xml:space="preserve">Sveikatos priežiūros paslaugų kokybės vertinimo modelio sukūrimo papriemonės (EGADP A.1.1.10 10) tikslas – sukurti kompleksinį sveikatos priežiūros paslaugų kokybės vertinimo modelį ir pacientų grįžtamojo ryšio vertinimo įrankį. Modelio tikslas – įvertinti visuomenės sveikatos tarnybų, pirminės sveikatos priežiūros centrų ir ligoninių teikiamų sveikatos priežiūros paslaugų efektyvumą ir kokybę ir sukurti sveikatos priežiūros įstaigų veiklos rezultatų palyginimo sistemą. </w:t>
                </w:r>
                <w:r>
                  <w:rPr>
                    <w:rFonts w:eastAsia="Calibri"/>
                    <w:szCs w:val="24"/>
                  </w:rPr>
                  <w:t xml:space="preserve">Pagal šį Aprašą finansuojama veikla (sukurta ir įdiegta ar patobulinta esama informacinė sistema, </w:t>
                </w:r>
                <w:r>
                  <w:rPr>
                    <w:szCs w:val="24"/>
                  </w:rPr>
                  <w:t>skirta sveikatos priežiūros paslaugų, teikiamų nacionaliniu, savivaldybių ir sveikatos priežiūros įstaigų lygmenimis, kokybei stebėti, vertinti ir sveikatos priežiūros įstaigų veiklos rezultatams palyginti, įskaitant pacientų grįžtamojo ryšio vertinimą</w:t>
                </w:r>
                <w:r>
                  <w:rPr>
                    <w:rFonts w:eastAsia="Calibri"/>
                    <w:szCs w:val="24"/>
                  </w:rPr>
                  <w:t xml:space="preserve">) </w:t>
                </w:r>
                <w:r>
                  <w:rPr>
                    <w:bCs/>
                    <w:iCs/>
                    <w:szCs w:val="24"/>
                  </w:rPr>
                  <w:t>atitinka Sveikatos priežiūros kokybės ir efektyvumo didinimo plėtros programos</w:t>
                </w:r>
                <w:r>
                  <w:rPr>
                    <w:bCs/>
                    <w:iCs/>
                    <w:szCs w:val="24"/>
                    <w:vertAlign w:val="superscript"/>
                  </w:rPr>
                  <w:footnoteReference w:id="18"/>
                </w:r>
                <w:r>
                  <w:rPr>
                    <w:bCs/>
                    <w:iCs/>
                    <w:szCs w:val="24"/>
                  </w:rPr>
                  <w:t xml:space="preserve"> Pažangos priemonės aprašo III skyriaus „</w:t>
                </w:r>
                <w:r>
                  <w:rPr>
                    <w:bCs/>
                    <w:szCs w:val="24"/>
                  </w:rPr>
                  <w:t>Plėtros programos pažangos priemonės veiklų suvestinė“</w:t>
                </w:r>
                <w:r>
                  <w:rPr>
                    <w:bCs/>
                    <w:iCs/>
                    <w:szCs w:val="24"/>
                  </w:rPr>
                  <w:t xml:space="preserve"> </w:t>
                </w:r>
                <w:r>
                  <w:rPr>
                    <w:bCs/>
                    <w:iCs/>
                    <w:szCs w:val="24"/>
                    <w:lang w:val="en-US"/>
                  </w:rPr>
                  <w:t>4</w:t>
                </w:r>
                <w:r>
                  <w:rPr>
                    <w:bCs/>
                    <w:iCs/>
                    <w:szCs w:val="24"/>
                  </w:rPr>
                  <w:t xml:space="preserve"> veiklą – sveikatos sektoriaus skaitmeninimas, 4</w:t>
                </w:r>
                <w:r>
                  <w:rPr>
                    <w:color w:val="000000"/>
                    <w:szCs w:val="24"/>
                    <w:lang w:eastAsia="lt-LT"/>
                  </w:rPr>
                  <w:t>.3 poveiklę – s</w:t>
                </w:r>
                <w:r>
                  <w:rPr>
                    <w:szCs w:val="24"/>
                    <w:lang w:eastAsia="lt-LT"/>
                  </w:rPr>
                  <w:t xml:space="preserve">veikatos priežiūros paslaugų kokybės vertinimo modelio (rodiklių švieslentės) sukūrimas. </w:t>
                </w:r>
              </w:p>
              <w:p w14:paraId="15A4B471" w14:textId="366C2B65">
                <w:pPr>
                  <w:tabs>
                    <w:tab w:val="left" w:pos="462"/>
                  </w:tabs>
                  <w:spacing w:line="276" w:lineRule="auto"/>
                  <w:ind w:firstLine="36"/>
                  <w:jc w:val="both"/>
                  <w:rPr>
                    <w:szCs w:val="24"/>
                    <w:lang w:eastAsia="lt-LT"/>
                  </w:rPr>
                </w:pPr>
                <w:r>
                  <w:rPr>
                    <w:szCs w:val="24"/>
                  </w:rPr>
                  <w:t>2.7.</w:t>
                  <w:tab/>
                  <w:t>Tikslinė grupė: Lietuvos nacionalinės sveikatos sistemos</w:t>
                </w:r>
                <w:r>
                  <w:rPr>
                    <w:szCs w:val="24"/>
                    <w:lang w:eastAsia="lt-LT"/>
                  </w:rPr>
                  <w:t xml:space="preserve"> subjektai, Lietuvos gyventojai.</w:t>
                </w:r>
              </w:p>
              <w:p w14:paraId="388A5A67" w14:textId="0B504365">
                <w:pPr>
                  <w:tabs>
                    <w:tab w:val="left" w:pos="462"/>
                  </w:tabs>
                  <w:spacing w:line="276" w:lineRule="auto"/>
                  <w:ind w:left="32" w:firstLine="4"/>
                  <w:jc w:val="both"/>
                  <w:rPr>
                    <w:szCs w:val="24"/>
                  </w:rPr>
                </w:pPr>
                <w:r>
                  <w:rPr>
                    <w:szCs w:val="24"/>
                  </w:rPr>
                  <w:t>2.8.</w:t>
                  <w:tab/>
                </w:r>
                <w:r>
                  <w:rPr>
                    <w:rFonts w:eastAsia="Calibri"/>
                    <w:szCs w:val="24"/>
                  </w:rPr>
                  <w:t>Projektas turi atitikti projekto bendruosius atrankos kriterijus, nustatytus PAFT 2 priede „Projektų bendrųjų atrankos kriterijų sąrašas ir jų vertinimo metodika“.</w:t>
                </w:r>
              </w:p>
              <w:p w14:paraId="00B77ECA" w14:textId="3FA5017B">
                <w:pPr>
                  <w:tabs>
                    <w:tab w:val="left" w:pos="462"/>
                    <w:tab w:val="left" w:pos="604"/>
                  </w:tabs>
                  <w:spacing w:line="276" w:lineRule="auto"/>
                  <w:ind w:left="32" w:firstLine="4"/>
                  <w:jc w:val="both"/>
                  <w:rPr>
                    <w:szCs w:val="24"/>
                  </w:rPr>
                </w:pPr>
                <w:r>
                  <w:rPr>
                    <w:szCs w:val="24"/>
                  </w:rPr>
                  <w:t>2.9.</w:t>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14:paraId="6392108C" w14:textId="20459C36">
                <w:pPr>
                  <w:tabs>
                    <w:tab w:val="left" w:pos="690"/>
                  </w:tabs>
                  <w:spacing w:line="276" w:lineRule="auto"/>
                  <w:ind w:left="29" w:hanging="32"/>
                  <w:jc w:val="both"/>
                  <w:rPr>
                    <w:szCs w:val="24"/>
                  </w:rPr>
                </w:pPr>
                <w:r>
                  <w:rPr>
                    <w:szCs w:val="24"/>
                  </w:rPr>
                  <w:t xml:space="preserve">2.10.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14:paraId="7591BC5F" w14:textId="2A0BDD6E">
                <w:pPr>
                  <w:tabs>
                    <w:tab w:val="left" w:pos="604"/>
                  </w:tabs>
                  <w:spacing w:line="276" w:lineRule="auto"/>
                  <w:jc w:val="both"/>
                  <w:rPr>
                    <w:szCs w:val="24"/>
                  </w:rPr>
                </w:pPr>
                <w:r>
                  <w:rPr>
                    <w:szCs w:val="24"/>
                  </w:rPr>
                  <w:t>2.10.1. į</w:t>
                </w:r>
                <w:r>
                  <w:rPr>
                    <w:szCs w:val="24"/>
                    <w:lang w:eastAsia="lt-LT"/>
                  </w:rPr>
                  <w:t>galiojimas pasirašyti PĮP, jei jį pasirašo ne pareiškėjo įstaigos vadovas;</w:t>
                </w:r>
              </w:p>
              <w:p w14:paraId="78795616" w14:textId="2AC1B415">
                <w:pPr>
                  <w:tabs>
                    <w:tab w:val="left" w:pos="680"/>
                  </w:tabs>
                  <w:spacing w:line="276" w:lineRule="auto"/>
                  <w:jc w:val="both"/>
                  <w:rPr>
                    <w:szCs w:val="24"/>
                    <w:lang w:eastAsia="lt-LT"/>
                  </w:rPr>
                </w:pPr>
                <w:r>
                  <w:rPr>
                    <w:szCs w:val="24"/>
                    <w:lang w:val="en-US"/>
                  </w:rPr>
                  <w:t>2.10.2. i</w:t>
                </w:r>
                <w:r>
                  <w:rPr>
                    <w:szCs w:val="24"/>
                    <w:lang w:eastAsia="lt-LT"/>
                  </w:rPr>
                  <w:t xml:space="preserve">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2023 m. sausio 6 d. įsakymu Nr. 2023/8-4, kuri paskelbta adresu </w:t>
                </w:r>
                <w:r>
                  <w:rPr>
                    <w:color w:val="0563C1"/>
                    <w:szCs w:val="24"/>
                    <w:u w:val="single"/>
                    <w:lang w:eastAsia="lt-LT"/>
                  </w:rPr>
                  <w:t>https://www.cpva.lt/pletros-programu-portfelio-metodines-pagalbos-centras/dokumentai/dokumentai/796/act883?sqid=829b3670a8452304456736b16855dcdda444bdcb</w:t>
                </w:r>
                <w:r>
                  <w:rPr>
                    <w:szCs w:val="24"/>
                    <w:lang w:eastAsia="lt-LT"/>
                  </w:rPr>
                  <w:t>;</w:t>
                </w:r>
              </w:p>
              <w:p w14:paraId="1B103D90" w14:textId="7D030E02">
                <w:pPr>
                  <w:spacing w:line="276" w:lineRule="auto"/>
                  <w:ind w:left="36"/>
                  <w:jc w:val="both"/>
                  <w:rPr>
                    <w:szCs w:val="24"/>
                  </w:rPr>
                </w:pPr>
                <w:r>
                  <w:rPr>
                    <w:szCs w:val="24"/>
                  </w:rPr>
                  <w:t>2.</w:t>
                </w:r>
                <w:r>
                  <w:rPr>
                    <w:szCs w:val="24"/>
                    <w:lang w:val="en-US"/>
                  </w:rPr>
                  <w:t>10</w:t>
                </w:r>
                <w:r>
                  <w:rPr>
                    <w:szCs w:val="24"/>
                  </w:rPr>
                  <w:t>.3.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FBCEAA2" w14:textId="25CF408B">
                <w:pPr>
                  <w:spacing w:line="276" w:lineRule="auto"/>
                  <w:ind w:left="36"/>
                  <w:jc w:val="both"/>
                  <w:rPr>
                    <w:color w:val="000000"/>
                    <w:szCs w:val="24"/>
                  </w:rPr>
                </w:pPr>
                <w:r>
                  <w:rPr>
                    <w:szCs w:val="24"/>
                  </w:rPr>
                  <w:t>2.10.4.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718D5B70" w14:textId="431AFF37">
                <w:pPr>
                  <w:tabs>
                    <w:tab w:val="left" w:pos="680"/>
                  </w:tabs>
                  <w:spacing w:line="276" w:lineRule="auto"/>
                  <w:jc w:val="both"/>
                  <w:rPr>
                    <w:szCs w:val="24"/>
                  </w:rPr>
                </w:pPr>
                <w:r>
                  <w:rPr>
                    <w:szCs w:val="24"/>
                    <w:lang w:eastAsia="lt-LT"/>
                  </w:rPr>
                  <w:t>2.10.5. p</w:t>
                </w:r>
                <w:r>
                  <w:rPr>
                    <w:szCs w:val="24"/>
                  </w:rPr>
                  <w:t xml:space="preserve">artnerio deklaracija (PAFT PĮP formos </w:t>
                </w:r>
                <w:r>
                  <w:rPr>
                    <w:szCs w:val="24"/>
                    <w:shd w:val="clear" w:color="auto" w:fill="FFFFFF"/>
                  </w:rPr>
                  <w:t>1 priedas</w:t>
                </w:r>
                <w:r>
                  <w:rPr>
                    <w:szCs w:val="24"/>
                  </w:rPr>
                  <w:t>) (taikoma, jei projektas bus įgyvendinamas su partneriu (-iais);</w:t>
                </w:r>
              </w:p>
              <w:p w14:paraId="27C839DA" w14:textId="6A3ACC9A">
                <w:pPr>
                  <w:tabs>
                    <w:tab w:val="left" w:pos="680"/>
                  </w:tabs>
                  <w:spacing w:line="276" w:lineRule="auto"/>
                  <w:jc w:val="both"/>
                  <w:rPr>
                    <w:szCs w:val="24"/>
                    <w:lang w:eastAsia="lt-LT"/>
                  </w:rPr>
                </w:pPr>
                <w:r>
                  <w:rPr>
                    <w:szCs w:val="24"/>
                  </w:rPr>
                  <w:t xml:space="preserve">2.10.6. informacija apie projekto biudžeto paskirstymą pagal pareiškėjus ir partnerius (PAFT PĮP formos </w:t>
                </w:r>
                <w:r>
                  <w:rPr>
                    <w:szCs w:val="24"/>
                    <w:shd w:val="clear" w:color="auto" w:fill="FFFFFF"/>
                  </w:rPr>
                  <w:t>2 priedas</w:t>
                </w:r>
                <w:r>
                  <w:rPr>
                    <w:szCs w:val="24"/>
                  </w:rPr>
                  <w:t>) (taikoma, jei projektas bus įgyvendinamas su partneriu (-iais). </w:t>
                </w:r>
              </w:p>
              <w:p w14:paraId="4384A93C" w14:textId="05F3112A">
                <w:pPr>
                  <w:tabs>
                    <w:tab w:val="left" w:pos="426"/>
                    <w:tab w:val="left" w:pos="709"/>
                  </w:tabs>
                  <w:spacing w:line="276" w:lineRule="auto"/>
                  <w:jc w:val="both"/>
                  <w:rPr>
                    <w:szCs w:val="24"/>
                  </w:rPr>
                </w:pPr>
                <w:r>
                  <w:rPr>
                    <w:szCs w:val="24"/>
                  </w:rPr>
                  <w:t>2.11. Taikomi reikalavimai projekto įgyvendinimo metu:</w:t>
                </w:r>
              </w:p>
              <w:p w14:paraId="535D4254" w14:textId="10B88204">
                <w:pPr>
                  <w:tabs>
                    <w:tab w:val="left" w:pos="426"/>
                    <w:tab w:val="left" w:pos="709"/>
                  </w:tabs>
                  <w:spacing w:line="276" w:lineRule="auto"/>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3BC6810F" w14:textId="402ABE5D">
                <w:pPr>
                  <w:tabs>
                    <w:tab w:val="left" w:pos="426"/>
                    <w:tab w:val="left" w:pos="709"/>
                  </w:tabs>
                  <w:spacing w:line="276" w:lineRule="auto"/>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4951EF8B" w14:textId="20C450B4">
                <w:pPr>
                  <w:spacing w:line="276" w:lineRule="auto"/>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104B2123" w14:textId="36ED6FD4">
                <w:pPr>
                  <w:spacing w:line="276" w:lineRule="auto"/>
                  <w:jc w:val="both"/>
                  <w:rPr>
                    <w:sz w:val="22"/>
                    <w:szCs w:val="22"/>
                  </w:rPr>
                </w:pPr>
                <w:r>
                  <w:rPr>
                    <w:color w:val="000000"/>
                    <w:szCs w:val="24"/>
                  </w:rPr>
                  <w:t>2.11.4.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kaip tai numatyta Nutarime Nr. 498.</w:t>
                </w:r>
              </w:p>
            </w:tc>
          </w:tr>
          <w:tr w14:paraId="6732D413" w14:textId="77777777">
            <w:tc>
              <w:tcPr>
                <w:tcW w:w="14885" w:type="dxa"/>
              </w:tcPr>
              <w:p w14:paraId="7F15177B" w14:textId="77777777">
                <w:pPr>
                  <w:spacing w:line="276" w:lineRule="auto"/>
                  <w:jc w:val="both"/>
                  <w:rPr>
                    <w:iCs/>
                    <w:szCs w:val="24"/>
                  </w:rPr>
                </w:pPr>
                <w:r>
                  <w:rPr>
                    <w:b/>
                    <w:szCs w:val="24"/>
                  </w:rPr>
                  <w:t>2.1. Reikalavimai jungtinio projekto projektams</w:t>
                </w:r>
              </w:p>
            </w:tc>
          </w:tr>
          <w:tr w14:paraId="0089C81C" w14:textId="77777777">
            <w:trPr>
              <w:trHeight w:val="443"/>
            </w:trPr>
            <w:tc>
              <w:tcPr>
                <w:tcW w:w="14885" w:type="dxa"/>
              </w:tcPr>
              <w:p w14:paraId="23FEC9A0" w14:textId="77777777">
                <w:pPr>
                  <w:spacing w:line="276" w:lineRule="auto"/>
                  <w:jc w:val="both"/>
                  <w:rPr>
                    <w:szCs w:val="24"/>
                  </w:rPr>
                </w:pPr>
                <w:r>
                  <w:rPr>
                    <w:szCs w:val="24"/>
                  </w:rPr>
                  <w:t>Netaikoma</w:t>
                </w:r>
              </w:p>
            </w:tc>
          </w:tr>
          <w:tr w14:paraId="5A0A986B" w14:textId="77777777">
            <w:trPr>
              <w:trHeight w:val="449"/>
            </w:trPr>
            <w:tc>
              <w:tcPr>
                <w:tcW w:w="14885" w:type="dxa"/>
              </w:tcPr>
              <w:p w14:paraId="346D23FE" w14:textId="32F881AE">
                <w:pPr>
                  <w:spacing w:line="276" w:lineRule="auto"/>
                  <w:rPr>
                    <w:sz w:val="22"/>
                    <w:szCs w:val="22"/>
                  </w:rPr>
                </w:pPr>
                <w:r>
                  <w:rPr>
                    <w:b/>
                    <w:szCs w:val="24"/>
                  </w:rPr>
                  <w:t>3. Horizontaliųjų principų (toliau – HP) reikalavimai</w:t>
                </w:r>
              </w:p>
            </w:tc>
          </w:tr>
          <w:tr w14:paraId="0E93B1A6" w14:textId="77777777">
            <w:trPr>
              <w:trHeight w:val="841"/>
            </w:trPr>
            <w:tc>
              <w:tcPr>
                <w:tcW w:w="14885" w:type="dxa"/>
              </w:tcPr>
              <w:p w14:paraId="5B375EEE" w14:textId="2087F269">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6777339" w14:textId="2FC40D34">
                <w:pPr>
                  <w:spacing w:line="276" w:lineRule="auto"/>
                  <w:jc w:val="both"/>
                  <w:rPr>
                    <w:bCs/>
                    <w:szCs w:val="24"/>
                  </w:rPr>
                </w:pPr>
                <w:r>
                  <w:rPr>
                    <w:szCs w:val="24"/>
                  </w:rPr>
                  <w:t xml:space="preserve">Įvertinus EGADP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392E3931" w14:textId="0F6231CB">
                <w:pPr>
                  <w:spacing w:line="276" w:lineRule="auto"/>
                  <w:jc w:val="both"/>
                </w:pPr>
                <w:r>
                  <w:t>Projektų atitikties reikšmingos žalos nedarymo HP vertinimo reikalavimai pateikiami Aprašo priede „Projekto atitikties reikšmingos žalos nedarymo horizontaliajam principui vertinimo reikalavimų aprašas“.</w:t>
                </w:r>
              </w:p>
              <w:p w14:paraId="2EDA7A54" w14:textId="052AB709">
                <w:pPr>
                  <w:spacing w:line="276" w:lineRule="auto"/>
                  <w:rPr>
                    <w:sz w:val="22"/>
                    <w:szCs w:val="22"/>
                    <w:lang w:val="en-US"/>
                  </w:rPr>
                </w:pPr>
                <w:r>
                  <w:rPr>
                    <w:szCs w:val="24"/>
                  </w:rPr>
                  <w:t>Projekto įgyvendinimo metu </w:t>
                </w:r>
                <w:r>
                  <w:rPr>
                    <w:szCs w:val="24"/>
                    <w:lang w:eastAsia="lt-LT"/>
                  </w:rPr>
                  <w:t>neturi būti pažeidžiamos Jungtinių Tautų neįgaliųjų teisių konvencijos nuostatos.</w:t>
                </w:r>
              </w:p>
            </w:tc>
          </w:tr>
          <w:tr w14:paraId="1644A531" w14:textId="77777777">
            <w:tc>
              <w:tcPr>
                <w:tcW w:w="14885" w:type="dxa"/>
              </w:tcPr>
              <w:p w14:paraId="3E6A7CDB" w14:textId="4DA92CCD">
                <w:pPr>
                  <w:spacing w:line="276" w:lineRule="auto"/>
                  <w:rPr>
                    <w:b/>
                    <w:sz w:val="22"/>
                    <w:szCs w:val="22"/>
                  </w:rPr>
                </w:pPr>
                <w:r>
                  <w:rPr>
                    <w:b/>
                    <w:iCs/>
                    <w:szCs w:val="24"/>
                  </w:rPr>
                  <w:t>3.1. Europos Sąjungos pagrindinių teisių chartijos (toliau – Chartija) reikalavimai</w:t>
                </w:r>
              </w:p>
            </w:tc>
          </w:tr>
          <w:tr w14:paraId="02FC8C34" w14:textId="77777777">
            <w:tc>
              <w:tcPr>
                <w:tcW w:w="14885" w:type="dxa"/>
              </w:tcPr>
              <w:p w14:paraId="7375A309" w14:textId="737976D6">
                <w:pPr>
                  <w:spacing w:line="276" w:lineRule="auto"/>
                  <w:jc w:val="both"/>
                  <w:rPr>
                    <w:b/>
                    <w:sz w:val="22"/>
                    <w:szCs w:val="22"/>
                  </w:rPr>
                </w:pPr>
                <w:r>
                  <w:rPr>
                    <w:bCs/>
                    <w:iCs/>
                  </w:rPr>
                  <w:t xml:space="preserve">Pagal Aprašą numatytos veiklos </w:t>
                </w:r>
                <w:r>
                  <w:rPr>
                    <w:iCs/>
                    <w:szCs w:val="24"/>
                  </w:rPr>
                  <w:t>nepažeidžia</w:t>
                </w:r>
                <w:r>
                  <w:rPr>
                    <w:iCs/>
                    <w:sz w:val="20"/>
                  </w:rPr>
                  <w:t xml:space="preserve"> </w:t>
                </w:r>
                <w:r>
                  <w:rPr>
                    <w:bCs/>
                    <w:iCs/>
                  </w:rPr>
                  <w:t xml:space="preserve">Europos Sąjungos pagrindinių teisių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w:t>
                </w:r>
                <w:r>
                  <w:rPr>
                    <w:bCs/>
                    <w:iCs/>
                    <w:szCs w:val="24"/>
                  </w:rPr>
                  <w:t xml:space="preserve">  </w:t>
                </w:r>
              </w:p>
            </w:tc>
          </w:tr>
          <w:tr w14:paraId="17E417B5" w14:textId="77777777">
            <w:tc>
              <w:tcPr>
                <w:tcW w:w="14885" w:type="dxa"/>
              </w:tcPr>
              <w:p w14:paraId="5312EB92" w14:textId="291F4544">
                <w:pPr>
                  <w:spacing w:line="276" w:lineRule="auto"/>
                  <w:rPr>
                    <w:b/>
                    <w:szCs w:val="24"/>
                  </w:rPr>
                </w:pPr>
                <w:r>
                  <w:rPr>
                    <w:b/>
                    <w:szCs w:val="24"/>
                  </w:rPr>
                  <w:t>4. Apskritis, kurioje gali būti įgyvendinami projektai</w:t>
                </w:r>
              </w:p>
            </w:tc>
          </w:tr>
          <w:tr w14:paraId="34ECFCB5" w14:textId="77777777">
            <w:tc>
              <w:tcPr>
                <w:tcW w:w="14885" w:type="dxa"/>
              </w:tcPr>
              <w:p w14:paraId="246E422A" w14:textId="77777777">
                <w:pPr>
                  <w:spacing w:line="276" w:lineRule="auto"/>
                  <w:jc w:val="both"/>
                  <w:rPr>
                    <w:iCs/>
                    <w:szCs w:val="24"/>
                  </w:rPr>
                </w:pPr>
                <w:r>
                  <w:rPr>
                    <w:iCs/>
                    <w:szCs w:val="24"/>
                  </w:rPr>
                  <w:t>Netaikoma</w:t>
                </w:r>
              </w:p>
            </w:tc>
          </w:tr>
          <w:tr w14:paraId="6C5E90B0" w14:textId="77777777">
            <w:tc>
              <w:tcPr>
                <w:tcW w:w="14885" w:type="dxa"/>
              </w:tcPr>
              <w:p w14:paraId="02A76F1E" w14:textId="77777777">
                <w:pPr>
                  <w:spacing w:line="276" w:lineRule="auto"/>
                  <w:jc w:val="both"/>
                  <w:rPr>
                    <w:b/>
                    <w:szCs w:val="24"/>
                  </w:rPr>
                </w:pPr>
                <w:r>
                  <w:rPr>
                    <w:b/>
                    <w:szCs w:val="24"/>
                  </w:rPr>
                  <w:t xml:space="preserve">5. Reikalavimai valstybės pagalbai </w:t>
                </w:r>
              </w:p>
            </w:tc>
          </w:tr>
          <w:tr w14:paraId="22ABB1BE" w14:textId="77777777">
            <w:tc>
              <w:tcPr>
                <w:tcW w:w="14885" w:type="dxa"/>
              </w:tcPr>
              <w:p w14:paraId="02E19206" w14:textId="4A62C75D">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14:paraId="2478EE3B" w14:textId="77777777">
            <w:tc>
              <w:tcPr>
                <w:tcW w:w="14885" w:type="dxa"/>
              </w:tcPr>
              <w:p w14:paraId="2FCE9D65" w14:textId="77777777">
                <w:pPr>
                  <w:spacing w:line="276" w:lineRule="auto"/>
                  <w:ind w:left="426" w:hanging="426"/>
                  <w:jc w:val="both"/>
                  <w:rPr>
                    <w:i/>
                    <w:szCs w:val="24"/>
                  </w:rPr>
                </w:pPr>
                <w:r>
                  <w:rPr>
                    <w:b/>
                    <w:szCs w:val="24"/>
                  </w:rPr>
                  <w:t>6. Projektų atrankos kriterijai</w:t>
                </w:r>
              </w:p>
            </w:tc>
          </w:tr>
          <w:tr w14:paraId="22DCA8A9" w14:textId="77777777">
            <w:trPr>
              <w:trHeight w:val="335"/>
            </w:trPr>
            <w:tc>
              <w:tcPr>
                <w:tcW w:w="14885" w:type="dxa"/>
              </w:tcPr>
              <w:p w14:paraId="4E580C4C" w14:textId="77777777">
                <w:pPr>
                  <w:spacing w:line="276" w:lineRule="auto"/>
                  <w:jc w:val="both"/>
                  <w:rPr>
                    <w:i/>
                    <w:szCs w:val="24"/>
                  </w:rPr>
                </w:pPr>
                <w:r>
                  <w:rPr>
                    <w:szCs w:val="24"/>
                  </w:rPr>
                  <w:t>Specialieji ir prioritetiniai projektų atrankos kriterijai nėra nustatomi.</w:t>
                </w:r>
              </w:p>
            </w:tc>
          </w:tr>
          <w:tr w14:paraId="68EABE17" w14:textId="77777777">
            <w:tc>
              <w:tcPr>
                <w:tcW w:w="14885" w:type="dxa"/>
              </w:tcPr>
              <w:p w14:paraId="658636A1" w14:textId="108B5F03">
                <w:pPr>
                  <w:spacing w:line="276" w:lineRule="auto"/>
                  <w:rPr>
                    <w:b/>
                    <w:szCs w:val="24"/>
                  </w:rPr>
                </w:pPr>
                <w:r>
                  <w:rPr>
                    <w:b/>
                    <w:szCs w:val="24"/>
                  </w:rPr>
                  <w:t xml:space="preserve">6.1. Jungtinio projekto projektų atrankos kriterijai </w:t>
                </w:r>
                <w:r>
                  <w:rPr>
                    <w:szCs w:val="24"/>
                  </w:rPr>
                  <w:t>(</w:t>
                </w:r>
                <w:r>
                  <w:rPr>
                    <w:i/>
                    <w:szCs w:val="24"/>
                  </w:rPr>
                  <w:t>pildoma tik jungtiniam projektui)</w:t>
                </w:r>
              </w:p>
            </w:tc>
          </w:tr>
          <w:tr w14:paraId="40564F97" w14:textId="77777777">
            <w:tc>
              <w:tcPr>
                <w:tcW w:w="14885" w:type="dxa"/>
              </w:tcPr>
              <w:p w14:paraId="6FC053A8" w14:textId="618C1954">
                <w:pPr>
                  <w:spacing w:line="276" w:lineRule="auto"/>
                  <w:rPr>
                    <w:bCs/>
                    <w:szCs w:val="24"/>
                  </w:rPr>
                </w:pPr>
                <w:r>
                  <w:rPr>
                    <w:bCs/>
                    <w:szCs w:val="24"/>
                  </w:rPr>
                  <w:t>Netaikoma.</w:t>
                </w:r>
              </w:p>
            </w:tc>
          </w:tr>
          <w:tr w14:paraId="3FF5E6F9" w14:textId="77777777">
            <w:tc>
              <w:tcPr>
                <w:tcW w:w="14885" w:type="dxa"/>
              </w:tcPr>
              <w:p w14:paraId="063F2833" w14:textId="77777777">
                <w:pPr>
                  <w:spacing w:line="276" w:lineRule="auto"/>
                  <w:rPr>
                    <w:b/>
                    <w:szCs w:val="24"/>
                  </w:rPr>
                </w:pPr>
                <w:r>
                  <w:rPr>
                    <w:b/>
                    <w:szCs w:val="24"/>
                  </w:rPr>
                  <w:t xml:space="preserve">7. Reikalavimai įgyvendinus projektų veiklas </w:t>
                </w:r>
              </w:p>
            </w:tc>
          </w:tr>
          <w:tr w14:paraId="4995A27E" w14:textId="77777777">
            <w:tc>
              <w:tcPr>
                <w:tcW w:w="14885" w:type="dxa"/>
              </w:tcPr>
              <w:p w14:paraId="57AAAC02" w14:textId="0F1204DD">
                <w:pPr>
                  <w:spacing w:line="276" w:lineRule="auto"/>
                  <w:rPr>
                    <w:iCs/>
                    <w:szCs w:val="24"/>
                  </w:rPr>
                </w:pPr>
                <w:r>
                  <w:rPr>
                    <w:iCs/>
                    <w:szCs w:val="24"/>
                  </w:rPr>
                  <w:t>Papildomi reikalavimai, kurie nėra numatyti Administravimo taisyklėse ir PAFT nenustatyti.</w:t>
                </w:r>
              </w:p>
            </w:tc>
          </w:tr>
          <w:tr w14:paraId="463ED3D5" w14:textId="77777777">
            <w:tc>
              <w:tcPr>
                <w:tcW w:w="14885" w:type="dxa"/>
              </w:tcPr>
              <w:p w14:paraId="0C87867B" w14:textId="77777777">
                <w:pPr>
                  <w:spacing w:line="276" w:lineRule="auto"/>
                  <w:rPr>
                    <w:szCs w:val="24"/>
                  </w:rPr>
                </w:pPr>
                <w:r>
                  <w:rPr>
                    <w:b/>
                    <w:szCs w:val="24"/>
                  </w:rPr>
                  <w:t>8. Kiti reikalavimai</w:t>
                </w:r>
              </w:p>
            </w:tc>
          </w:tr>
          <w:tr w14:paraId="676DAE7C" w14:textId="77777777">
            <w:tc>
              <w:tcPr>
                <w:tcW w:w="14885" w:type="dxa"/>
              </w:tcPr>
              <w:p w14:paraId="13E586B6" w14:textId="12358CFD">
                <w:pPr>
                  <w:tabs>
                    <w:tab w:val="left" w:pos="459"/>
                  </w:tabs>
                  <w:spacing w:line="276" w:lineRule="auto"/>
                  <w:jc w:val="both"/>
                  <w:rPr>
                    <w:iCs/>
                    <w:szCs w:val="24"/>
                  </w:rPr>
                </w:pPr>
                <w:r>
                  <w:rPr>
                    <w:bCs/>
                    <w:szCs w:val="24"/>
                  </w:rPr>
                  <w:t>Netaikoma.</w:t>
                </w:r>
              </w:p>
            </w:tc>
          </w:tr>
          <w:tr w14:paraId="235E6929" w14:textId="77777777">
            <w:tc>
              <w:tcPr>
                <w:tcW w:w="14885" w:type="dxa"/>
              </w:tcPr>
              <w:p w14:paraId="75CBB7FD" w14:textId="77777777">
                <w:pPr>
                  <w:spacing w:line="276" w:lineRule="auto"/>
                  <w:jc w:val="both"/>
                  <w:rPr>
                    <w:b/>
                    <w:szCs w:val="24"/>
                  </w:rPr>
                </w:pPr>
                <w:r>
                  <w:rPr>
                    <w:b/>
                    <w:szCs w:val="24"/>
                  </w:rPr>
                  <w:t>IŠLAIDŲ TINKAMUMO FINANSUOTI REIKALAVIMAI</w:t>
                </w:r>
              </w:p>
            </w:tc>
          </w:tr>
          <w:tr w14:paraId="5F9E5743" w14:textId="77777777">
            <w:trPr>
              <w:trHeight w:val="403"/>
            </w:trPr>
            <w:tc>
              <w:tcPr>
                <w:tcW w:w="14885" w:type="dxa"/>
              </w:tcPr>
              <w:p w14:paraId="211C8EC8" w14:textId="7131DA18">
                <w:pPr>
                  <w:spacing w:line="276" w:lineRule="auto"/>
                  <w:jc w:val="both"/>
                  <w:rPr>
                    <w:b/>
                    <w:szCs w:val="24"/>
                  </w:rPr>
                </w:pPr>
                <w:r>
                  <w:rPr>
                    <w:b/>
                    <w:szCs w:val="24"/>
                  </w:rPr>
                  <w:t>9. Išlaidų tinkamumo finansuoti reikalavimai</w:t>
                </w:r>
              </w:p>
            </w:tc>
          </w:tr>
          <w:tr w14:paraId="10188F9D" w14:textId="77777777">
            <w:trPr>
              <w:trHeight w:val="403"/>
            </w:trPr>
            <w:tc>
              <w:tcPr>
                <w:tcW w:w="14885" w:type="dxa"/>
              </w:tcPr>
              <w:p w14:paraId="7A8BF118" w14:textId="6C3C994D">
                <w:pPr>
                  <w:tabs>
                    <w:tab w:val="left" w:pos="458"/>
                  </w:tabs>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PAFT VII skyriuje „Projektų išlaidų reikalavimai“</w:t>
                </w:r>
                <w:r>
                  <w:rPr>
                    <w:bCs/>
                    <w:szCs w:val="24"/>
                  </w:rPr>
                  <w:t>.</w:t>
                </w:r>
              </w:p>
              <w:p w14:paraId="502F40B7" w14:textId="106A8A57">
                <w:pPr>
                  <w:tabs>
                    <w:tab w:val="left" w:pos="458"/>
                  </w:tabs>
                  <w:spacing w:line="276" w:lineRule="auto"/>
                  <w:jc w:val="both"/>
                  <w:rPr>
                    <w:bCs/>
                    <w:szCs w:val="24"/>
                  </w:rPr>
                </w:pPr>
                <w:r>
                  <w:rPr>
                    <w:bCs/>
                    <w:szCs w:val="24"/>
                  </w:rPr>
                  <w:t xml:space="preserve">9.2. </w:t>
                  <w:tab/>
                  <w:t>Didžiausia galima projektų finansuojamoji dalis sudaro 100 proc. visų tinkamų finansuoti projekto išlaidų. Pareiškėjas savo iniciatyva ir savo ir (arba) kitų šaltinių lėšomis gali prisidėti prie projekto įgyvendinimo.</w:t>
                </w:r>
              </w:p>
              <w:p w14:paraId="01BB51CE" w14:textId="363C335E">
                <w:pPr>
                  <w:spacing w:line="276" w:lineRule="auto"/>
                  <w:jc w:val="both"/>
                  <w:rPr>
                    <w:bCs/>
                    <w:szCs w:val="24"/>
                  </w:rPr>
                </w:pPr>
                <w:r>
                  <w:rPr>
                    <w:bCs/>
                    <w:szCs w:val="24"/>
                  </w:rPr>
                  <w:t>9.3. Projekto tinkamų finansuoti išlaidų dalis, kurios nepadengia projektui skiriamo finansavimo lėšos, turi būti finansuojama iš projekto vykdytojo lėšų.</w:t>
                </w:r>
              </w:p>
              <w:p w14:paraId="599D2A9B" w14:textId="77777777">
                <w:pPr>
                  <w:spacing w:line="276" w:lineRule="auto"/>
                  <w:jc w:val="both"/>
                  <w:rPr>
                    <w:szCs w:val="24"/>
                  </w:rPr>
                </w:pPr>
                <w:r>
                  <w:rPr>
                    <w:szCs w:val="24"/>
                  </w:rPr>
                  <w:t>9.4. Projekto vykdytojui, vadovaujantis PAFT numatytomis sąlygomis, gali būti mokamas avansas.</w:t>
                </w:r>
              </w:p>
              <w:p w14:paraId="3E8B6A06" w14:textId="2AE765EE">
                <w:pPr>
                  <w:spacing w:line="276" w:lineRule="auto"/>
                  <w:jc w:val="both"/>
                  <w:rPr>
                    <w:szCs w:val="24"/>
                  </w:rPr>
                </w:pPr>
                <w:r>
                  <w:rPr>
                    <w:szCs w:val="24"/>
                  </w:rPr>
                  <w:t>9.5. Projekto išlaidos įgyvendinimo metu apmokamos išlaidų kompensavimo būdu projekto vykdytojui deklaruojant patirtas ir apmokėtas išlaidas, supaprastintai apmokamas išlaidas arba kartu derinant šias abi apmokėjimo formas.</w:t>
                </w:r>
              </w:p>
              <w:p w14:paraId="5AE16F8B" w14:textId="5DF35278">
                <w:pPr>
                  <w:spacing w:line="276" w:lineRule="auto"/>
                  <w:jc w:val="both"/>
                  <w:rPr>
                    <w:bCs/>
                    <w:szCs w:val="24"/>
                  </w:rPr>
                </w:pPr>
                <w:r>
                  <w:rPr>
                    <w:szCs w:val="24"/>
                  </w:rPr>
                  <w:t xml:space="preserve">9.6. Projektams taikomi supaprastinti išlaidų dydžiai, kurie </w:t>
                </w:r>
                <w:r>
                  <w:rPr>
                    <w:bCs/>
                    <w:szCs w:val="24"/>
                  </w:rPr>
                  <w:t>nurodyti Aprašo 10 lentelėje „Projektų veiklų ir jungtinio projekto projektų įgyvendinimui taikomi supaprastintai apmokamų išlaidų dydžiai“:</w:t>
                </w:r>
              </w:p>
              <w:p w14:paraId="67493560" w14:textId="1FC62884">
                <w:pPr>
                  <w:spacing w:line="276" w:lineRule="auto"/>
                  <w:jc w:val="both"/>
                  <w:rPr>
                    <w:bCs/>
                    <w:szCs w:val="24"/>
                  </w:rPr>
                </w:pPr>
                <w:r>
                  <w:rPr>
                    <w:bCs/>
                    <w:szCs w:val="24"/>
                  </w:rPr>
                  <w:t xml:space="preserve">9.6.1. privalomoms viešinimo išlaidoms; </w:t>
                </w:r>
              </w:p>
              <w:p w14:paraId="7BA50DF4" w14:textId="5E0A277A">
                <w:pPr>
                  <w:spacing w:line="276" w:lineRule="auto"/>
                  <w:jc w:val="both"/>
                  <w:rPr>
                    <w:bCs/>
                    <w:szCs w:val="24"/>
                  </w:rPr>
                </w:pPr>
                <w:r>
                  <w:rPr>
                    <w:bCs/>
                    <w:szCs w:val="24"/>
                  </w:rPr>
                  <w:t>9.6.2. projektą vykdančio personalo darbo užmokesčio išlaidoms;</w:t>
                </w:r>
              </w:p>
              <w:p w14:paraId="7F9ABA70" w14:textId="0437584B">
                <w:pPr>
                  <w:spacing w:line="276" w:lineRule="auto"/>
                  <w:jc w:val="both"/>
                  <w:rPr>
                    <w:bCs/>
                    <w:szCs w:val="24"/>
                  </w:rPr>
                </w:pPr>
                <w:r>
                  <w:rPr>
                    <w:bCs/>
                    <w:szCs w:val="24"/>
                  </w:rPr>
                  <w:t>9.6.3. netiesioginėms išlaidoms taikoma 7 proc. fiksuota norma nuo tinkamų finansuoti tiesioginių projektų išlaidų.</w:t>
                </w:r>
              </w:p>
              <w:p w14:paraId="2D6DB01F" w14:textId="2D450A12">
                <w:pPr>
                  <w:tabs>
                    <w:tab w:val="left" w:pos="458"/>
                  </w:tabs>
                  <w:spacing w:line="276" w:lineRule="auto"/>
                  <w:jc w:val="both"/>
                  <w:rPr>
                    <w:bCs/>
                    <w:szCs w:val="24"/>
                  </w:rPr>
                </w:pPr>
                <w:r>
                  <w:rPr>
                    <w:bCs/>
                    <w:szCs w:val="24"/>
                  </w:rPr>
                  <w:t>9.</w:t>
                </w:r>
                <w:r>
                  <w:rPr>
                    <w:bCs/>
                    <w:szCs w:val="24"/>
                    <w:lang w:val="en-US"/>
                  </w:rPr>
                  <w:t>7</w:t>
                </w:r>
                <w:r>
                  <w:rPr>
                    <w:bCs/>
                    <w:szCs w:val="24"/>
                  </w:rPr>
                  <w:t xml:space="preserve">.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7144EBB9" w14:textId="34CD3731">
                <w:pPr>
                  <w:tabs>
                    <w:tab w:val="left" w:pos="458"/>
                  </w:tabs>
                  <w:spacing w:line="276" w:lineRule="auto"/>
                  <w:jc w:val="both"/>
                  <w:rPr>
                    <w:bCs/>
                    <w:szCs w:val="24"/>
                  </w:rPr>
                </w:pPr>
                <w:r>
                  <w:rPr>
                    <w:bCs/>
                    <w:szCs w:val="24"/>
                  </w:rPr>
                  <w:t>9.8. Netinkamos finansuoti projekto lėšomis išlaidos:</w:t>
                </w:r>
              </w:p>
              <w:p w14:paraId="0534CB83" w14:textId="6F402F79">
                <w:pPr>
                  <w:spacing w:line="276" w:lineRule="auto"/>
                  <w:jc w:val="both"/>
                  <w:rPr>
                    <w:color w:val="000000"/>
                    <w:szCs w:val="24"/>
                  </w:rPr>
                </w:pPr>
                <w:r>
                  <w:rPr>
                    <w:bCs/>
                    <w:szCs w:val="24"/>
                    <w:lang w:val="en-US"/>
                  </w:rPr>
                  <w:t xml:space="preserve">9.8.1. </w:t>
                </w:r>
                <w:r>
                  <w:rPr>
                    <w:bCs/>
                    <w:szCs w:val="24"/>
                  </w:rPr>
                  <w:t>į</w:t>
                </w:r>
                <w:r>
                  <w:rPr>
                    <w:color w:val="000000"/>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1F6E94CA" w14:textId="63AB8AE9">
                <w:pPr>
                  <w:spacing w:line="276" w:lineRule="auto"/>
                  <w:jc w:val="both"/>
                  <w:rPr>
                    <w:bCs/>
                    <w:szCs w:val="24"/>
                    <w:lang w:val="en-US"/>
                  </w:rPr>
                </w:pPr>
                <w:r>
                  <w:rPr>
                    <w:color w:val="000000"/>
                    <w:szCs w:val="24"/>
                  </w:rPr>
                  <w:t xml:space="preserve">9.8.2. </w:t>
                </w:r>
                <w:r>
                  <w:rPr>
                    <w:color w:val="000000"/>
                    <w:szCs w:val="24"/>
                    <w:shd w:val="clear" w:color="auto" w:fill="FFFFFF"/>
                  </w:rPr>
                  <w:t xml:space="preserve">apmokėjimo už </w:t>
                </w:r>
                <w:r>
                  <w:rPr>
                    <w:color w:val="000000"/>
                    <w:szCs w:val="24"/>
                  </w:rPr>
                  <w:t>informacinių technologijų paslaugų teikėjo</w:t>
                </w:r>
                <w:r>
                  <w:rPr>
                    <w:color w:val="000000"/>
                    <w:szCs w:val="24"/>
                    <w:shd w:val="clear" w:color="auto" w:fill="FFFFFF"/>
                  </w:rPr>
                  <w:t xml:space="preserve"> centralizuotai teikiamas </w:t>
                </w:r>
                <w:r>
                  <w:rPr>
                    <w:color w:val="000000"/>
                    <w:szCs w:val="24"/>
                  </w:rPr>
                  <w:t>informacinių technologijų</w:t>
                </w:r>
                <w:r>
                  <w:rPr>
                    <w:color w:val="000000"/>
                    <w:szCs w:val="24"/>
                    <w:shd w:val="clear" w:color="auto" w:fill="FFFFFF"/>
                  </w:rPr>
                  <w:t xml:space="preserve"> paslaugas, numatytas Nutarime </w:t>
                  <w:br/>
                  <w:t>Nr. 498, išlaidos;</w:t>
                </w:r>
              </w:p>
              <w:p w14:paraId="216D3CF9" w14:textId="6F0A6303">
                <w:pPr>
                  <w:spacing w:line="276" w:lineRule="auto"/>
                  <w:jc w:val="both"/>
                  <w:rPr>
                    <w:szCs w:val="24"/>
                  </w:rPr>
                </w:pPr>
                <w:r>
                  <w:rPr>
                    <w:szCs w:val="24"/>
                  </w:rPr>
                  <w:t>9.8.3 žemės ir kito nekilnojamojo turto įsigijimo išlaidos;</w:t>
                </w:r>
              </w:p>
              <w:p w14:paraId="21A8177A" w14:textId="2445FCB0">
                <w:pPr>
                  <w:tabs>
                    <w:tab w:val="left" w:pos="426"/>
                    <w:tab w:val="left" w:pos="709"/>
                  </w:tabs>
                  <w:jc w:val="both"/>
                  <w:rPr>
                    <w:color w:val="000000"/>
                    <w:szCs w:val="24"/>
                  </w:rPr>
                </w:pPr>
                <w:r>
                  <w:rPr>
                    <w:szCs w:val="24"/>
                  </w:rPr>
                  <w:t>9.8</w:t>
                </w:r>
                <w:r>
                  <w:rPr>
                    <w:szCs w:val="24"/>
                    <w:lang w:val="en-US"/>
                  </w:rPr>
                  <w:t>.4. t</w:t>
                </w:r>
                <w:r>
                  <w:rPr>
                    <w:szCs w:val="24"/>
                  </w:rPr>
                  <w:t>ransporto priemonių įsigijimo</w:t>
                </w:r>
                <w:r>
                  <w:rPr>
                    <w:color w:val="000000"/>
                    <w:szCs w:val="24"/>
                  </w:rPr>
                  <w:t>, lizingo (finansinės nuomos), eksploatavimo ir susijusios išlaidos;</w:t>
                </w:r>
              </w:p>
              <w:p w14:paraId="757E0341" w14:textId="46FCFED6">
                <w:pPr>
                  <w:spacing w:line="276" w:lineRule="auto"/>
                  <w:jc w:val="both"/>
                  <w:rPr>
                    <w:szCs w:val="24"/>
                  </w:rPr>
                </w:pPr>
                <w:r>
                  <w:rPr>
                    <w:szCs w:val="24"/>
                  </w:rPr>
                  <w:t>9.8.5. baldai;</w:t>
                </w:r>
              </w:p>
              <w:p w14:paraId="13A9954C" w14:textId="2FDAF83B">
                <w:pPr>
                  <w:spacing w:line="276" w:lineRule="auto"/>
                  <w:jc w:val="both"/>
                  <w:rPr>
                    <w:szCs w:val="24"/>
                  </w:rPr>
                </w:pPr>
                <w:r>
                  <w:rPr>
                    <w:szCs w:val="24"/>
                  </w:rPr>
                  <w:t>9.8.6. naudojamo ilgalaikio turto nusidėvėjimo (amortizacijos) sąnaudos;</w:t>
                </w:r>
              </w:p>
              <w:p w14:paraId="6BD14160" w14:textId="6D494ADA">
                <w:pPr>
                  <w:spacing w:line="276" w:lineRule="auto"/>
                  <w:jc w:val="both"/>
                  <w:rPr>
                    <w:szCs w:val="24"/>
                  </w:rPr>
                </w:pPr>
                <w:r>
                  <w:rPr>
                    <w:szCs w:val="24"/>
                  </w:rPr>
                  <w:t>9.8.7. nepiniginis projekto vykdytojo ir (ar) projekto partnerio įnašas;</w:t>
                </w:r>
              </w:p>
              <w:p w14:paraId="5936E62F" w14:textId="60A4666C">
                <w:pPr>
                  <w:spacing w:line="276" w:lineRule="auto"/>
                  <w:jc w:val="both"/>
                  <w:rPr>
                    <w:szCs w:val="24"/>
                  </w:rPr>
                </w:pPr>
                <w:r>
                  <w:rPr>
                    <w:szCs w:val="24"/>
                  </w:rPr>
                  <w:t>9.8.</w:t>
                </w:r>
                <w:r>
                  <w:rPr>
                    <w:szCs w:val="24"/>
                    <w:lang w:val="en-US"/>
                  </w:rPr>
                  <w:t>8</w:t>
                </w:r>
                <w:r>
                  <w:rPr>
                    <w:szCs w:val="24"/>
                  </w:rPr>
                  <w:t>. PĮP rengimo išlaidos (išskyrus investicijų projekto ar kitų su PĮP privalomų teikti dokumentų rengimo išlaidas);</w:t>
                </w:r>
              </w:p>
              <w:p w14:paraId="3F324C31" w14:textId="21FFFB49">
                <w:pPr>
                  <w:jc w:val="both"/>
                  <w:rPr>
                    <w:bCs/>
                    <w:color w:val="000000"/>
                    <w:szCs w:val="24"/>
                    <w:shd w:val="clear" w:color="auto" w:fill="FFFFFF"/>
                  </w:rPr>
                </w:pPr>
                <w:r>
                  <w:rPr>
                    <w:bCs/>
                    <w:color w:val="000000"/>
                    <w:szCs w:val="24"/>
                    <w:shd w:val="clear" w:color="auto" w:fill="FFFFFF"/>
                  </w:rPr>
                  <w:t>9.8.9. remonto / rekonstrukcijos darbai;</w:t>
                </w:r>
              </w:p>
              <w:p w14:paraId="77F5144C" w14:textId="12A8755F">
                <w:pPr>
                  <w:tabs>
                    <w:tab w:val="left" w:pos="458"/>
                  </w:tabs>
                  <w:spacing w:line="276" w:lineRule="auto"/>
                  <w:jc w:val="both"/>
                  <w:rPr>
                    <w:b/>
                    <w:sz w:val="22"/>
                    <w:szCs w:val="22"/>
                  </w:rPr>
                </w:pPr>
                <w:r>
                  <w:rPr>
                    <w:bCs/>
                    <w:szCs w:val="24"/>
                  </w:rPr>
                  <w:t>9.9. Kryžminis finansavimas netaikomas.</w:t>
                </w:r>
              </w:p>
            </w:tc>
          </w:tr>
          <w:tr w14:paraId="10CA91BD" w14:textId="77777777">
            <w:trPr>
              <w:trHeight w:val="349"/>
            </w:trPr>
            <w:tc>
              <w:tcPr>
                <w:tcW w:w="14885" w:type="dxa"/>
              </w:tcPr>
              <w:p w14:paraId="6BD2CB35" w14:textId="5AE2F440">
                <w:pPr>
                  <w:spacing w:line="276" w:lineRule="auto"/>
                  <w:jc w:val="both"/>
                  <w:rPr>
                    <w:sz w:val="22"/>
                    <w:szCs w:val="22"/>
                  </w:rPr>
                </w:pPr>
                <w:r>
                  <w:rPr>
                    <w:b/>
                    <w:szCs w:val="24"/>
                  </w:rPr>
                  <w:t>10. Projektų veiklų ir jungtinio projekto projektų įgyvendinimui taikomi supaprastintai apmokamų išlaidų dydžiai</w:t>
                </w:r>
              </w:p>
            </w:tc>
          </w:tr>
          <w:tr w14:paraId="2C909D99"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8"/>
                  <w:gridCol w:w="1984"/>
                  <w:gridCol w:w="1990"/>
                  <w:gridCol w:w="5103"/>
                  <w:gridCol w:w="1944"/>
                </w:tblGrid>
                <w:tr w14:paraId="167B0CA5" w14:textId="77777777">
                  <w:tc>
                    <w:tcPr>
                      <w:tcW w:w="14449" w:type="dxa"/>
                      <w:gridSpan w:val="5"/>
                    </w:tcPr>
                    <w:p w14:paraId="4645BF46" w14:textId="158A1465">
                      <w:pPr>
                        <w:spacing w:line="276" w:lineRule="auto"/>
                        <w:jc w:val="both"/>
                        <w:rPr>
                          <w:b/>
                          <w:bCs/>
                          <w:sz w:val="22"/>
                          <w:szCs w:val="22"/>
                        </w:rPr>
                      </w:pPr>
                      <w:r>
                        <w:rPr>
                          <w:rFonts w:ascii="Segoe UI Symbol" w:eastAsia="MS Gothic" w:hAnsi="Segoe UI Symbol" w:cs="Segoe UI Symbol"/>
                          <w:b/>
                          <w:bCs/>
                          <w:sz w:val="22"/>
                          <w:szCs w:val="22"/>
                        </w:rPr>
                        <w:t xml:space="preserve">X </w:t>
                      </w:r>
                      <w:r>
                        <w:rPr>
                          <w:b/>
                          <w:bCs/>
                          <w:sz w:val="22"/>
                          <w:szCs w:val="22"/>
                        </w:rPr>
                        <w:t xml:space="preserve"> Indeksuojama</w:t>
                      </w:r>
                    </w:p>
                    <w:p w14:paraId="7CC7C26F" w14:textId="6D3D24A8">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14:paraId="14A9ED5B" w14:textId="77777777">
                  <w:tc>
                    <w:tcPr>
                      <w:tcW w:w="3428" w:type="dxa"/>
                      <w:vAlign w:val="center"/>
                    </w:tcPr>
                    <w:p w14:paraId="09A0D436" w14:textId="3E10DB85">
                      <w:pPr>
                        <w:spacing w:line="276" w:lineRule="auto"/>
                        <w:jc w:val="center"/>
                        <w:rPr>
                          <w:b/>
                          <w:bCs/>
                          <w:szCs w:val="24"/>
                        </w:rPr>
                      </w:pPr>
                      <w:r>
                        <w:rPr>
                          <w:b/>
                          <w:bCs/>
                          <w:szCs w:val="24"/>
                        </w:rPr>
                        <w:t>Veiklos ir (ar) išlaidos, kurioms taikomi supaprastintai apmokamų išlaidų dydžiai</w:t>
                      </w:r>
                    </w:p>
                  </w:tc>
                  <w:tc>
                    <w:tcPr>
                      <w:tcW w:w="1984" w:type="dxa"/>
                      <w:vAlign w:val="center"/>
                    </w:tcPr>
                    <w:p w14:paraId="79F9CCEB" w14:textId="6409BD0C">
                      <w:pPr>
                        <w:spacing w:line="276" w:lineRule="auto"/>
                        <w:jc w:val="center"/>
                        <w:rPr>
                          <w:b/>
                          <w:bCs/>
                          <w:szCs w:val="24"/>
                        </w:rPr>
                      </w:pPr>
                      <w:r>
                        <w:rPr>
                          <w:b/>
                          <w:bCs/>
                          <w:szCs w:val="24"/>
                        </w:rPr>
                        <w:t>Supaprastintai apmokamų išlaidų dydžio kodas</w:t>
                      </w:r>
                    </w:p>
                  </w:tc>
                  <w:tc>
                    <w:tcPr>
                      <w:tcW w:w="1990" w:type="dxa"/>
                      <w:vAlign w:val="center"/>
                    </w:tcPr>
                    <w:p w14:paraId="7F374123" w14:textId="5FE4F366">
                      <w:pPr>
                        <w:spacing w:line="276" w:lineRule="auto"/>
                        <w:jc w:val="center"/>
                        <w:rPr>
                          <w:b/>
                          <w:bCs/>
                          <w:i/>
                          <w:iCs/>
                          <w:color w:val="808080"/>
                          <w:szCs w:val="24"/>
                        </w:rPr>
                      </w:pPr>
                      <w:r>
                        <w:rPr>
                          <w:b/>
                          <w:bCs/>
                          <w:szCs w:val="24"/>
                        </w:rPr>
                        <w:t>Supaprastintai apmokamų išlaidų dydžio versija</w:t>
                      </w:r>
                    </w:p>
                  </w:tc>
                  <w:tc>
                    <w:tcPr>
                      <w:tcW w:w="5103" w:type="dxa"/>
                      <w:vAlign w:val="center"/>
                    </w:tcPr>
                    <w:p w14:paraId="05CADFF8" w14:textId="4257F3F2">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pPr>
                        <w:spacing w:line="276" w:lineRule="auto"/>
                        <w:jc w:val="center"/>
                        <w:rPr>
                          <w:b/>
                          <w:bCs/>
                          <w:szCs w:val="24"/>
                        </w:rPr>
                      </w:pPr>
                      <w:r>
                        <w:rPr>
                          <w:b/>
                          <w:bCs/>
                          <w:szCs w:val="24"/>
                        </w:rPr>
                        <w:t>Papildoma informacija</w:t>
                      </w:r>
                    </w:p>
                  </w:tc>
                </w:tr>
                <w:tr w14:paraId="5FEC6483" w14:textId="77777777">
                  <w:trPr>
                    <w:trHeight w:val="852"/>
                  </w:trPr>
                  <w:tc>
                    <w:tcPr>
                      <w:tcW w:w="3428" w:type="dxa"/>
                    </w:tcPr>
                    <w:p w14:paraId="06CC25EF" w14:textId="739776E6">
                      <w:pPr>
                        <w:spacing w:line="276" w:lineRule="auto"/>
                        <w:jc w:val="center"/>
                        <w:rPr>
                          <w:szCs w:val="24"/>
                        </w:rPr>
                      </w:pPr>
                      <w:r>
                        <w:rPr>
                          <w:szCs w:val="24"/>
                        </w:rPr>
                        <w:t>Privalomos projektų matomumo ir informavimo apie projektus priemonės ir išlaidos</w:t>
                      </w:r>
                    </w:p>
                  </w:tc>
                  <w:tc>
                    <w:tcPr>
                      <w:tcW w:w="1984" w:type="dxa"/>
                    </w:tcPr>
                    <w:p w14:paraId="60D7EBEF" w14:textId="783FCCA1">
                      <w:pPr>
                        <w:spacing w:line="276" w:lineRule="auto"/>
                        <w:jc w:val="center"/>
                        <w:rPr>
                          <w:szCs w:val="24"/>
                        </w:rPr>
                      </w:pPr>
                      <w:r>
                        <w:rPr>
                          <w:szCs w:val="24"/>
                        </w:rPr>
                        <w:t>FS-01-01</w:t>
                      </w:r>
                    </w:p>
                  </w:tc>
                  <w:tc>
                    <w:tcPr>
                      <w:tcW w:w="1990" w:type="dxa"/>
                    </w:tcPr>
                    <w:p w14:paraId="56830CCF" w14:textId="4036A45A">
                      <w:pPr>
                        <w:spacing w:line="276" w:lineRule="auto"/>
                        <w:jc w:val="center"/>
                        <w:rPr>
                          <w:szCs w:val="24"/>
                        </w:rPr>
                      </w:pPr>
                      <w:r>
                        <w:rPr>
                          <w:szCs w:val="24"/>
                        </w:rPr>
                        <w:t>-</w:t>
                      </w:r>
                    </w:p>
                  </w:tc>
                  <w:tc>
                    <w:tcPr>
                      <w:tcW w:w="5103" w:type="dxa"/>
                    </w:tcPr>
                    <w:p w14:paraId="7C8F4AFF" w14:textId="512E1266">
                      <w:pPr>
                        <w:jc w:val="center"/>
                        <w:rPr>
                          <w:szCs w:val="24"/>
                        </w:rPr>
                      </w:pPr>
                      <w:r>
                        <w:rPr>
                          <w:szCs w:val="24"/>
                        </w:rPr>
                        <w:t>Įgyvendintų privalomų matomumo ir informavimo priemonių apie ES fondų investicijų veiklas fiksuotoji suma, pirmojo rinkinio FS be PVM</w:t>
                      </w:r>
                    </w:p>
                  </w:tc>
                  <w:tc>
                    <w:tcPr>
                      <w:tcW w:w="1944" w:type="dxa"/>
                    </w:tcPr>
                    <w:p w14:paraId="203D04C3" w14:textId="77777777">
                      <w:pPr>
                        <w:spacing w:line="276" w:lineRule="auto"/>
                        <w:jc w:val="center"/>
                        <w:rPr>
                          <w:szCs w:val="24"/>
                        </w:rPr>
                      </w:pPr>
                    </w:p>
                  </w:tc>
                </w:tr>
                <w:tr w14:paraId="0216C515" w14:textId="77777777">
                  <w:trPr>
                    <w:trHeight w:val="852"/>
                  </w:trPr>
                  <w:tc>
                    <w:tcPr>
                      <w:tcW w:w="3428" w:type="dxa"/>
                    </w:tcPr>
                    <w:p w14:paraId="4D48065F" w14:textId="14B93C49">
                      <w:pPr>
                        <w:spacing w:line="276" w:lineRule="auto"/>
                        <w:jc w:val="center"/>
                        <w:rPr>
                          <w:szCs w:val="24"/>
                        </w:rPr>
                      </w:pPr>
                      <w:r>
                        <w:rPr>
                          <w:szCs w:val="24"/>
                        </w:rPr>
                        <w:t>Privalomos projektų matomumo ir informavimo apie projektus priemonės ir išlaidos</w:t>
                      </w:r>
                    </w:p>
                  </w:tc>
                  <w:tc>
                    <w:tcPr>
                      <w:tcW w:w="1984" w:type="dxa"/>
                    </w:tcPr>
                    <w:p w14:paraId="5F2959DB" w14:textId="503DF68F">
                      <w:pPr>
                        <w:spacing w:line="276" w:lineRule="auto"/>
                        <w:jc w:val="center"/>
                        <w:rPr>
                          <w:szCs w:val="24"/>
                        </w:rPr>
                      </w:pPr>
                      <w:r>
                        <w:rPr>
                          <w:szCs w:val="24"/>
                        </w:rPr>
                        <w:t>FS-01-02</w:t>
                      </w:r>
                    </w:p>
                  </w:tc>
                  <w:tc>
                    <w:tcPr>
                      <w:tcW w:w="1990" w:type="dxa"/>
                    </w:tcPr>
                    <w:p w14:paraId="5068FD40" w14:textId="236C697D">
                      <w:pPr>
                        <w:spacing w:line="276" w:lineRule="auto"/>
                        <w:jc w:val="center"/>
                        <w:rPr>
                          <w:szCs w:val="24"/>
                        </w:rPr>
                      </w:pPr>
                      <w:r>
                        <w:rPr>
                          <w:szCs w:val="24"/>
                        </w:rPr>
                        <w:t>-</w:t>
                      </w:r>
                    </w:p>
                  </w:tc>
                  <w:tc>
                    <w:tcPr>
                      <w:tcW w:w="5103" w:type="dxa"/>
                    </w:tcPr>
                    <w:p w14:paraId="66C86028" w14:textId="0F86EA30">
                      <w:pPr>
                        <w:jc w:val="center"/>
                        <w:rPr>
                          <w:szCs w:val="24"/>
                        </w:rPr>
                      </w:pPr>
                      <w:r>
                        <w:rPr>
                          <w:szCs w:val="24"/>
                        </w:rPr>
                        <w:t>Įgyvendintų privalomų matomumo ir informavimo priemonių apie ES fondų investicijų veiklas fiksuotoji suma, pirmojo rinkinio FS su PVM</w:t>
                      </w:r>
                    </w:p>
                  </w:tc>
                  <w:tc>
                    <w:tcPr>
                      <w:tcW w:w="1944" w:type="dxa"/>
                    </w:tcPr>
                    <w:p w14:paraId="301DCB8E" w14:textId="77777777">
                      <w:pPr>
                        <w:spacing w:line="276" w:lineRule="auto"/>
                        <w:jc w:val="center"/>
                        <w:rPr>
                          <w:szCs w:val="24"/>
                        </w:rPr>
                      </w:pPr>
                    </w:p>
                  </w:tc>
                </w:tr>
                <w:tr w14:paraId="63AAD078" w14:textId="77777777">
                  <w:trPr>
                    <w:trHeight w:val="852"/>
                  </w:trPr>
                  <w:tc>
                    <w:tcPr>
                      <w:tcW w:w="3428" w:type="dxa"/>
                    </w:tcPr>
                    <w:p w14:paraId="568F8FD6" w14:textId="62B6C07A">
                      <w:pPr>
                        <w:spacing w:line="276" w:lineRule="auto"/>
                        <w:jc w:val="center"/>
                        <w:rPr>
                          <w:szCs w:val="24"/>
                        </w:rPr>
                      </w:pPr>
                      <w:r>
                        <w:rPr>
                          <w:szCs w:val="24"/>
                        </w:rPr>
                        <w:t>Privalomos projektų matomumo ir informavimo apie projektus priemonės ir išlaidos</w:t>
                      </w:r>
                    </w:p>
                  </w:tc>
                  <w:tc>
                    <w:tcPr>
                      <w:tcW w:w="1984" w:type="dxa"/>
                    </w:tcPr>
                    <w:p w14:paraId="5C8DDC7B" w14:textId="77777777">
                      <w:pPr>
                        <w:spacing w:line="276" w:lineRule="auto"/>
                        <w:jc w:val="center"/>
                        <w:rPr>
                          <w:szCs w:val="24"/>
                        </w:rPr>
                      </w:pPr>
                      <w:r>
                        <w:rPr>
                          <w:szCs w:val="24"/>
                        </w:rPr>
                        <w:t>FS-01-04</w:t>
                      </w:r>
                    </w:p>
                    <w:p w14:paraId="49504F6C" w14:textId="77777777">
                      <w:pPr>
                        <w:spacing w:line="276" w:lineRule="auto"/>
                        <w:jc w:val="center"/>
                        <w:rPr>
                          <w:szCs w:val="24"/>
                        </w:rPr>
                      </w:pPr>
                    </w:p>
                  </w:tc>
                  <w:tc>
                    <w:tcPr>
                      <w:tcW w:w="1990" w:type="dxa"/>
                    </w:tcPr>
                    <w:p w14:paraId="2903BBED" w14:textId="1802F292">
                      <w:pPr>
                        <w:spacing w:line="276" w:lineRule="auto"/>
                        <w:jc w:val="center"/>
                        <w:rPr>
                          <w:szCs w:val="24"/>
                        </w:rPr>
                      </w:pPr>
                      <w:r>
                        <w:rPr>
                          <w:szCs w:val="24"/>
                        </w:rPr>
                        <w:t>-</w:t>
                      </w:r>
                    </w:p>
                  </w:tc>
                  <w:tc>
                    <w:tcPr>
                      <w:tcW w:w="5103" w:type="dxa"/>
                    </w:tcPr>
                    <w:p w14:paraId="203D6B03" w14:textId="397C11B1">
                      <w:pPr>
                        <w:jc w:val="center"/>
                        <w:rPr>
                          <w:szCs w:val="24"/>
                        </w:rPr>
                      </w:pPr>
                      <w:r>
                        <w:rPr>
                          <w:szCs w:val="24"/>
                        </w:rPr>
                        <w:t>Įgyvendintų privalomų matomumo ir informavimo priemonių apie ES fondų investicijų veiklas fiksuotoji suma, antrojo rinkinio FS su PVM</w:t>
                      </w:r>
                    </w:p>
                  </w:tc>
                  <w:tc>
                    <w:tcPr>
                      <w:tcW w:w="1944" w:type="dxa"/>
                    </w:tcPr>
                    <w:p w14:paraId="6F3F1F90" w14:textId="77777777">
                      <w:pPr>
                        <w:spacing w:line="276" w:lineRule="auto"/>
                        <w:jc w:val="center"/>
                        <w:rPr>
                          <w:szCs w:val="24"/>
                        </w:rPr>
                      </w:pPr>
                    </w:p>
                  </w:tc>
                </w:tr>
                <w:tr w14:paraId="74F90885" w14:textId="77777777">
                  <w:tc>
                    <w:tcPr>
                      <w:tcW w:w="3428" w:type="dxa"/>
                    </w:tcPr>
                    <w:p w14:paraId="2B0C80DC" w14:textId="30E3FA1F">
                      <w:pPr>
                        <w:spacing w:line="276" w:lineRule="auto"/>
                        <w:jc w:val="center"/>
                        <w:rPr>
                          <w:szCs w:val="24"/>
                        </w:rPr>
                      </w:pPr>
                      <w:r>
                        <w:rPr>
                          <w:szCs w:val="24"/>
                        </w:rPr>
                        <w:t>Privalomos projektų matomumo ir informavimo apie projektus priemonės ir išlaidos</w:t>
                      </w:r>
                    </w:p>
                  </w:tc>
                  <w:tc>
                    <w:tcPr>
                      <w:tcW w:w="1984" w:type="dxa"/>
                    </w:tcPr>
                    <w:p w14:paraId="19B835AA" w14:textId="77777777">
                      <w:pPr>
                        <w:spacing w:line="276" w:lineRule="auto"/>
                        <w:jc w:val="center"/>
                        <w:rPr>
                          <w:szCs w:val="24"/>
                        </w:rPr>
                      </w:pPr>
                      <w:r>
                        <w:rPr>
                          <w:szCs w:val="24"/>
                        </w:rPr>
                        <w:t>FS-01-03</w:t>
                      </w:r>
                    </w:p>
                  </w:tc>
                  <w:tc>
                    <w:tcPr>
                      <w:tcW w:w="1990" w:type="dxa"/>
                    </w:tcPr>
                    <w:p w14:paraId="4AEF8802" w14:textId="34FF4ACF">
                      <w:pPr>
                        <w:spacing w:line="276" w:lineRule="auto"/>
                        <w:jc w:val="center"/>
                        <w:rPr>
                          <w:szCs w:val="24"/>
                        </w:rPr>
                      </w:pPr>
                      <w:r>
                        <w:rPr>
                          <w:szCs w:val="24"/>
                        </w:rPr>
                        <w:t>-</w:t>
                      </w:r>
                    </w:p>
                  </w:tc>
                  <w:tc>
                    <w:tcPr>
                      <w:tcW w:w="5103" w:type="dxa"/>
                    </w:tcPr>
                    <w:p w14:paraId="624198FB" w14:textId="1883F6FB">
                      <w:pPr>
                        <w:spacing w:line="276" w:lineRule="auto"/>
                        <w:jc w:val="center"/>
                        <w:rPr>
                          <w:szCs w:val="24"/>
                          <w:lang w:val="en-US"/>
                        </w:rPr>
                      </w:pPr>
                      <w:r>
                        <w:rPr>
                          <w:szCs w:val="24"/>
                        </w:rPr>
                        <w:t>Įgyvendintų privalomų matomumo ir informavimo priemonių apie ES fondų investicijų veiklas fiksuotoji suma, antrojo rinkinio FS be PVM</w:t>
                      </w:r>
                    </w:p>
                  </w:tc>
                  <w:tc>
                    <w:tcPr>
                      <w:tcW w:w="1944" w:type="dxa"/>
                    </w:tcPr>
                    <w:p w14:paraId="0996B060" w14:textId="77777777">
                      <w:pPr>
                        <w:spacing w:line="276" w:lineRule="auto"/>
                        <w:jc w:val="center"/>
                        <w:rPr>
                          <w:szCs w:val="24"/>
                        </w:rPr>
                      </w:pPr>
                    </w:p>
                  </w:tc>
                </w:tr>
                <w:tr w14:paraId="6A0D42C0" w14:textId="77777777">
                  <w:tc>
                    <w:tcPr>
                      <w:tcW w:w="3428" w:type="dxa"/>
                    </w:tcPr>
                    <w:p w14:paraId="10C8D89F" w14:textId="0AEAEE04">
                      <w:pPr>
                        <w:spacing w:line="276" w:lineRule="auto"/>
                        <w:jc w:val="center"/>
                        <w:rPr>
                          <w:szCs w:val="24"/>
                        </w:rPr>
                      </w:pPr>
                      <w:r>
                        <w:rPr>
                          <w:szCs w:val="24"/>
                        </w:rPr>
                        <w:t>Netiesioginių išlaidų fiksuotoji norma</w:t>
                      </w:r>
                    </w:p>
                  </w:tc>
                  <w:tc>
                    <w:tcPr>
                      <w:tcW w:w="1984" w:type="dxa"/>
                    </w:tcPr>
                    <w:p w14:paraId="042AFA72" w14:textId="77777777">
                      <w:pPr>
                        <w:spacing w:line="276" w:lineRule="auto"/>
                        <w:jc w:val="center"/>
                        <w:rPr>
                          <w:szCs w:val="24"/>
                        </w:rPr>
                      </w:pPr>
                      <w:r>
                        <w:rPr>
                          <w:szCs w:val="24"/>
                        </w:rPr>
                        <w:t>FN-01</w:t>
                      </w:r>
                    </w:p>
                  </w:tc>
                  <w:tc>
                    <w:tcPr>
                      <w:tcW w:w="1990" w:type="dxa"/>
                    </w:tcPr>
                    <w:p w14:paraId="7FD6A11B" w14:textId="77777777">
                      <w:pPr>
                        <w:spacing w:line="276" w:lineRule="auto"/>
                        <w:jc w:val="center"/>
                        <w:rPr>
                          <w:szCs w:val="24"/>
                        </w:rPr>
                      </w:pPr>
                      <w:r>
                        <w:rPr>
                          <w:szCs w:val="24"/>
                        </w:rPr>
                        <w:t>01</w:t>
                      </w:r>
                    </w:p>
                  </w:tc>
                  <w:tc>
                    <w:tcPr>
                      <w:tcW w:w="5103" w:type="dxa"/>
                    </w:tcPr>
                    <w:p w14:paraId="67EF83C4" w14:textId="398FD1AA">
                      <w:pPr>
                        <w:spacing w:line="276" w:lineRule="auto"/>
                        <w:jc w:val="center"/>
                        <w:rPr>
                          <w:szCs w:val="24"/>
                        </w:rPr>
                      </w:pPr>
                      <w:r>
                        <w:rPr>
                          <w:szCs w:val="24"/>
                        </w:rPr>
                        <w:t>Iki 7 proc. netiesioginių išlaidų fiksuotoji norma</w:t>
                      </w:r>
                    </w:p>
                  </w:tc>
                  <w:tc>
                    <w:tcPr>
                      <w:tcW w:w="1944" w:type="dxa"/>
                    </w:tcPr>
                    <w:p w14:paraId="6A9ED2E3" w14:textId="77777777">
                      <w:pPr>
                        <w:spacing w:line="276" w:lineRule="auto"/>
                        <w:jc w:val="center"/>
                        <w:rPr>
                          <w:szCs w:val="24"/>
                        </w:rPr>
                      </w:pPr>
                    </w:p>
                  </w:tc>
                </w:tr>
                <w:tr w14:paraId="7644B846" w14:textId="77777777">
                  <w:tc>
                    <w:tcPr>
                      <w:tcW w:w="3428" w:type="dxa"/>
                      <w:shd w:val="clear" w:color="auto" w:fill="auto"/>
                      <w:vAlign w:val="center"/>
                    </w:tcPr>
                    <w:p w14:paraId="19C6BC5C" w14:textId="1B92454E">
                      <w:pPr>
                        <w:spacing w:line="276" w:lineRule="auto"/>
                        <w:jc w:val="center"/>
                        <w:rPr>
                          <w:szCs w:val="24"/>
                        </w:rPr>
                      </w:pPr>
                      <w:r>
                        <w:rPr>
                          <w:szCs w:val="24"/>
                        </w:rPr>
                        <w:t>Kasmetinių atostogų fiksuotoji norma</w:t>
                      </w:r>
                    </w:p>
                  </w:tc>
                  <w:tc>
                    <w:tcPr>
                      <w:tcW w:w="1984" w:type="dxa"/>
                      <w:shd w:val="clear" w:color="auto" w:fill="auto"/>
                      <w:vAlign w:val="center"/>
                    </w:tcPr>
                    <w:p w14:paraId="7834CB84" w14:textId="77777777">
                      <w:pPr>
                        <w:spacing w:line="276" w:lineRule="auto"/>
                        <w:jc w:val="center"/>
                        <w:rPr>
                          <w:szCs w:val="24"/>
                        </w:rPr>
                      </w:pPr>
                      <w:r>
                        <w:rPr>
                          <w:szCs w:val="24"/>
                        </w:rPr>
                        <w:t>FN-05-01</w:t>
                      </w:r>
                    </w:p>
                  </w:tc>
                  <w:tc>
                    <w:tcPr>
                      <w:tcW w:w="1990" w:type="dxa"/>
                    </w:tcPr>
                    <w:p w14:paraId="1C708CB4" w14:textId="40E5AEFB">
                      <w:pPr>
                        <w:spacing w:line="276" w:lineRule="auto"/>
                        <w:jc w:val="center"/>
                        <w:rPr>
                          <w:szCs w:val="24"/>
                        </w:rPr>
                      </w:pPr>
                      <w:r>
                        <w:rPr>
                          <w:szCs w:val="24"/>
                        </w:rPr>
                        <w:t>-</w:t>
                      </w:r>
                    </w:p>
                  </w:tc>
                  <w:tc>
                    <w:tcPr>
                      <w:tcW w:w="5103" w:type="dxa"/>
                    </w:tcPr>
                    <w:p w14:paraId="24D291B6" w14:textId="77092641">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14:paraId="3D2CAF0F" w14:textId="77777777">
                      <w:pPr>
                        <w:spacing w:line="276" w:lineRule="auto"/>
                        <w:jc w:val="center"/>
                        <w:rPr>
                          <w:szCs w:val="24"/>
                        </w:rPr>
                      </w:pPr>
                    </w:p>
                  </w:tc>
                </w:tr>
                <w:tr w14:paraId="792FC2EC" w14:textId="77777777">
                  <w:trPr>
                    <w:trHeight w:val="1280"/>
                  </w:trPr>
                  <w:tc>
                    <w:tcPr>
                      <w:tcW w:w="3428" w:type="dxa"/>
                      <w:shd w:val="clear" w:color="auto" w:fill="auto"/>
                      <w:vAlign w:val="center"/>
                    </w:tcPr>
                    <w:p w14:paraId="455E4FDD" w14:textId="30A2944E">
                      <w:pPr>
                        <w:spacing w:line="276" w:lineRule="auto"/>
                        <w:jc w:val="center"/>
                        <w:rPr>
                          <w:szCs w:val="24"/>
                        </w:rPr>
                      </w:pPr>
                      <w:r>
                        <w:rPr>
                          <w:szCs w:val="24"/>
                        </w:rPr>
                        <w:t>Kasmetinių atostogų fiksuotoji norma</w:t>
                      </w:r>
                    </w:p>
                  </w:tc>
                  <w:tc>
                    <w:tcPr>
                      <w:tcW w:w="1984" w:type="dxa"/>
                      <w:shd w:val="clear" w:color="auto" w:fill="auto"/>
                      <w:vAlign w:val="center"/>
                    </w:tcPr>
                    <w:p w14:paraId="4E2AA3A1" w14:textId="77777777">
                      <w:pPr>
                        <w:spacing w:line="276" w:lineRule="auto"/>
                        <w:jc w:val="center"/>
                        <w:rPr>
                          <w:szCs w:val="24"/>
                        </w:rPr>
                      </w:pPr>
                      <w:r>
                        <w:rPr>
                          <w:szCs w:val="24"/>
                        </w:rPr>
                        <w:t>FN-05-02</w:t>
                      </w:r>
                    </w:p>
                  </w:tc>
                  <w:tc>
                    <w:tcPr>
                      <w:tcW w:w="1990" w:type="dxa"/>
                    </w:tcPr>
                    <w:p w14:paraId="54D4493A" w14:textId="4676AD79">
                      <w:pPr>
                        <w:spacing w:line="276" w:lineRule="auto"/>
                        <w:jc w:val="center"/>
                        <w:rPr>
                          <w:szCs w:val="24"/>
                        </w:rPr>
                      </w:pPr>
                      <w:r>
                        <w:rPr>
                          <w:szCs w:val="24"/>
                        </w:rPr>
                        <w:t>-</w:t>
                      </w:r>
                    </w:p>
                  </w:tc>
                  <w:tc>
                    <w:tcPr>
                      <w:tcW w:w="5103" w:type="dxa"/>
                      <w:shd w:val="clear" w:color="auto" w:fill="auto"/>
                      <w:vAlign w:val="center"/>
                    </w:tcPr>
                    <w:p w14:paraId="6F0A2BEE" w14:textId="77777777">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14:paraId="74443EF2" w14:textId="77777777">
                      <w:pPr>
                        <w:spacing w:line="276" w:lineRule="auto"/>
                        <w:jc w:val="center"/>
                        <w:rPr>
                          <w:szCs w:val="24"/>
                        </w:rPr>
                      </w:pPr>
                    </w:p>
                  </w:tc>
                </w:tr>
                <w:tr w14:paraId="668B309F" w14:textId="77777777">
                  <w:tc>
                    <w:tcPr>
                      <w:tcW w:w="3428" w:type="dxa"/>
                      <w:shd w:val="clear" w:color="auto" w:fill="auto"/>
                      <w:vAlign w:val="center"/>
                    </w:tcPr>
                    <w:p w14:paraId="3855BF10" w14:textId="360E57F1">
                      <w:pPr>
                        <w:spacing w:line="276" w:lineRule="auto"/>
                        <w:jc w:val="center"/>
                        <w:rPr>
                          <w:szCs w:val="24"/>
                        </w:rPr>
                      </w:pPr>
                      <w:r>
                        <w:rPr>
                          <w:szCs w:val="24"/>
                        </w:rPr>
                        <w:t xml:space="preserve">Kasmetinių atostogų  fiksuotoji norma</w:t>
                      </w:r>
                    </w:p>
                  </w:tc>
                  <w:tc>
                    <w:tcPr>
                      <w:tcW w:w="1984" w:type="dxa"/>
                      <w:shd w:val="clear" w:color="auto" w:fill="auto"/>
                      <w:vAlign w:val="center"/>
                    </w:tcPr>
                    <w:p w14:paraId="4C8F8EDF" w14:textId="77777777">
                      <w:pPr>
                        <w:spacing w:line="276" w:lineRule="auto"/>
                        <w:jc w:val="center"/>
                        <w:rPr>
                          <w:szCs w:val="24"/>
                        </w:rPr>
                      </w:pPr>
                      <w:r>
                        <w:rPr>
                          <w:szCs w:val="24"/>
                        </w:rPr>
                        <w:t>FN-05-03</w:t>
                      </w:r>
                    </w:p>
                  </w:tc>
                  <w:tc>
                    <w:tcPr>
                      <w:tcW w:w="1990" w:type="dxa"/>
                    </w:tcPr>
                    <w:p w14:paraId="3A68D47C" w14:textId="51E9D013">
                      <w:pPr>
                        <w:spacing w:line="276" w:lineRule="auto"/>
                        <w:jc w:val="center"/>
                        <w:rPr>
                          <w:szCs w:val="24"/>
                        </w:rPr>
                      </w:pPr>
                      <w:r>
                        <w:rPr>
                          <w:szCs w:val="24"/>
                        </w:rPr>
                        <w:t>-</w:t>
                      </w:r>
                    </w:p>
                  </w:tc>
                  <w:tc>
                    <w:tcPr>
                      <w:tcW w:w="5103" w:type="dxa"/>
                      <w:shd w:val="clear" w:color="auto" w:fill="auto"/>
                      <w:vAlign w:val="bottom"/>
                    </w:tcPr>
                    <w:p w14:paraId="62AC59DC" w14:textId="77777777">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14:paraId="09002B56" w14:textId="77777777">
                      <w:pPr>
                        <w:spacing w:line="276" w:lineRule="auto"/>
                        <w:jc w:val="center"/>
                        <w:rPr>
                          <w:szCs w:val="24"/>
                        </w:rPr>
                      </w:pPr>
                    </w:p>
                  </w:tc>
                </w:tr>
                <w:tr w14:paraId="23DEF8E6" w14:textId="77777777">
                  <w:tc>
                    <w:tcPr>
                      <w:tcW w:w="3428" w:type="dxa"/>
                      <w:shd w:val="clear" w:color="auto" w:fill="auto"/>
                      <w:vAlign w:val="center"/>
                    </w:tcPr>
                    <w:p w14:paraId="04D52E50" w14:textId="2DE7FC36">
                      <w:pPr>
                        <w:spacing w:line="276" w:lineRule="auto"/>
                        <w:jc w:val="center"/>
                        <w:rPr>
                          <w:szCs w:val="24"/>
                        </w:rPr>
                      </w:pPr>
                      <w:r>
                        <w:rPr>
                          <w:szCs w:val="24"/>
                        </w:rPr>
                        <w:t>Kasmetinių atostogų fiksuotoji norma</w:t>
                      </w:r>
                    </w:p>
                  </w:tc>
                  <w:tc>
                    <w:tcPr>
                      <w:tcW w:w="1984" w:type="dxa"/>
                      <w:shd w:val="clear" w:color="auto" w:fill="auto"/>
                      <w:vAlign w:val="center"/>
                    </w:tcPr>
                    <w:p w14:paraId="015E71C8" w14:textId="77777777">
                      <w:pPr>
                        <w:spacing w:line="276" w:lineRule="auto"/>
                        <w:jc w:val="center"/>
                        <w:rPr>
                          <w:szCs w:val="24"/>
                        </w:rPr>
                      </w:pPr>
                      <w:r>
                        <w:rPr>
                          <w:szCs w:val="24"/>
                        </w:rPr>
                        <w:t>FN-05-04</w:t>
                      </w:r>
                    </w:p>
                  </w:tc>
                  <w:tc>
                    <w:tcPr>
                      <w:tcW w:w="1990" w:type="dxa"/>
                    </w:tcPr>
                    <w:p w14:paraId="1F3FBA68" w14:textId="11E04FEF">
                      <w:pPr>
                        <w:spacing w:line="276" w:lineRule="auto"/>
                        <w:jc w:val="center"/>
                        <w:rPr>
                          <w:szCs w:val="24"/>
                        </w:rPr>
                      </w:pPr>
                      <w:r>
                        <w:rPr>
                          <w:szCs w:val="24"/>
                        </w:rPr>
                        <w:t>-</w:t>
                      </w:r>
                    </w:p>
                  </w:tc>
                  <w:tc>
                    <w:tcPr>
                      <w:tcW w:w="5103" w:type="dxa"/>
                      <w:shd w:val="clear" w:color="auto" w:fill="auto"/>
                      <w:vAlign w:val="bottom"/>
                    </w:tcPr>
                    <w:p w14:paraId="6ADEFCD3" w14:textId="77777777">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14:paraId="07961637" w14:textId="77777777">
                      <w:pPr>
                        <w:spacing w:line="276" w:lineRule="auto"/>
                        <w:jc w:val="center"/>
                        <w:rPr>
                          <w:szCs w:val="24"/>
                        </w:rPr>
                      </w:pPr>
                    </w:p>
                  </w:tc>
                </w:tr>
                <w:tr w14:paraId="07270E23" w14:textId="77777777">
                  <w:tc>
                    <w:tcPr>
                      <w:tcW w:w="3428" w:type="dxa"/>
                      <w:shd w:val="clear" w:color="auto" w:fill="auto"/>
                      <w:vAlign w:val="center"/>
                    </w:tcPr>
                    <w:p w14:paraId="3BFF5CE2" w14:textId="62127EC7">
                      <w:pPr>
                        <w:spacing w:line="276" w:lineRule="auto"/>
                        <w:jc w:val="center"/>
                        <w:rPr>
                          <w:szCs w:val="24"/>
                        </w:rPr>
                      </w:pPr>
                      <w:r>
                        <w:rPr>
                          <w:szCs w:val="24"/>
                        </w:rPr>
                        <w:t>Kasmetinių atostogų fiksuotoji norma</w:t>
                      </w:r>
                    </w:p>
                  </w:tc>
                  <w:tc>
                    <w:tcPr>
                      <w:tcW w:w="1984" w:type="dxa"/>
                      <w:shd w:val="clear" w:color="auto" w:fill="auto"/>
                      <w:vAlign w:val="center"/>
                    </w:tcPr>
                    <w:p w14:paraId="4E9B0EF6" w14:textId="77777777">
                      <w:pPr>
                        <w:spacing w:line="276" w:lineRule="auto"/>
                        <w:jc w:val="center"/>
                        <w:rPr>
                          <w:szCs w:val="24"/>
                        </w:rPr>
                      </w:pPr>
                      <w:r>
                        <w:rPr>
                          <w:szCs w:val="24"/>
                        </w:rPr>
                        <w:t>FN-05-05</w:t>
                      </w:r>
                    </w:p>
                  </w:tc>
                  <w:tc>
                    <w:tcPr>
                      <w:tcW w:w="1990" w:type="dxa"/>
                    </w:tcPr>
                    <w:p w14:paraId="2D99CA6F" w14:textId="65672DEF">
                      <w:pPr>
                        <w:spacing w:line="276" w:lineRule="auto"/>
                        <w:jc w:val="center"/>
                        <w:rPr>
                          <w:szCs w:val="24"/>
                        </w:rPr>
                      </w:pPr>
                      <w:r>
                        <w:rPr>
                          <w:szCs w:val="24"/>
                        </w:rPr>
                        <w:t>-</w:t>
                      </w:r>
                    </w:p>
                  </w:tc>
                  <w:tc>
                    <w:tcPr>
                      <w:tcW w:w="5103" w:type="dxa"/>
                      <w:shd w:val="clear" w:color="auto" w:fill="auto"/>
                      <w:vAlign w:val="bottom"/>
                    </w:tcPr>
                    <w:p w14:paraId="7FF7E0B5" w14:textId="77777777">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63747E88" w14:textId="77777777">
                      <w:pPr>
                        <w:spacing w:line="276" w:lineRule="auto"/>
                        <w:jc w:val="center"/>
                        <w:rPr>
                          <w:szCs w:val="24"/>
                        </w:rPr>
                      </w:pPr>
                    </w:p>
                  </w:tc>
                </w:tr>
                <w:tr w14:paraId="5020DCF9" w14:textId="77777777">
                  <w:tc>
                    <w:tcPr>
                      <w:tcW w:w="3428" w:type="dxa"/>
                      <w:shd w:val="clear" w:color="auto" w:fill="auto"/>
                      <w:vAlign w:val="center"/>
                    </w:tcPr>
                    <w:p w14:paraId="00560952" w14:textId="7A93BDC7">
                      <w:pPr>
                        <w:spacing w:line="276" w:lineRule="auto"/>
                        <w:jc w:val="center"/>
                        <w:rPr>
                          <w:szCs w:val="24"/>
                        </w:rPr>
                      </w:pPr>
                      <w:r>
                        <w:rPr>
                          <w:szCs w:val="24"/>
                        </w:rPr>
                        <w:t>Kasmetinių atostogų fiksuotoji norma</w:t>
                      </w:r>
                    </w:p>
                  </w:tc>
                  <w:tc>
                    <w:tcPr>
                      <w:tcW w:w="1984" w:type="dxa"/>
                      <w:shd w:val="clear" w:color="auto" w:fill="auto"/>
                      <w:vAlign w:val="center"/>
                    </w:tcPr>
                    <w:p w14:paraId="7FB02F87" w14:textId="77777777">
                      <w:pPr>
                        <w:spacing w:line="276" w:lineRule="auto"/>
                        <w:jc w:val="center"/>
                        <w:rPr>
                          <w:szCs w:val="24"/>
                        </w:rPr>
                      </w:pPr>
                      <w:r>
                        <w:rPr>
                          <w:szCs w:val="24"/>
                        </w:rPr>
                        <w:t>FN-05-06</w:t>
                      </w:r>
                    </w:p>
                  </w:tc>
                  <w:tc>
                    <w:tcPr>
                      <w:tcW w:w="1990" w:type="dxa"/>
                    </w:tcPr>
                    <w:p w14:paraId="251C5CB6" w14:textId="425A06CF">
                      <w:pPr>
                        <w:spacing w:line="276" w:lineRule="auto"/>
                        <w:jc w:val="center"/>
                        <w:rPr>
                          <w:szCs w:val="24"/>
                        </w:rPr>
                      </w:pPr>
                      <w:r>
                        <w:rPr>
                          <w:szCs w:val="24"/>
                        </w:rPr>
                        <w:t>-</w:t>
                      </w:r>
                    </w:p>
                  </w:tc>
                  <w:tc>
                    <w:tcPr>
                      <w:tcW w:w="5103" w:type="dxa"/>
                      <w:shd w:val="clear" w:color="auto" w:fill="auto"/>
                      <w:vAlign w:val="bottom"/>
                    </w:tcPr>
                    <w:p w14:paraId="4C1D6DFC" w14:textId="77777777">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20113B69" w14:textId="77777777">
                      <w:pPr>
                        <w:spacing w:line="276" w:lineRule="auto"/>
                        <w:jc w:val="center"/>
                        <w:rPr>
                          <w:sz w:val="22"/>
                          <w:szCs w:val="22"/>
                        </w:rPr>
                      </w:pPr>
                    </w:p>
                  </w:tc>
                </w:tr>
                <w:tr w14:paraId="7CBC725F" w14:textId="77777777">
                  <w:tc>
                    <w:tcPr>
                      <w:tcW w:w="3428" w:type="dxa"/>
                      <w:shd w:val="clear" w:color="auto" w:fill="auto"/>
                      <w:vAlign w:val="center"/>
                    </w:tcPr>
                    <w:p w14:paraId="17CA0E48" w14:textId="2599A8F5">
                      <w:pPr>
                        <w:spacing w:line="276" w:lineRule="auto"/>
                        <w:jc w:val="center"/>
                        <w:rPr>
                          <w:szCs w:val="24"/>
                        </w:rPr>
                      </w:pPr>
                      <w:r>
                        <w:rPr>
                          <w:szCs w:val="24"/>
                        </w:rPr>
                        <w:t>Kasmetinių atostogų fiksuotoji norma</w:t>
                      </w:r>
                    </w:p>
                  </w:tc>
                  <w:tc>
                    <w:tcPr>
                      <w:tcW w:w="1984" w:type="dxa"/>
                      <w:shd w:val="clear" w:color="auto" w:fill="auto"/>
                      <w:vAlign w:val="center"/>
                    </w:tcPr>
                    <w:p w14:paraId="3D92A11F" w14:textId="77777777">
                      <w:pPr>
                        <w:spacing w:line="276" w:lineRule="auto"/>
                        <w:jc w:val="center"/>
                        <w:rPr>
                          <w:szCs w:val="24"/>
                        </w:rPr>
                      </w:pPr>
                      <w:r>
                        <w:rPr>
                          <w:szCs w:val="24"/>
                        </w:rPr>
                        <w:t>FN-05-07</w:t>
                      </w:r>
                    </w:p>
                  </w:tc>
                  <w:tc>
                    <w:tcPr>
                      <w:tcW w:w="1990" w:type="dxa"/>
                    </w:tcPr>
                    <w:p w14:paraId="3D3BE83F" w14:textId="12C41D00">
                      <w:pPr>
                        <w:spacing w:line="276" w:lineRule="auto"/>
                        <w:jc w:val="center"/>
                        <w:rPr>
                          <w:szCs w:val="24"/>
                        </w:rPr>
                      </w:pPr>
                      <w:r>
                        <w:rPr>
                          <w:szCs w:val="24"/>
                        </w:rPr>
                        <w:t>-</w:t>
                      </w:r>
                    </w:p>
                  </w:tc>
                  <w:tc>
                    <w:tcPr>
                      <w:tcW w:w="5103" w:type="dxa"/>
                      <w:shd w:val="clear" w:color="auto" w:fill="auto"/>
                      <w:vAlign w:val="bottom"/>
                    </w:tcPr>
                    <w:p w14:paraId="3E498564" w14:textId="77777777">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14:paraId="258F1244" w14:textId="77777777">
                      <w:pPr>
                        <w:spacing w:line="276" w:lineRule="auto"/>
                        <w:jc w:val="center"/>
                        <w:rPr>
                          <w:sz w:val="22"/>
                          <w:szCs w:val="22"/>
                        </w:rPr>
                      </w:pPr>
                    </w:p>
                  </w:tc>
                </w:tr>
              </w:tbl>
              <w:p w14:paraId="1CD82F05" w14:textId="77777777">
                <w:pPr>
                  <w:spacing w:line="276" w:lineRule="auto"/>
                  <w:jc w:val="both"/>
                  <w:rPr>
                    <w:i/>
                    <w:iCs/>
                    <w:sz w:val="22"/>
                    <w:szCs w:val="22"/>
                  </w:rPr>
                </w:pPr>
              </w:p>
            </w:tc>
          </w:tr>
        </w:tbl>
        <w:p w14:paraId="7551BA3B" w14:textId="77777777">
          <w:pPr>
            <w:spacing w:line="276" w:lineRule="auto"/>
            <w:rPr>
              <w:rFonts w:eastAsia="Calibri"/>
              <w:sz w:val="20"/>
            </w:rPr>
          </w:pPr>
        </w:p>
        <w:p w14:paraId="12532DF3" w14:textId="5B5EAD4A">
          <w:pPr>
            <w:spacing w:line="276" w:lineRule="auto"/>
            <w:jc w:val="center"/>
            <w:rPr>
              <w:rFonts w:eastAsia="Calibri"/>
              <w:sz w:val="20"/>
            </w:rPr>
          </w:pPr>
          <w:r>
            <w:rPr>
              <w:rFonts w:eastAsia="Calibri"/>
              <w:sz w:val="20"/>
            </w:rPr>
            <w:t>–––––––––––––––––––––––––––––––––</w:t>
          </w:r>
        </w:p>
        <w:p w14:paraId="0774FA73" w14:textId="4C9BEB58">
          <w:pPr>
            <w:spacing w:line="276" w:lineRule="auto"/>
            <w:rPr>
              <w:sz w:val="22"/>
              <w:szCs w:val="22"/>
            </w:rPr>
          </w:pPr>
        </w:p>
        <w:p w14:paraId="14A06C08" w14:textId="695D394F">
          <w:pPr>
            <w:spacing w:line="276" w:lineRule="auto"/>
            <w:rPr>
              <w:sz w:val="22"/>
              <w:szCs w:val="22"/>
            </w:rPr>
          </w:pPr>
        </w:p>
        <w:p w14:paraId="386C73B3" w14:textId="339F785D">
          <w:pPr>
            <w:spacing w:line="276" w:lineRule="auto"/>
            <w:rPr>
              <w:sz w:val="22"/>
              <w:szCs w:val="22"/>
            </w:rPr>
          </w:pPr>
        </w:p>
        <w:p w14:paraId="6657260D" w14:textId="77777777">
          <w:pPr>
            <w:ind w:left="9923"/>
            <w:rPr>
              <w:szCs w:val="24"/>
            </w:rPr>
            <w:sectPr>
              <w:headerReference w:type="even" r:id="rId15"/>
              <w:headerReference w:type="default" r:id="rId16"/>
              <w:footerReference w:type="even" r:id="rId17"/>
              <w:footerReference w:type="default" r:id="rId18"/>
              <w:headerReference w:type="first" r:id="rId19"/>
              <w:footerReference w:type="first" r:id="rId20"/>
              <w:pgSz w:w="16838" w:h="11906" w:orient="landscape"/>
              <w:pgMar w:top="1701" w:right="567" w:bottom="993" w:left="1701" w:header="567" w:footer="567" w:gutter="0"/>
              <w:cols w:space="1296"/>
              <w:titlePg/>
              <w:docGrid w:linePitch="360"/>
            </w:sectPr>
          </w:pPr>
        </w:p>
        <w:p w14:paraId="59C80B07" w14:textId="77777777">
          <w:pPr>
            <w:tabs>
              <w:tab w:val="center" w:pos="4819"/>
              <w:tab w:val="right" w:pos="9638"/>
            </w:tabs>
            <w:jc w:val="center"/>
          </w:pPr>
        </w:p>
        <w:p w14:paraId="6A5BFC75" w14:textId="77777777">
          <w:pPr>
            <w:tabs>
              <w:tab w:val="center" w:pos="4986"/>
              <w:tab w:val="right" w:pos="9972"/>
            </w:tabs>
          </w:pPr>
        </w:p>
      </w:sdtContent>
    </w:sdt>
    <w:sdt>
      <w:sdtPr>
        <w:alias w:val="pr."/>
        <w:tag w:val="part_f9551a103d3f4537884f68a4634fde8a"/>
        <w:lock w:val="sdtLocked"/>
        <w:richText/>
      </w:sdtPr>
      <w:sdtContent>
        <w:p w14:paraId="722FA839" w14:textId="33C88CC9">
          <w:pPr>
            <w:ind w:left="9923"/>
            <w:rPr>
              <w:szCs w:val="24"/>
              <w:lang w:val="en-US"/>
            </w:rPr>
          </w:pPr>
          <w:r>
            <w:rPr>
              <w:szCs w:val="24"/>
            </w:rPr>
            <w:t>2022–2030 metų sveikatos priežiūros kokybės ir efektyvumo didinimo plėtros programos pažangos priemonės Nr. 11-002-11-01 „Gerinti sveikatos priežiūros paslaugų kokybę ir prieinamumą“ projektų finansavimo sąlygų aprašo Nr. 9</w:t>
          </w:r>
        </w:p>
        <w:p w14:paraId="17F1B488" w14:textId="77777777">
          <w:pPr>
            <w:ind w:left="9923"/>
            <w:jc w:val="both"/>
            <w:rPr>
              <w:szCs w:val="24"/>
            </w:rPr>
          </w:pPr>
          <w:r>
            <w:rPr>
              <w:szCs w:val="24"/>
            </w:rPr>
            <w:t>priedas</w:t>
          </w:r>
        </w:p>
        <w:p w14:paraId="189221C7" w14:textId="77777777">
          <w:pPr>
            <w:ind w:left="9923"/>
            <w:rPr>
              <w:szCs w:val="24"/>
            </w:rPr>
          </w:pPr>
        </w:p>
        <w:p w14:paraId="5991C78A" w14:textId="77777777">
          <w:pPr>
            <w:jc w:val="center"/>
            <w:rPr>
              <w:rFonts w:eastAsia="Calibri"/>
              <w:b/>
              <w:bCs/>
              <w:szCs w:val="24"/>
            </w:rPr>
          </w:pPr>
        </w:p>
        <w:p w14:paraId="48A0D166" w14:textId="77777777">
          <w:pPr>
            <w:jc w:val="center"/>
            <w:rPr>
              <w:rFonts w:eastAsia="Calibri"/>
              <w:b/>
              <w:bCs/>
              <w:szCs w:val="24"/>
            </w:rPr>
          </w:pPr>
          <w:sdt>
            <w:sdtPr>
              <w:alias w:val="Pavadinimas"/>
              <w:tag w:val="title_f9551a103d3f4537884f68a4634fde8a"/>
              <w:lock w:val="sdtLocked"/>
              <w:richText/>
            </w:sdtPr>
            <w:sdtContent>
              <w:r>
                <w:rPr>
                  <w:rFonts w:eastAsia="Calibri"/>
                  <w:b/>
                  <w:bCs/>
                  <w:szCs w:val="24"/>
                </w:rPr>
                <w:t>PROJEKTO ATITIKTIES REIKŠMINGOS ŽALOS NEDARYMO HORIZONTALIAJAM PRINCIPUI VERTINIMO REIKALAVIMŲ APRAŠAS</w:t>
              </w:r>
            </w:sdtContent>
          </w:sdt>
        </w:p>
        <w:p w14:paraId="5C8E0ED8" w14:textId="77777777">
          <w:pPr>
            <w:jc w:val="center"/>
            <w:rPr>
              <w:rFonts w:eastAsia="Calibri"/>
              <w:b/>
              <w:bCs/>
              <w:szCs w:val="24"/>
            </w:rPr>
          </w:pPr>
        </w:p>
        <w:p w14:paraId="50DC57AC"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01C4E35" w14:textId="77777777">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48F1103C" w14:textId="77777777">
          <w:pPr>
            <w:spacing w:line="276" w:lineRule="auto"/>
            <w:jc w:val="both"/>
            <w:rPr>
              <w:rFonts w:eastAsia="Calibri"/>
              <w:bCs/>
              <w:szCs w:val="24"/>
            </w:rPr>
          </w:pPr>
          <w:r>
            <w:rPr>
              <w:szCs w:val="24"/>
            </w:rPr>
            <w:sym w:font="Wingdings 2" w:char="00A3"/>
            <w:t xml:space="preserve"> Europos Sąjungos fondų i</w:t>
          </w:r>
          <w:r>
            <w:rPr>
              <w:rFonts w:eastAsia="Calibri"/>
              <w:bCs/>
              <w:szCs w:val="24"/>
            </w:rPr>
            <w:t>nvesticijų programa (toliau – ESIP)</w:t>
          </w:r>
        </w:p>
        <w:p w14:paraId="6308A47D"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6D546A46" w14:textId="77777777">
            <w:tc>
              <w:tcPr>
                <w:tcW w:w="4885" w:type="dxa"/>
              </w:tcPr>
              <w:p w14:paraId="5D9B2F51" w14:textId="77777777">
                <w:pPr>
                  <w:jc w:val="center"/>
                  <w:rPr>
                    <w:rFonts w:eastAsia="Calibri"/>
                    <w:b/>
                    <w:szCs w:val="24"/>
                  </w:rPr>
                </w:pPr>
                <w:r>
                  <w:rPr>
                    <w:rFonts w:eastAsia="Calibri"/>
                    <w:b/>
                    <w:szCs w:val="24"/>
                  </w:rPr>
                  <w:t>Aplinkos tikslai</w:t>
                </w:r>
              </w:p>
            </w:tc>
            <w:tc>
              <w:tcPr>
                <w:tcW w:w="4633" w:type="dxa"/>
              </w:tcPr>
              <w:p w14:paraId="25732373" w14:textId="77777777">
                <w:pPr>
                  <w:jc w:val="center"/>
                  <w:rPr>
                    <w:rFonts w:eastAsia="Calibri"/>
                    <w:b/>
                    <w:szCs w:val="24"/>
                  </w:rPr>
                </w:pPr>
                <w:r>
                  <w:rPr>
                    <w:rFonts w:eastAsia="Calibri"/>
                    <w:b/>
                    <w:szCs w:val="24"/>
                  </w:rPr>
                  <w:t>Pagrindimas</w:t>
                </w:r>
              </w:p>
            </w:tc>
            <w:tc>
              <w:tcPr>
                <w:tcW w:w="5331" w:type="dxa"/>
              </w:tcPr>
              <w:p w14:paraId="4D23B144" w14:textId="77777777">
                <w:pPr>
                  <w:jc w:val="center"/>
                  <w:rPr>
                    <w:rFonts w:eastAsia="Calibri"/>
                    <w:i/>
                    <w:szCs w:val="24"/>
                  </w:rPr>
                </w:pPr>
                <w:r>
                  <w:rPr>
                    <w:rFonts w:eastAsia="Calibri"/>
                    <w:b/>
                    <w:szCs w:val="24"/>
                  </w:rPr>
                  <w:t>Pagrindimo dokumentai</w:t>
                </w:r>
              </w:p>
            </w:tc>
          </w:tr>
          <w:tr w14:paraId="07264A67" w14:textId="77777777">
            <w:tc>
              <w:tcPr>
                <w:tcW w:w="4885" w:type="dxa"/>
              </w:tcPr>
              <w:p w14:paraId="5A7DE0D6"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2A2750AE" w14:textId="77777777">
                <w:pPr>
                  <w:jc w:val="both"/>
                  <w:rPr>
                    <w:rFonts w:eastAsia="Calibri"/>
                    <w:bCs/>
                    <w:i/>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1" w:type="dxa"/>
              </w:tcPr>
              <w:p w14:paraId="414EDC02"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095B066E" w14:textId="77777777">
                <w:pPr>
                  <w:jc w:val="both"/>
                  <w:rPr>
                    <w:rFonts w:eastAsia="Calibri"/>
                    <w:bCs/>
                    <w:iCs/>
                    <w:szCs w:val="24"/>
                  </w:rPr>
                </w:pPr>
              </w:p>
              <w:p w14:paraId="04126B4D" w14:textId="77777777">
                <w:pPr>
                  <w:tabs>
                    <w:tab w:val="left" w:pos="589"/>
                  </w:tabs>
                  <w:jc w:val="both"/>
                  <w:rPr>
                    <w:rFonts w:eastAsia="Calibri"/>
                    <w:bCs/>
                    <w:iCs/>
                    <w:szCs w:val="24"/>
                  </w:rPr>
                </w:pPr>
              </w:p>
              <w:p w14:paraId="51AB2B6F" w14:textId="77777777">
                <w:pPr>
                  <w:tabs>
                    <w:tab w:val="left" w:pos="589"/>
                  </w:tabs>
                  <w:jc w:val="both"/>
                  <w:rPr>
                    <w:rFonts w:eastAsia="Calibri"/>
                    <w:iCs/>
                    <w:szCs w:val="24"/>
                  </w:rPr>
                </w:pPr>
              </w:p>
              <w:p w14:paraId="2EAE1F96" w14:textId="77777777">
                <w:pPr>
                  <w:tabs>
                    <w:tab w:val="left" w:pos="589"/>
                  </w:tabs>
                  <w:jc w:val="both"/>
                  <w:rPr>
                    <w:rFonts w:eastAsia="Calibri"/>
                    <w:iCs/>
                    <w:szCs w:val="24"/>
                  </w:rPr>
                </w:pPr>
              </w:p>
              <w:p w14:paraId="68FE844C" w14:textId="77777777">
                <w:pPr>
                  <w:tabs>
                    <w:tab w:val="left" w:pos="589"/>
                  </w:tabs>
                  <w:jc w:val="both"/>
                  <w:rPr>
                    <w:rFonts w:eastAsia="Calibri"/>
                    <w:i/>
                    <w:szCs w:val="24"/>
                  </w:rPr>
                </w:pPr>
              </w:p>
            </w:tc>
          </w:tr>
          <w:tr w14:paraId="04373851" w14:textId="77777777">
            <w:tc>
              <w:tcPr>
                <w:tcW w:w="4885" w:type="dxa"/>
              </w:tcPr>
              <w:p w14:paraId="63010F62"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3AB804C2"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1" w:type="dxa"/>
              </w:tcPr>
              <w:p w14:paraId="409B5E5E" w14:textId="2F82D96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23801876" w14:textId="77777777">
                <w:pPr>
                  <w:jc w:val="both"/>
                  <w:rPr>
                    <w:rFonts w:eastAsia="Calibri"/>
                    <w:b/>
                    <w:szCs w:val="24"/>
                  </w:rPr>
                </w:pPr>
              </w:p>
            </w:tc>
          </w:tr>
          <w:tr w14:paraId="1B508EAB" w14:textId="77777777">
            <w:tc>
              <w:tcPr>
                <w:tcW w:w="4885" w:type="dxa"/>
                <w:shd w:val="clear" w:color="auto" w:fill="auto"/>
              </w:tcPr>
              <w:p w14:paraId="55783FE9"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shd w:val="clear" w:color="auto" w:fill="auto"/>
              </w:tcPr>
              <w:p w14:paraId="0138A83D" w14:textId="601F9E89">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759AD06C"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F3ABC24" w14:textId="77777777">
                <w:pPr>
                  <w:jc w:val="both"/>
                  <w:rPr>
                    <w:rFonts w:eastAsia="Calibri"/>
                    <w:bCs/>
                    <w:szCs w:val="24"/>
                  </w:rPr>
                </w:pPr>
              </w:p>
            </w:tc>
          </w:tr>
          <w:tr w14:paraId="172A68F0" w14:textId="77777777">
            <w:tc>
              <w:tcPr>
                <w:tcW w:w="4885" w:type="dxa"/>
              </w:tcPr>
              <w:p w14:paraId="7C7DE493"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04B6CCEC"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1" w:type="dxa"/>
              </w:tcPr>
              <w:p w14:paraId="73E03466"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7B4735DF" w14:textId="77777777">
                <w:pPr>
                  <w:jc w:val="both"/>
                  <w:rPr>
                    <w:bCs/>
                    <w:szCs w:val="24"/>
                  </w:rPr>
                </w:pPr>
              </w:p>
              <w:p w14:paraId="75EA9FEC" w14:textId="77777777">
                <w:pPr>
                  <w:jc w:val="both"/>
                  <w:rPr>
                    <w:bCs/>
                    <w:szCs w:val="24"/>
                  </w:rPr>
                </w:pPr>
              </w:p>
              <w:p w14:paraId="450620F0" w14:textId="77777777">
                <w:pPr>
                  <w:jc w:val="both"/>
                  <w:rPr>
                    <w:rFonts w:eastAsia="Calibri"/>
                    <w:szCs w:val="24"/>
                  </w:rPr>
                </w:pPr>
              </w:p>
            </w:tc>
          </w:tr>
          <w:tr w14:paraId="09458298" w14:textId="77777777">
            <w:tc>
              <w:tcPr>
                <w:tcW w:w="4885" w:type="dxa"/>
              </w:tcPr>
              <w:p w14:paraId="5108792E"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4D1DCA2E" w14:textId="77777777">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1" w:type="dxa"/>
              </w:tcPr>
              <w:p w14:paraId="0AE212D7"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DF98A90" w14:textId="77777777">
                <w:pPr>
                  <w:jc w:val="both"/>
                  <w:rPr>
                    <w:rFonts w:eastAsia="Calibri"/>
                    <w:szCs w:val="24"/>
                  </w:rPr>
                </w:pPr>
              </w:p>
            </w:tc>
          </w:tr>
          <w:tr w14:paraId="39D3BF0C" w14:textId="77777777">
            <w:tc>
              <w:tcPr>
                <w:tcW w:w="4885" w:type="dxa"/>
              </w:tcPr>
              <w:p w14:paraId="4AAFB13F"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512FA849" w14:textId="77777777">
                <w:pPr>
                  <w:jc w:val="both"/>
                  <w:rPr>
                    <w:rFonts w:eastAsia="Calibri"/>
                    <w:b/>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1" w:type="dxa"/>
              </w:tcPr>
              <w:p w14:paraId="2C57CFAA"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FC669C0" w14:textId="77777777">
                <w:pPr>
                  <w:jc w:val="both"/>
                  <w:rPr>
                    <w:rFonts w:eastAsia="Calibri"/>
                    <w:szCs w:val="24"/>
                  </w:rPr>
                </w:pPr>
              </w:p>
            </w:tc>
          </w:tr>
        </w:tbl>
        <w:p w14:paraId="0B54F01A" w14:textId="77777777">
          <w:pPr>
            <w:rPr>
              <w:szCs w:val="24"/>
            </w:rPr>
          </w:pPr>
        </w:p>
        <w:sdt>
          <w:sdtPr>
            <w:alias w:val="pabaiga"/>
            <w:tag w:val="part_8400b9a947e94baaa20ed3c1de7ffec0"/>
            <w:lock w:val="sdtLocked"/>
            <w:richText/>
          </w:sdtPr>
          <w:sdtContent>
            <w:p w14:paraId="548BC686" w14:textId="77777777">
              <w:pPr>
                <w:spacing w:line="276" w:lineRule="auto"/>
                <w:jc w:val="center"/>
                <w:rPr>
                  <w:szCs w:val="24"/>
                  <w:u w:val="single"/>
                </w:rPr>
              </w:pPr>
              <w:r>
                <w:rPr>
                  <w:rFonts w:eastAsia="Calibri"/>
                  <w:szCs w:val="24"/>
                  <w:u w:val="single"/>
                </w:rPr>
                <w:t>________________</w:t>
              </w:r>
            </w:p>
            <w:p w14:paraId="71DF3334" w14:textId="77777777">
              <w:pPr>
                <w:spacing w:line="276" w:lineRule="auto"/>
                <w:rPr>
                  <w:sz w:val="22"/>
                  <w:szCs w:val="22"/>
                </w:rPr>
              </w:pPr>
            </w:p>
          </w:sdtContent>
        </w:sdt>
      </w:sdtContent>
    </w:sdt>
    <w:sectPr>
      <w:headerReference w:type="first" r:id="rId21"/>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5F093" w14:textId="77777777">
      <w:pPr>
        <w:rPr>
          <w:sz w:val="22"/>
          <w:szCs w:val="22"/>
        </w:rPr>
      </w:pPr>
      <w:r>
        <w:rPr>
          <w:sz w:val="22"/>
          <w:szCs w:val="22"/>
        </w:rPr>
        <w:separator/>
      </w:r>
    </w:p>
  </w:endnote>
  <w:endnote w:type="continuationSeparator" w:id="0">
    <w:p w14:paraId="3BD0CCD1" w14:textId="77777777">
      <w:pPr>
        <w:rPr>
          <w:sz w:val="22"/>
          <w:szCs w:val="22"/>
        </w:rPr>
      </w:pPr>
      <w:r>
        <w:rPr>
          <w:sz w:val="22"/>
          <w:szCs w:val="22"/>
        </w:rPr>
        <w:continuationSeparator/>
      </w:r>
    </w:p>
  </w:endnote>
  <w:endnote w:type="continuationNotice" w:id="1">
    <w:p w14:paraId="5A1E3C22"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68173A" w14:textId="77777777">
      <w:pPr>
        <w:rPr>
          <w:sz w:val="22"/>
          <w:szCs w:val="22"/>
        </w:rPr>
      </w:pPr>
      <w:r>
        <w:rPr>
          <w:sz w:val="22"/>
          <w:szCs w:val="22"/>
        </w:rPr>
        <w:separator/>
      </w:r>
    </w:p>
  </w:footnote>
  <w:footnote w:type="continuationSeparator" w:id="0">
    <w:p w14:paraId="23C76046" w14:textId="77777777">
      <w:pPr>
        <w:rPr>
          <w:sz w:val="22"/>
          <w:szCs w:val="22"/>
        </w:rPr>
      </w:pPr>
      <w:r>
        <w:rPr>
          <w:sz w:val="22"/>
          <w:szCs w:val="22"/>
        </w:rPr>
        <w:continuationSeparator/>
      </w:r>
    </w:p>
  </w:footnote>
  <w:footnote w:type="continuationNotice" w:id="1">
    <w:p w14:paraId="4EF25143" w14:textId="77777777">
      <w:pPr>
        <w:rPr>
          <w:sz w:val="22"/>
          <w:szCs w:val="22"/>
        </w:rPr>
      </w:pPr>
    </w:p>
  </w:footnote>
  <w:footnote w:id="2">
    <w:p w14:paraId="4EECDDE6" w14:textId="64DCE0E8">
      <w:pPr>
        <w:rPr>
          <w:sz w:val="20"/>
        </w:rPr>
      </w:pPr>
      <w:r>
        <w:rPr>
          <w:sz w:val="20"/>
          <w:vertAlign w:val="superscript"/>
        </w:rPr>
        <w:footnoteRef/>
      </w:r>
      <w:r>
        <w:rPr>
          <w:sz w:val="20"/>
        </w:rPr>
        <w:t xml:space="preserve"> </w:t>
      </w:r>
      <w:r>
        <w:rPr>
          <w:color w:val="0563C1"/>
          <w:sz w:val="20"/>
          <w:u w:val="single"/>
        </w:rPr>
        <w:t>https://sam.lrv.lt/lt/administracine-informacija/planavimo-dokumentai/pletros-programos/sveikatos-prieziuros-kokybes-ir-efektyvumo-didinimo-pletros-programa</w:t>
      </w:r>
      <w:r>
        <w:rPr>
          <w:sz w:val="20"/>
        </w:rPr>
        <w:t xml:space="preserve"> </w:t>
      </w:r>
    </w:p>
  </w:footnote>
  <w:footnote w:id="3">
    <w:p w14:paraId="3C9C104C" w14:textId="77777777">
      <w:pPr>
        <w:rPr>
          <w:sz w:val="20"/>
        </w:rPr>
      </w:pPr>
      <w:r>
        <w:rPr>
          <w:sz w:val="20"/>
          <w:vertAlign w:val="superscript"/>
        </w:rPr>
        <w:footnoteRef/>
      </w:r>
      <w:r>
        <w:rPr>
          <w:sz w:val="20"/>
        </w:rPr>
        <w:t xml:space="preserve"> </w:t>
      </w:r>
      <w:hyperlink r:id="rId2" w:history="1">
        <w:r>
          <w:rPr>
            <w:color w:val="0563C1"/>
            <w:sz w:val="20"/>
            <w:u w:val="single"/>
          </w:rPr>
          <w:t>https://www.e-tar.lt/portal/lt/legalAct/0431bbf0d83411ec8d9390588bf2de65/asr</w:t>
        </w:r>
      </w:hyperlink>
      <w:r>
        <w:rPr>
          <w:sz w:val="20"/>
        </w:rPr>
        <w:t xml:space="preserve"> </w:t>
      </w:r>
    </w:p>
  </w:footnote>
  <w:footnote w:id="4">
    <w:p w14:paraId="076FFDDC" w14:textId="49A71B14">
      <w:pPr>
        <w:rPr>
          <w:sz w:val="20"/>
        </w:rPr>
      </w:pPr>
      <w:r>
        <w:rPr>
          <w:szCs w:val="24"/>
          <w:vertAlign w:val="superscript"/>
        </w:rPr>
        <w:footnoteRef/>
      </w:r>
      <w:r>
        <w:rPr>
          <w:szCs w:val="24"/>
        </w:rPr>
        <w:t xml:space="preserve"> </w:t>
      </w:r>
      <w:r>
        <w:rPr>
          <w:color w:val="0563C1"/>
          <w:sz w:val="20"/>
          <w:u w:val="single"/>
        </w:rPr>
        <w:t>https://finmin.lrv.lt/lt/es-ir-kitos-investicijos/naujos-kartos-lietuva</w:t>
      </w:r>
      <w:r>
        <w:rPr>
          <w:color w:val="0563C1"/>
          <w:sz w:val="20"/>
          <w:u w:val="single"/>
        </w:rPr>
        <w:t xml:space="preserve"> </w:t>
      </w:r>
      <w:r>
        <w:rPr>
          <w:sz w:val="20"/>
          <w:u w:val="single"/>
        </w:rPr>
        <w:t xml:space="preserve">  </w:t>
      </w:r>
      <w:r>
        <w:rPr>
          <w:sz w:val="20"/>
        </w:rPr>
        <w:t xml:space="preserve"> </w:t>
      </w:r>
    </w:p>
  </w:footnote>
  <w:footnote w:id="5">
    <w:p w14:paraId="2DC8111D" w14:textId="2BAD561E">
      <w:pPr>
        <w:rPr>
          <w:sz w:val="20"/>
        </w:rPr>
      </w:pPr>
      <w:r>
        <w:rPr>
          <w:sz w:val="20"/>
          <w:vertAlign w:val="superscript"/>
        </w:rPr>
        <w:footnoteRef/>
      </w:r>
      <w:r>
        <w:rPr>
          <w:sz w:val="20"/>
        </w:rPr>
        <w:t xml:space="preserve"> </w:t>
      </w:r>
      <w:hyperlink r:id="rId4" w:history="1">
        <w:r>
          <w:rPr>
            <w:color w:val="0563C1"/>
            <w:sz w:val="20"/>
            <w:u w:val="single"/>
          </w:rPr>
          <w:t>https://www.e-tar.lt/portal/lt/legalAct/14e33320f1ed11ec8fa7d02a65c371ad</w:t>
        </w:r>
      </w:hyperlink>
      <w:r>
        <w:rPr>
          <w:sz w:val="20"/>
          <w:u w:val="single"/>
        </w:rPr>
        <w:t xml:space="preserve"> </w:t>
      </w:r>
    </w:p>
  </w:footnote>
  <w:footnote w:id="6">
    <w:p w14:paraId="3846D979" w14:textId="034B8D3B">
      <w:pPr>
        <w:rPr>
          <w:sz w:val="20"/>
        </w:rPr>
      </w:pPr>
      <w:r>
        <w:rPr>
          <w:sz w:val="20"/>
          <w:vertAlign w:val="superscript"/>
        </w:rPr>
        <w:footnoteRef/>
      </w:r>
      <w:r>
        <w:rPr>
          <w:sz w:val="20"/>
        </w:rPr>
        <w:t xml:space="preserve"> </w:t>
      </w:r>
      <w:r>
        <w:rPr>
          <w:color w:val="0563C1"/>
          <w:sz w:val="20"/>
          <w:u w:val="single"/>
        </w:rPr>
        <w:t>https://e-seimas.lrs.lt/portal/legalAct/lt/TAD/TAIS.29546/asr</w:t>
      </w:r>
      <w:r>
        <w:rPr>
          <w:sz w:val="20"/>
        </w:rPr>
        <w:t xml:space="preserve"> </w:t>
      </w:r>
    </w:p>
  </w:footnote>
  <w:footnote w:id="7">
    <w:p w14:paraId="2B830B1C" w14:textId="6ECF16B9">
      <w:pPr>
        <w:rPr>
          <w:sz w:val="20"/>
          <w:lang w:val="en-US"/>
        </w:rPr>
      </w:pPr>
      <w:r>
        <w:rPr>
          <w:sz w:val="20"/>
          <w:vertAlign w:val="superscript"/>
        </w:rPr>
        <w:footnoteRef/>
      </w:r>
      <w:r>
        <w:rPr>
          <w:sz w:val="20"/>
        </w:rPr>
        <w:t xml:space="preserve"> </w:t>
      </w:r>
      <w:r>
        <w:rPr>
          <w:color w:val="0563C1"/>
          <w:sz w:val="20"/>
          <w:u w:val="single"/>
        </w:rPr>
        <w:t>https://e-seimas.lrs.lt/portal/legalAct/lt/TAD/TAIS.415499</w:t>
      </w:r>
      <w:r>
        <w:rPr>
          <w:sz w:val="20"/>
        </w:rPr>
        <w:t xml:space="preserve"> </w:t>
      </w:r>
    </w:p>
  </w:footnote>
  <w:footnote w:id="8">
    <w:p w14:paraId="70B1C15C" w14:textId="052751D4">
      <w:pPr>
        <w:rPr>
          <w:sz w:val="20"/>
          <w:lang w:val="en-US"/>
        </w:rPr>
      </w:pPr>
      <w:r>
        <w:rPr>
          <w:sz w:val="20"/>
          <w:vertAlign w:val="superscript"/>
        </w:rPr>
        <w:footnoteRef/>
      </w:r>
      <w:r>
        <w:rPr>
          <w:sz w:val="20"/>
        </w:rPr>
        <w:t xml:space="preserve"> </w:t>
      </w:r>
      <w:r>
        <w:rPr>
          <w:color w:val="0563C1"/>
          <w:sz w:val="20"/>
          <w:u w:val="single"/>
        </w:rPr>
        <w:t>https://e-seimas.lrs.lt/portal/legalAct/lt/TAD/f6958c2085dd11e495dc9901227533ee</w:t>
      </w:r>
      <w:r>
        <w:rPr>
          <w:sz w:val="20"/>
        </w:rPr>
        <w:t xml:space="preserve"> </w:t>
      </w:r>
    </w:p>
  </w:footnote>
  <w:footnote w:id="9">
    <w:p w14:paraId="283F9006" w14:textId="5DD012AC">
      <w:pPr>
        <w:rPr>
          <w:sz w:val="20"/>
          <w:lang w:val="en-US"/>
        </w:rPr>
      </w:pPr>
      <w:r>
        <w:rPr>
          <w:sz w:val="20"/>
          <w:vertAlign w:val="superscript"/>
        </w:rPr>
        <w:footnoteRef/>
      </w:r>
      <w:r>
        <w:rPr>
          <w:sz w:val="20"/>
        </w:rPr>
        <w:t xml:space="preserve"> </w:t>
      </w:r>
      <w:r>
        <w:rPr>
          <w:color w:val="0563C1"/>
          <w:sz w:val="20"/>
          <w:u w:val="single"/>
        </w:rPr>
        <w:t>https://e-seimas.lrs.lt/portal/legalAct/lt/TAD/TAIS.94745/asr</w:t>
      </w:r>
      <w:r>
        <w:rPr>
          <w:sz w:val="20"/>
        </w:rPr>
        <w:t xml:space="preserve"> </w:t>
      </w:r>
    </w:p>
  </w:footnote>
  <w:footnote w:id="10">
    <w:p w14:paraId="311EA70B" w14:textId="53E501F6">
      <w:pPr>
        <w:rPr>
          <w:sz w:val="20"/>
        </w:rPr>
      </w:pPr>
      <w:r>
        <w:rPr>
          <w:sz w:val="20"/>
          <w:vertAlign w:val="superscript"/>
        </w:rPr>
        <w:footnoteRef/>
      </w:r>
      <w:r>
        <w:rPr>
          <w:sz w:val="20"/>
        </w:rPr>
        <w:t xml:space="preserve"> </w:t>
      </w:r>
      <w:r>
        <w:rPr>
          <w:color w:val="0563C1"/>
          <w:sz w:val="20"/>
          <w:u w:val="single"/>
        </w:rPr>
        <w:t>https://e-seimas.lrs.lt/portal/legalAct/lt/TAD/TAIS.443707/asr</w:t>
      </w:r>
      <w:r>
        <w:rPr>
          <w:sz w:val="20"/>
        </w:rPr>
        <w:t xml:space="preserve"> </w:t>
      </w:r>
    </w:p>
  </w:footnote>
  <w:footnote w:id="11">
    <w:p w14:paraId="437035C5" w14:textId="61A5397C">
      <w:pPr>
        <w:rPr>
          <w:sz w:val="20"/>
          <w:lang w:val="en-US"/>
        </w:rPr>
      </w:pPr>
      <w:r>
        <w:rPr>
          <w:sz w:val="20"/>
          <w:vertAlign w:val="superscript"/>
        </w:rPr>
        <w:footnoteRef/>
      </w:r>
      <w:r>
        <w:rPr>
          <w:sz w:val="20"/>
        </w:rPr>
        <w:t xml:space="preserve"> </w:t>
      </w:r>
      <w:r>
        <w:rPr>
          <w:color w:val="0563C1"/>
          <w:sz w:val="20"/>
          <w:u w:val="single"/>
        </w:rPr>
        <w:t>https://e-seimas.lrs.lt/portal/legalAct/lt/TAD/296c87d09e8e11e383c0832a9f635113/asr</w:t>
      </w:r>
      <w:r>
        <w:rPr>
          <w:sz w:val="20"/>
        </w:rPr>
        <w:t xml:space="preserve"> </w:t>
      </w:r>
    </w:p>
  </w:footnote>
  <w:footnote w:id="12">
    <w:p w14:paraId="7F5FF898" w14:textId="6E5956CB">
      <w:pPr>
        <w:rPr>
          <w:sz w:val="20"/>
          <w:lang w:val="en-US"/>
        </w:rPr>
      </w:pPr>
      <w:r>
        <w:rPr>
          <w:sz w:val="20"/>
          <w:vertAlign w:val="superscript"/>
        </w:rPr>
        <w:footnoteRef/>
      </w:r>
      <w:r>
        <w:rPr>
          <w:sz w:val="20"/>
        </w:rPr>
        <w:t xml:space="preserve"> </w:t>
      </w:r>
      <w:hyperlink r:id="rId11" w:history="1">
        <w:r>
          <w:rPr>
            <w:color w:val="0563C1"/>
            <w:sz w:val="20"/>
            <w:u w:val="single"/>
          </w:rPr>
          <w:t>https://www.e-tar.lt/portal/lt/legalAct/6a81fd606cc111e5906bc3a96c765ff4</w:t>
        </w:r>
      </w:hyperlink>
      <w:r>
        <w:rPr>
          <w:sz w:val="20"/>
        </w:rPr>
        <w:t xml:space="preserve"> </w:t>
      </w:r>
    </w:p>
  </w:footnote>
  <w:footnote w:id="13">
    <w:p w14:paraId="1D8BF91C" w14:textId="70C38FF3">
      <w:pPr>
        <w:rPr>
          <w:sz w:val="20"/>
          <w:lang w:val="en-US"/>
        </w:rPr>
      </w:pPr>
      <w:r>
        <w:rPr>
          <w:sz w:val="20"/>
          <w:vertAlign w:val="superscript"/>
        </w:rPr>
        <w:footnoteRef/>
      </w:r>
      <w:r>
        <w:rPr>
          <w:sz w:val="20"/>
        </w:rPr>
        <w:t xml:space="preserve"> </w:t>
      </w:r>
      <w:r>
        <w:rPr>
          <w:color w:val="0563C1"/>
          <w:sz w:val="20"/>
          <w:u w:val="single"/>
        </w:rPr>
        <w:t>https://e-seimas.lrs.lt/portal/legalActEditions/lt/TAD/TAIS.209540?faces-redirect=true</w:t>
      </w:r>
      <w:r>
        <w:rPr>
          <w:sz w:val="20"/>
        </w:rPr>
        <w:t xml:space="preserve"> </w:t>
      </w:r>
    </w:p>
  </w:footnote>
  <w:footnote w:id="14">
    <w:p w14:paraId="368003CF" w14:textId="03FE6844">
      <w:pPr>
        <w:rPr>
          <w:sz w:val="20"/>
          <w:lang w:val="en-US"/>
        </w:rPr>
      </w:pPr>
      <w:r>
        <w:rPr>
          <w:sz w:val="20"/>
          <w:vertAlign w:val="superscript"/>
        </w:rPr>
        <w:footnoteRef/>
      </w:r>
      <w:r>
        <w:rPr>
          <w:sz w:val="20"/>
        </w:rPr>
        <w:t xml:space="preserve"> </w:t>
      </w:r>
      <w:r>
        <w:rPr>
          <w:color w:val="0563C1"/>
          <w:sz w:val="20"/>
          <w:u w:val="single"/>
        </w:rPr>
        <w:t>https://e-seimas.lrs.lt/portal/legalAct/lt/TAD/f67d96a0d4bd11e39bf688e133d06adf?jfwid=rivwzvpvg</w:t>
      </w:r>
      <w:r>
        <w:rPr>
          <w:sz w:val="20"/>
        </w:rPr>
        <w:t xml:space="preserve"> </w:t>
      </w:r>
    </w:p>
  </w:footnote>
  <w:footnote w:id="15">
    <w:p w14:paraId="3BB7DBA4" w14:textId="2A68650F">
      <w:pPr>
        <w:rPr>
          <w:sz w:val="20"/>
          <w:lang w:val="en-US"/>
        </w:rPr>
      </w:pPr>
      <w:r>
        <w:rPr>
          <w:sz w:val="20"/>
          <w:vertAlign w:val="superscript"/>
        </w:rPr>
        <w:footnoteRef/>
      </w:r>
      <w:r>
        <w:rPr>
          <w:sz w:val="20"/>
        </w:rPr>
        <w:t xml:space="preserve"> </w:t>
      </w:r>
      <w:hyperlink r:id="rId14" w:history="1">
        <w:r>
          <w:rPr>
            <w:color w:val="0563C1"/>
            <w:sz w:val="20"/>
            <w:u w:val="single"/>
          </w:rPr>
          <w:t>https://www.e-tar.lt/portal/lt/legalAct/TAR.88F38F404A41</w:t>
        </w:r>
      </w:hyperlink>
      <w:r>
        <w:rPr>
          <w:sz w:val="20"/>
        </w:rPr>
        <w:t xml:space="preserve"> </w:t>
      </w:r>
    </w:p>
  </w:footnote>
  <w:footnote w:id="16">
    <w:p w14:paraId="60B18C52" w14:textId="1E93100C">
      <w:pPr>
        <w:rPr>
          <w:sz w:val="20"/>
          <w:lang w:val="en-US"/>
        </w:rPr>
      </w:pPr>
      <w:r>
        <w:rPr>
          <w:sz w:val="20"/>
          <w:vertAlign w:val="superscript"/>
        </w:rPr>
        <w:footnoteRef/>
      </w:r>
      <w:r>
        <w:rPr>
          <w:sz w:val="20"/>
        </w:rPr>
        <w:t xml:space="preserve"> </w:t>
      </w:r>
      <w:r>
        <w:rPr>
          <w:color w:val="0563C1"/>
          <w:sz w:val="20"/>
          <w:u w:val="single"/>
        </w:rPr>
        <w:t>https://e-seimas.lrs.lt/portal/legalActEditions/lt/TAD/357fdec1007e11e5a0edd66091ee4d78</w:t>
      </w:r>
      <w:r>
        <w:rPr>
          <w:sz w:val="20"/>
        </w:rPr>
        <w:t xml:space="preserve"> </w:t>
      </w:r>
    </w:p>
  </w:footnote>
  <w:footnote w:id="17">
    <w:p w14:paraId="3E63722F" w14:textId="4B0E2BFA">
      <w:pPr>
        <w:rPr>
          <w:sz w:val="20"/>
          <w:lang w:val="en-US"/>
        </w:rPr>
      </w:pPr>
      <w:r>
        <w:rPr>
          <w:sz w:val="20"/>
          <w:vertAlign w:val="superscript"/>
        </w:rPr>
        <w:footnoteRef/>
      </w:r>
      <w:r>
        <w:rPr>
          <w:sz w:val="20"/>
        </w:rPr>
        <w:t xml:space="preserve"> </w:t>
      </w:r>
      <w:r>
        <w:rPr>
          <w:color w:val="0563C1"/>
          <w:sz w:val="20"/>
          <w:u w:val="single"/>
        </w:rPr>
        <w:t>https://e-seimas.lrs.lt/portal/legalAct/lt/TAD/TAIS.445504?jfwid=mmceoqte6</w:t>
      </w:r>
      <w:r>
        <w:rPr>
          <w:sz w:val="20"/>
        </w:rPr>
        <w:t xml:space="preserve"> </w:t>
      </w:r>
    </w:p>
  </w:footnote>
  <w:footnote w:id="18">
    <w:p w14:paraId="1ED74489" w14:textId="77777777">
      <w:pPr>
        <w:rPr>
          <w:sz w:val="20"/>
        </w:rPr>
      </w:pPr>
      <w:r>
        <w:rPr>
          <w:sz w:val="20"/>
          <w:vertAlign w:val="superscript"/>
        </w:rPr>
        <w:footnoteRef/>
      </w:r>
      <w:r>
        <w:rPr>
          <w:sz w:val="20"/>
        </w:rPr>
        <w:t xml:space="preserve"> </w:t>
      </w:r>
      <w:r>
        <w:rPr>
          <w:color w:val="0563C1"/>
          <w:sz w:val="20"/>
          <w:u w:val="single"/>
        </w:rPr>
        <w:t>https://e-seimas.lrs.lt/portal/legalAct/lt/TAD/c4da70d0b1c011ecba9197ac603309e4?positionInSearchResults=0&amp;searchModelUUID=e78cfdd3-87dc-478d-a66c-520f73dd9800</w:t>
      </w:r>
      <w:r>
        <w:rPr>
          <w:color w:val="0563C1"/>
          <w:sz w:val="20"/>
          <w:u w:val="single"/>
        </w:rPr>
        <w:t xml:space="preserve"> </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2232A5E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header" Target="header4.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1" Type="http://schemas.openxmlformats.org/officeDocument/2006/relationships/hyperlink" TargetMode="External" Target="https://www.e-tar.lt/portal/lt/legalAct/6a81fd606cc111e5906bc3a96c765ff4"/>
  <Relationship Id="rId14" Type="http://schemas.openxmlformats.org/officeDocument/2006/relationships/hyperlink" TargetMode="External" Target="https://www.e-tar.lt/portal/lt/legalAct/TAR.88F38F404A41"/>
  <Relationship Id="rId2" Type="http://schemas.openxmlformats.org/officeDocument/2006/relationships/hyperlink" TargetMode="External" Target="https://www.e-tar.lt/portal/lt/legalAct/0431bbf0d83411ec8d9390588bf2de65/asr"/>
  <Relationship Id="rId4" Type="http://schemas.openxmlformats.org/officeDocument/2006/relationships/hyperlink" TargetMode="External" Target="https://www.e-tar.lt/portal/lt/legalAct/14e33320f1ed11ec8fa7d02a65c371a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041d3c8a96b7f0d891654db5b618230a">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23017a024dea9a253ed67449554b75f4"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Rengimo aplinkos konfidencialumo žyma" ma:default="1"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true</DmsDocPrepDocSendReg>
    <DmsDocPrepListOrderNo xmlns="4b2e9d09-07c5-42d4-ad0a-92e216c40b99">1</DmsDocPrepListOrderNo>
    <DmsPermissionsFlags xmlns="f5ebda27-b626-448f-a7d1-d1cf5ad133fa">,SECTRUE,</DmsPermissionsFlags>
    <DmsDocPrepDocSendRegReal xmlns="028236e2-f653-4d19-ab67-4d06a9145e0c">false</DmsDocPrepDocSendRegReal>
    <DmsPermissionsConfid xmlns="f5ebda27-b626-448f-a7d1-d1cf5ad133fa">false</DmsPermissionsConfid>
    <DmsPermissionsUsers xmlns="f5ebda27-b626-448f-a7d1-d1cf5ad133fa">
      <UserInfo>
        <DisplayName>Vilma Šeikė</DisplayName>
        <AccountId>680</AccountId>
        <AccountType/>
      </UserInfo>
      <UserInfo>
        <DisplayName>Laura Neliupšytė</DisplayName>
        <AccountId>90</AccountId>
        <AccountType/>
      </UserInfo>
      <UserInfo>
        <DisplayName>Margarita Kairienė</DisplayName>
        <AccountId>166</AccountId>
        <AccountType/>
      </UserInfo>
      <UserInfo>
        <DisplayName>Jurgita Merkevičienė</DisplayName>
        <AccountId>1206</AccountId>
        <AccountType/>
      </UserInfo>
      <UserInfo>
        <DisplayName>Mantas Bernotas</DisplayName>
        <AccountId>1119</AccountId>
        <AccountType/>
      </UserInfo>
    </DmsPermissionsUsers>
    <DmsCommChanPerm xmlns="028236e2-f653-4d19-ab67-4d06a9145e0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9" Abbr="9 pr." Title="2022–2030 METŲ SVEIKATOS PRIEŽIŪROS KOKYBĖS IR EFEKTYVUMO DIDINIMO PLĖTROS PROGRAMOS PAŽANGOS PRIEMONĖS NR. 11-002-02-11-01 „GERINTI SVEIKATOS PRIEŽIŪROS PASLAUGŲ KOKYBĘ IR PRIEINAMUMĄ“ PROJEKTŲ FINANSAVIMO SĄLYGŲ APRAŠAS NR. 9" DocPartId="1a4b34ed2c214cbb9f88edc73c6b7ba1" PartId="f1f516f854584ffc867de31066305451"/>
  <Part Type="priedas" Abbr="pr." Title="PROJEKTO ATITIKTIES REIKŠMINGOS ŽALOS NEDARYMO HORIZONTALIAJAM PRINCIPUI VERTINIMO REIKALAVIMŲ APRAŠAS" DocPartId="fbd5ec2503044207b81a5315db887526" PartId="f9551a103d3f4537884f68a4634fde8a">
    <Part Type="pabaiga" DocPartId="9a2633c5bcce4c1686196083ffeb50b1" PartId="8400b9a947e94baaa20ed3c1de7ffec0"/>
  </Part>
</Parts>
</file>

<file path=customXml/itemProps1.xml><?xml version="1.0" encoding="utf-8"?>
<ds:datastoreItem xmlns:ds="http://schemas.openxmlformats.org/officeDocument/2006/customXml" ds:itemID="{B38EA0DB-83A9-43A8-A96B-ACB2821A2D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DBFE43B-7A05-489F-ADF6-E39B7679BF20}">
  <ds:schemaRefs>
    <ds:schemaRef ds:uri="http://schemas.openxmlformats.org/officeDocument/2006/bibliography"/>
  </ds:schemaRefs>
</ds:datastoreItem>
</file>

<file path=customXml/itemProps5.xml><?xml version="1.0" encoding="utf-8"?>
<ds:datastoreItem xmlns:ds="http://schemas.openxmlformats.org/officeDocument/2006/customXml" ds:itemID="{41121590-03D8-45CE-97DF-76E2A30D7E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3469</Words>
  <Characters>24734</Characters>
  <Application>Microsoft Office Word</Application>
  <DocSecurity>4</DocSecurity>
  <Lines>603</Lines>
  <Paragraphs>261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27942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2023-03-03T06:37:00Z</dcterms:created>
  <dc:creator>Virginija Levinskienė</dc:creator>
  <lastModifiedBy>adlibuser</lastModifiedBy>
  <dcterms:modified xsi:type="dcterms:W3CDTF">2023-03-03T06:37:00Z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680;#Vilma Šeikė;#90;#Laura Neliupšytė;#166;#Margarita Kairienė;#1206;#Jurgita Merkevičienė;#1119;#Mantas Bernotas</vt:lpwstr>
  </property>
  <property fmtid="{D5CDD505-2E9C-101B-9397-08002B2CF9AE}" pid="7" name="DmsDocPrepDocSendRegReal">
    <vt:bool>false</vt:bool>
  </property>
  <property fmtid="{D5CDD505-2E9C-101B-9397-08002B2CF9AE}" pid="8" name="DmsWaitingForSign">
    <vt:bool>false</vt:bool>
  </property>
</Properties>
</file>