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1 pr."/>
        <w:tag w:val="part_f29c3507b6a647cc805becdea898800e"/>
        <w:lock w:val="sdtLocked"/>
        <w:richText/>
      </w:sdtPr>
      <w:sdtContent>
        <w:p w14:paraId="18B9D4DA" w14:textId="77777777">
          <w:pPr>
            <w:tabs>
              <w:tab w:val="center" w:pos="4986"/>
              <w:tab w:val="right" w:pos="9972"/>
            </w:tabs>
          </w:pPr>
        </w:p>
        <w:p w14:paraId="7999FE9F" w14:textId="77777777">
          <w:pPr>
            <w:tabs>
              <w:tab w:val="center" w:pos="4819"/>
              <w:tab w:val="right" w:pos="9638"/>
            </w:tabs>
            <w:rPr>
              <w:sz w:val="22"/>
              <w:szCs w:val="22"/>
            </w:rPr>
          </w:pPr>
        </w:p>
        <w:p w14:paraId="065BD72E" w14:textId="77777777">
          <w:pPr>
            <w:tabs>
              <w:tab w:val="center" w:pos="4819"/>
              <w:tab w:val="right" w:pos="9638"/>
            </w:tabs>
            <w:jc w:val="center"/>
            <w:rPr>
              <w:szCs w:val="24"/>
            </w:rPr>
          </w:pPr>
        </w:p>
        <w:p w14:paraId="0C5AC01E" w14:textId="77777777">
          <w:pPr>
            <w:tabs>
              <w:tab w:val="center" w:pos="4819"/>
              <w:tab w:val="right" w:pos="9638"/>
            </w:tabs>
            <w:rPr>
              <w:szCs w:val="24"/>
            </w:rPr>
          </w:pPr>
        </w:p>
        <w:p w14:paraId="1B33A586" w14:textId="3180C9E2">
          <w:pPr>
            <w:ind w:left="9923"/>
            <w:rPr>
              <w:szCs w:val="24"/>
              <w:lang w:val="en-US"/>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w:t>
          </w:r>
          <w:r>
            <w:rPr>
              <w:szCs w:val="24"/>
              <w:lang w:val="en-US"/>
            </w:rPr>
            <w:t>6</w:t>
          </w:r>
        </w:p>
        <w:p w14:paraId="3D3E9EE6" w14:textId="0E057F0D">
          <w:pPr>
            <w:ind w:left="9923"/>
            <w:rPr>
              <w:szCs w:val="24"/>
              <w:lang w:val="en-US"/>
            </w:rPr>
          </w:pPr>
          <w:sdt>
            <w:sdtPr>
              <w:alias w:val="Numeris"/>
              <w:tag w:val="nr_f29c3507b6a647cc805becdea898800e"/>
              <w:lock w:val="sdtLocked"/>
              <w:richText/>
            </w:sdtPr>
            <w:sdtContent>
              <w:r>
                <w:rPr>
                  <w:szCs w:val="24"/>
                  <w:lang w:val="en-US"/>
                </w:rPr>
                <w:t>6.1</w:t>
              </w:r>
            </w:sdtContent>
          </w:sdt>
          <w:r>
            <w:rPr>
              <w:szCs w:val="24"/>
              <w:lang w:val="en-US"/>
            </w:rPr>
            <w:t xml:space="preserve"> </w:t>
          </w:r>
          <w:r>
            <w:rPr>
              <w:szCs w:val="24"/>
            </w:rPr>
            <w:t xml:space="preserve">priedas </w:t>
          </w:r>
        </w:p>
        <w:p w14:paraId="596C4683" w14:textId="77777777">
          <w:pPr>
            <w:jc w:val="center"/>
            <w:rPr>
              <w:i/>
              <w:iCs/>
              <w:szCs w:val="24"/>
            </w:rPr>
          </w:pPr>
        </w:p>
        <w:p w14:paraId="2C777D9C" w14:textId="77777777">
          <w:pPr>
            <w:jc w:val="center"/>
            <w:rPr>
              <w:rFonts w:eastAsia="Calibri"/>
              <w:b/>
              <w:bCs/>
              <w:szCs w:val="24"/>
            </w:rPr>
          </w:pPr>
        </w:p>
        <w:p w14:paraId="7F1AA169" w14:textId="29593912">
          <w:pPr>
            <w:jc w:val="center"/>
            <w:rPr>
              <w:rFonts w:eastAsia="Calibri"/>
              <w:b/>
              <w:bCs/>
              <w:szCs w:val="24"/>
            </w:rPr>
          </w:pPr>
          <w:sdt>
            <w:sdtPr>
              <w:alias w:val="Pavadinimas"/>
              <w:tag w:val="title_f29c3507b6a647cc805becdea898800e"/>
              <w:lock w:val="sdtLocked"/>
              <w:richText/>
            </w:sdtPr>
            <w:sdtContent>
              <w:r>
                <w:rPr>
                  <w:rFonts w:eastAsia="Calibri"/>
                  <w:b/>
                  <w:bCs/>
                  <w:szCs w:val="24"/>
                </w:rPr>
                <w:t>PROJEKTO ATITIKTIES REIKŠMINGOS ŽALOS NEDARYMO HORIZONTALIAJAM PRINCIPUI VERTINIMO REIKALAVIMŲ APRAŠAS</w:t>
              </w:r>
            </w:sdtContent>
          </w:sdt>
        </w:p>
        <w:p w14:paraId="3BAF2DE2" w14:textId="77777777">
          <w:pPr>
            <w:jc w:val="center"/>
            <w:rPr>
              <w:rFonts w:eastAsia="Calibri"/>
              <w:b/>
              <w:bCs/>
              <w:szCs w:val="24"/>
            </w:rPr>
          </w:pPr>
        </w:p>
        <w:p w14:paraId="4A8010F1" w14:textId="7777777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2E16BF39" w14:textId="2450CC0B">
          <w:pPr>
            <w:spacing w:line="276" w:lineRule="auto"/>
            <w:jc w:val="both"/>
            <w:rPr>
              <w:rFonts w:eastAsia="Calibri"/>
              <w:bCs/>
              <w:szCs w:val="24"/>
            </w:rPr>
          </w:pPr>
          <w:r>
            <w:rPr>
              <w:szCs w:val="24"/>
            </w:rPr>
            <w:t xml:space="preserve">X  </w:t>
          </w:r>
          <w:r>
            <w:rPr>
              <w:rFonts w:eastAsia="Calibri"/>
              <w:bCs/>
              <w:szCs w:val="24"/>
            </w:rPr>
            <w:t>Ekonomikos gaivinimo ir atsparumo didinimo priemonė (toliau – EGADP)</w:t>
          </w:r>
        </w:p>
        <w:p w14:paraId="39B2C719" w14:textId="77777777">
          <w:pPr>
            <w:spacing w:line="276" w:lineRule="auto"/>
            <w:jc w:val="both"/>
            <w:rPr>
              <w:rFonts w:eastAsia="Calibri"/>
              <w:bCs/>
              <w:szCs w:val="24"/>
            </w:rPr>
          </w:pPr>
          <w:r>
            <w:rPr>
              <w:szCs w:val="24"/>
            </w:rPr>
            <w:sym w:font="Wingdings 2" w:char="00A3"/>
            <w:t xml:space="preserve"> Europos Sąjungos fondų i</w:t>
          </w:r>
          <w:r>
            <w:rPr>
              <w:rFonts w:eastAsia="Calibri"/>
              <w:bCs/>
              <w:szCs w:val="24"/>
            </w:rPr>
            <w:t>nvesticijų programa (toliau – ESIP)</w:t>
          </w:r>
        </w:p>
        <w:p w14:paraId="1A8CD84F"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14:paraId="515700AF" w14:textId="77777777">
            <w:tc>
              <w:tcPr>
                <w:tcW w:w="4885" w:type="dxa"/>
              </w:tcPr>
              <w:p w14:paraId="28531A74" w14:textId="77777777">
                <w:pPr>
                  <w:jc w:val="center"/>
                  <w:rPr>
                    <w:rFonts w:eastAsia="Calibri"/>
                    <w:b/>
                    <w:szCs w:val="24"/>
                  </w:rPr>
                </w:pPr>
                <w:r>
                  <w:rPr>
                    <w:rFonts w:eastAsia="Calibri"/>
                    <w:b/>
                    <w:szCs w:val="24"/>
                  </w:rPr>
                  <w:t>Aplinkos tikslai</w:t>
                </w:r>
              </w:p>
              <w:p w14:paraId="172AA01F" w14:textId="77777777">
                <w:pPr>
                  <w:jc w:val="both"/>
                  <w:rPr>
                    <w:rFonts w:eastAsia="Calibri"/>
                    <w:b/>
                    <w:szCs w:val="24"/>
                  </w:rPr>
                </w:pPr>
                <w:r>
                  <w:rPr>
                    <w:rFonts w:eastAsia="Calibri"/>
                    <w:szCs w:val="24"/>
                  </w:rPr>
                  <w:t>(</w:t>
                </w:r>
                <w:r>
                  <w:rPr>
                    <w:rFonts w:eastAsia="Calibri"/>
                    <w:i/>
                    <w:szCs w:val="24"/>
                  </w:rPr>
                  <w:t xml:space="preserve">pagal 2020 m. birželio 18 d. Europos Parlamento ir Tarybos reglamentą </w:t>
                </w:r>
                <w:r>
                  <w:rPr>
                    <w:rFonts w:eastAsia="Calibri"/>
                    <w:i/>
                    <w:color w:val="0563C1"/>
                    <w:szCs w:val="24"/>
                    <w:u w:val="single"/>
                  </w:rPr>
                  <w:t>(ES) Nr. 2020/852</w:t>
                </w:r>
                <w:r>
                  <w:rPr>
                    <w:rFonts w:eastAsia="Calibri"/>
                    <w:i/>
                    <w:szCs w:val="24"/>
                  </w:rPr>
                  <w:t xml:space="preserve"> dėl sistemos tvariam investavimui palengvinti sukūrimo, kuriuo iš dalies keičiamas Reglamentas </w:t>
                </w:r>
                <w:r>
                  <w:rPr>
                    <w:rFonts w:eastAsia="Calibri"/>
                    <w:i/>
                    <w:color w:val="0563C1"/>
                    <w:szCs w:val="24"/>
                    <w:u w:val="single"/>
                  </w:rPr>
                  <w:t>(ES) Nr. 2019/2088</w:t>
                </w:r>
                <w:r>
                  <w:rPr>
                    <w:rFonts w:eastAsia="Calibri"/>
                    <w:i/>
                    <w:szCs w:val="24"/>
                  </w:rPr>
                  <w:t>)</w:t>
                </w:r>
              </w:p>
            </w:tc>
            <w:tc>
              <w:tcPr>
                <w:tcW w:w="4633" w:type="dxa"/>
              </w:tcPr>
              <w:p w14:paraId="594D7FC8" w14:textId="77777777">
                <w:pPr>
                  <w:jc w:val="center"/>
                  <w:rPr>
                    <w:rFonts w:eastAsia="Calibri"/>
                    <w:b/>
                    <w:szCs w:val="24"/>
                  </w:rPr>
                </w:pPr>
                <w:r>
                  <w:rPr>
                    <w:rFonts w:eastAsia="Calibri"/>
                    <w:b/>
                    <w:szCs w:val="24"/>
                  </w:rPr>
                  <w:t>Pagrindimas</w:t>
                </w:r>
              </w:p>
              <w:p w14:paraId="0D2BF02E" w14:textId="3BF8138B">
                <w:pPr>
                  <w:jc w:val="both"/>
                  <w:rPr>
                    <w:rFonts w:eastAsia="Calibri"/>
                    <w:b/>
                    <w:szCs w:val="24"/>
                  </w:rPr>
                </w:pPr>
                <w:r>
                  <w:rPr>
                    <w:rFonts w:eastAsia="Calibri"/>
                    <w:bCs/>
                    <w:i/>
                    <w:szCs w:val="24"/>
                  </w:rPr>
                  <w:t>(remdamiesi priemonių (kai finansavimo šaltinis EGADP) arba veiksmų (veiklų) (kai finansavimo šaltinis ESIFP) vertinimo klausimynais, nurodykite tik tą klausimyno vertinimo dalį, kuri aktuali finansuotinai veiklai)</w:t>
                </w:r>
              </w:p>
            </w:tc>
            <w:tc>
              <w:tcPr>
                <w:tcW w:w="5331" w:type="dxa"/>
              </w:tcPr>
              <w:p w14:paraId="69A9C3FD" w14:textId="77777777">
                <w:pPr>
                  <w:jc w:val="center"/>
                  <w:rPr>
                    <w:rFonts w:eastAsia="Calibri"/>
                    <w:i/>
                    <w:szCs w:val="24"/>
                  </w:rPr>
                </w:pPr>
                <w:r>
                  <w:rPr>
                    <w:rFonts w:eastAsia="Calibri"/>
                    <w:b/>
                    <w:szCs w:val="24"/>
                  </w:rPr>
                  <w:t>Pagrindimo dokumentai</w:t>
                </w:r>
              </w:p>
              <w:p w14:paraId="30D0B25A" w14:textId="7777777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14:paraId="44748C49" w14:textId="77777777">
            <w:tc>
              <w:tcPr>
                <w:tcW w:w="4885" w:type="dxa"/>
              </w:tcPr>
              <w:p w14:paraId="11C21930" w14:textId="77777777">
                <w:pPr>
                  <w:tabs>
                    <w:tab w:val="left" w:pos="289"/>
                  </w:tabs>
                  <w:ind w:firstLine="5"/>
                  <w:jc w:val="both"/>
                  <w:rPr>
                    <w:rFonts w:eastAsia="Calibri"/>
                    <w:szCs w:val="24"/>
                  </w:rPr>
                </w:pPr>
                <w:r>
                  <w:rPr>
                    <w:rFonts w:eastAsia="Calibri"/>
                    <w:szCs w:val="24"/>
                  </w:rPr>
                  <w:t>1.</w:t>
                  <w:tab/>
                  <w:t>Klimato kaitos švelninimas</w:t>
                </w:r>
              </w:p>
            </w:tc>
            <w:tc>
              <w:tcPr>
                <w:tcW w:w="4633" w:type="dxa"/>
              </w:tcPr>
              <w:p w14:paraId="62594C46" w14:textId="6C5F55E5">
                <w:pPr>
                  <w:jc w:val="both"/>
                  <w:rPr>
                    <w:rFonts w:eastAsia="Calibri"/>
                    <w:bCs/>
                    <w:iCs/>
                    <w:szCs w:val="24"/>
                  </w:rPr>
                </w:pPr>
                <w:r>
                  <w:rPr>
                    <w:rFonts w:eastAsia="Calibri"/>
                    <w:bCs/>
                    <w:iCs/>
                    <w:szCs w:val="24"/>
                  </w:rPr>
                  <w:t>Vertinama, kad planuojamos įgyvendinti veiklos –</w:t>
                </w:r>
                <w:r>
                  <w:rPr>
                    <w:rFonts w:eastAsia="Calibri"/>
                    <w:bCs/>
                    <w:szCs w:val="24"/>
                  </w:rPr>
                  <w:t xml:space="preserve"> asmens sveikatos priežiūros įstaigų modernizavimas (rangos darbai ir įrangos įsigijimas)</w:t>
                </w:r>
                <w:r>
                  <w:rPr>
                    <w:rFonts w:eastAsia="Calibri"/>
                    <w:bCs/>
                    <w:iCs/>
                    <w:szCs w:val="24"/>
                  </w:rPr>
                  <w:t xml:space="preserve"> –  prisideda prie klimato kaitos švelninimo tikslo. Atlikus asmens sveikatos priežiūros įstaigų statybos / pastatų rekonstrukcijos / remonto darbus bus padidintas pastatų energijos efektyvumas, užtikrintas atsinaujinančių energijos išteklių (AEI) naudojimas elektrai ir (ar) šildymui, kiek tai bus finansiškai racionalu atsižvelgiant į centralizuotų šilumos tiekimo (CŠT) sistemų pajėgumą ir prieinamumą. </w:t>
                </w:r>
              </w:p>
              <w:p w14:paraId="43CE2310" w14:textId="49D4A9C4">
                <w:pPr>
                  <w:jc w:val="both"/>
                  <w:rPr>
                    <w:rFonts w:eastAsia="Calibri"/>
                    <w:bCs/>
                    <w:iCs/>
                    <w:szCs w:val="24"/>
                  </w:rPr>
                </w:pPr>
                <w:r>
                  <w:rPr>
                    <w:rFonts w:eastAsia="Calibri"/>
                    <w:bCs/>
                    <w:iCs/>
                    <w:szCs w:val="24"/>
                  </w:rPr>
                  <w:t xml:space="preserve">Neplanuojama, kad veiklos gali turėti neigiamą poveikį klimato kaitos švelninimo tikslui, kadangi bus užtikrinta, kad kuriama infrastruktūra atitiktų Statybos techninio reglamento bei kitų teisės aktų reikalavimus, susijusius su </w:t>
                </w:r>
                <w:r>
                  <w:rPr>
                    <w:szCs w:val="24"/>
                  </w:rPr>
                  <w:t>šiltnamio efektą sukeliančių dujų (</w:t>
                </w:r>
                <w:r>
                  <w:rPr>
                    <w:rFonts w:eastAsia="Calibri"/>
                    <w:bCs/>
                    <w:iCs/>
                    <w:szCs w:val="24"/>
                  </w:rPr>
                  <w:t xml:space="preserve">ŠESD) emisija, ir atitiks beveik energijos nenaudojančių pastatų projektavimo, statybos ir eksploatacijos (angl. Nearly Zero Energy Building, NZEB) standartą naujai kuriamos infrastruktūros atveju arba  bus užtikrintas 2018 m. gegužės 30 d. Europos Parlamento ir Tarybos direktyvos (ES) 2018/844 reikalavimų, susijusių su energetiniu pastatų efektyvumu, laikymasis modernizuojamos infrastruktūros atveju.</w:t>
                </w:r>
              </w:p>
              <w:p w14:paraId="04A28E85" w14:textId="77777777">
                <w:pPr>
                  <w:jc w:val="both"/>
                  <w:rPr>
                    <w:rFonts w:eastAsia="Calibri"/>
                    <w:bCs/>
                    <w:iCs/>
                    <w:szCs w:val="24"/>
                  </w:rPr>
                </w:pPr>
                <w:r>
                  <w:rPr>
                    <w:rFonts w:eastAsia="Calibri"/>
                    <w:bCs/>
                    <w:iCs/>
                    <w:szCs w:val="24"/>
                  </w:rPr>
                  <w:t>Planuojama įsigyti įranga, priemonės privalės atitikti (tai bus numatoma atitinkamuose įrangos įsigijimo dokumentuose) efektyvumo, tvarumo, ilgaamžiškumo reikalavimus pagal Direktyvą 2009/125/EC ir Direktyvą 2011/65/EU.</w:t>
                </w:r>
              </w:p>
              <w:p w14:paraId="5E4CF138" w14:textId="47046AD3">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14:paraId="6AA103FB" w14:textId="77777777">
                <w:pPr>
                  <w:jc w:val="both"/>
                  <w:rPr>
                    <w:rFonts w:eastAsia="Calibri"/>
                    <w:bCs/>
                    <w:iCs/>
                    <w:szCs w:val="24"/>
                  </w:rPr>
                </w:pPr>
                <w:r>
                  <w:rPr>
                    <w:rFonts w:eastAsia="Calibri"/>
                    <w:bCs/>
                    <w:iCs/>
                    <w:szCs w:val="24"/>
                  </w:rPr>
                  <w:t xml:space="preserve">Pagrindžiantys dokumentai neteikiami. </w:t>
                </w:r>
              </w:p>
              <w:p w14:paraId="4D606986" w14:textId="1ABC195D">
                <w:pPr>
                  <w:jc w:val="both"/>
                  <w:rPr>
                    <w:rFonts w:eastAsia="Calibri"/>
                    <w:bCs/>
                    <w:iCs/>
                    <w:szCs w:val="24"/>
                  </w:rPr>
                </w:pPr>
                <w:r>
                  <w:rPr>
                    <w:rFonts w:eastAsia="Calibri"/>
                    <w:bCs/>
                    <w:iCs/>
                    <w:szCs w:val="24"/>
                  </w:rPr>
                  <w:t>Projektuose finansuojamos veiklos, susijusios su rangos darbais.</w:t>
                </w:r>
              </w:p>
              <w:p w14:paraId="364240C9" w14:textId="15616E97">
                <w:pPr>
                  <w:tabs>
                    <w:tab w:val="left" w:pos="802"/>
                  </w:tabs>
                  <w:jc w:val="both"/>
                  <w:rPr>
                    <w:bCs/>
                    <w:szCs w:val="24"/>
                  </w:rPr>
                </w:pPr>
                <w:r>
                  <w:rPr>
                    <w:rFonts w:eastAsia="Calibri"/>
                    <w:bCs/>
                    <w:iCs/>
                    <w:szCs w:val="24"/>
                  </w:rPr>
                  <w:t xml:space="preserve">Vykdant statybos rangos darbus turi būti vadovaujamasi Lietuvos Respublikos statybos įstatymu ir (ar) </w:t>
                </w:r>
                <w:r>
                  <w:rPr>
                    <w:color w:val="000000"/>
                    <w:szCs w:val="24"/>
                  </w:rPr>
                  <w:t>statybos techniniu reglamentu STR 2.01.02:2016 „Pastatų energinio naudingumo projektavimas ir sertifikavimas</w:t>
                </w:r>
                <w:r>
                  <w:rPr>
                    <w:rFonts w:eastAsia="Calibri"/>
                    <w:bCs/>
                    <w:iCs/>
                    <w:szCs w:val="24"/>
                  </w:rPr>
                  <w:t>“.</w:t>
                </w:r>
                <w:r>
                  <w:rPr>
                    <w:bCs/>
                    <w:szCs w:val="24"/>
                  </w:rPr>
                  <w:t xml:space="preserve"> </w:t>
                </w:r>
              </w:p>
              <w:p w14:paraId="74402DBB" w14:textId="31995592">
                <w:pPr>
                  <w:jc w:val="both"/>
                  <w:rPr>
                    <w:bCs/>
                    <w:szCs w:val="24"/>
                  </w:rPr>
                </w:pPr>
                <w:r>
                  <w:rPr>
                    <w:bCs/>
                    <w:szCs w:val="24"/>
                  </w:rPr>
                  <w:t xml:space="preserve">Atitiktis bus vertinama pagal PĮP nurodytą informaciją ir projektų įgyvendinimo metu pateikiamų pirkimo dokumentų informaciją, įvardinant planuojamą pasiekti energetinio efektyvumo klasę. </w:t>
                </w:r>
              </w:p>
              <w:p w14:paraId="5129A891" w14:textId="77777777">
                <w:pPr>
                  <w:tabs>
                    <w:tab w:val="left" w:pos="589"/>
                  </w:tabs>
                  <w:jc w:val="both"/>
                  <w:rPr>
                    <w:rFonts w:eastAsia="Calibri"/>
                    <w:bCs/>
                    <w:iCs/>
                    <w:szCs w:val="24"/>
                  </w:rPr>
                </w:pPr>
              </w:p>
              <w:p w14:paraId="35B0E66F" w14:textId="00893383">
                <w:pPr>
                  <w:tabs>
                    <w:tab w:val="left" w:pos="589"/>
                  </w:tabs>
                  <w:jc w:val="both"/>
                  <w:rPr>
                    <w:rFonts w:eastAsia="Calibri"/>
                    <w:iCs/>
                    <w:szCs w:val="24"/>
                  </w:rPr>
                </w:pPr>
              </w:p>
              <w:p w14:paraId="479274B7" w14:textId="77777777">
                <w:pPr>
                  <w:tabs>
                    <w:tab w:val="left" w:pos="589"/>
                  </w:tabs>
                  <w:jc w:val="both"/>
                  <w:rPr>
                    <w:rFonts w:eastAsia="Calibri"/>
                    <w:iCs/>
                    <w:szCs w:val="24"/>
                  </w:rPr>
                </w:pPr>
              </w:p>
              <w:p w14:paraId="48CEE6AE" w14:textId="4AB099A9">
                <w:pPr>
                  <w:tabs>
                    <w:tab w:val="left" w:pos="589"/>
                  </w:tabs>
                  <w:jc w:val="both"/>
                  <w:rPr>
                    <w:rFonts w:eastAsia="Calibri"/>
                    <w:i/>
                    <w:szCs w:val="24"/>
                  </w:rPr>
                </w:pPr>
              </w:p>
            </w:tc>
          </w:tr>
          <w:tr w14:paraId="75907E2D" w14:textId="77777777">
            <w:tc>
              <w:tcPr>
                <w:tcW w:w="4885" w:type="dxa"/>
              </w:tcPr>
              <w:p w14:paraId="463695A6" w14:textId="77777777">
                <w:pPr>
                  <w:tabs>
                    <w:tab w:val="left" w:pos="289"/>
                  </w:tabs>
                  <w:ind w:firstLine="5"/>
                  <w:jc w:val="both"/>
                  <w:rPr>
                    <w:rFonts w:eastAsia="Calibri"/>
                    <w:szCs w:val="24"/>
                  </w:rPr>
                </w:pPr>
                <w:r>
                  <w:rPr>
                    <w:rFonts w:eastAsia="Calibri"/>
                    <w:szCs w:val="24"/>
                  </w:rPr>
                  <w:t>2.</w:t>
                  <w:tab/>
                  <w:t>Prisitaikymas prie klimato kaitos</w:t>
                </w:r>
              </w:p>
            </w:tc>
            <w:tc>
              <w:tcPr>
                <w:tcW w:w="4633" w:type="dxa"/>
              </w:tcPr>
              <w:p w14:paraId="62C0D378" w14:textId="2CA785B9">
                <w:pPr>
                  <w:jc w:val="both"/>
                  <w:rPr>
                    <w:bCs/>
                    <w:szCs w:val="24"/>
                  </w:rPr>
                </w:pPr>
                <w:r>
                  <w:rPr>
                    <w:bCs/>
                    <w:szCs w:val="24"/>
                  </w:rPr>
                  <w:t>Vertinama, kad planuojamos įgyvendinti veiklos per visą gyvavimo ciklą</w:t>
                </w:r>
                <w:r>
                  <w:rPr>
                    <w:szCs w:val="24"/>
                  </w:rPr>
                  <w:t xml:space="preserve"> neturės neigiamos įtakos prisitaikymo prie klimato kaitos tikslui, nedidins neigiamo</w:t>
                  <w:br/>
                  <w:t>poveikio žmonėms, gamtai ar turtui rizikos</w:t>
                </w:r>
                <w:r>
                  <w:rPr>
                    <w:bCs/>
                    <w:szCs w:val="24"/>
                  </w:rPr>
                  <w:t xml:space="preserve">, kadangi modernizuojant asmens sveikatos priežiūros įstaigų infrastruktūrą (vykdant rangos darbus ir įsigyjant įrangą) numatoms  tik energetiškai efektyvios infrastruktūros kūrimas. Vykdant veiklas nebus </w:t>
                </w:r>
                <w:r>
                  <w:rPr>
                    <w:szCs w:val="24"/>
                  </w:rPr>
                  <w:t>sukuriamas turtas, kuriuo trukdoma pasiekti ilgalaikius aplinkos tikslus,</w:t>
                </w:r>
                <w:r>
                  <w:rPr>
                    <w:bCs/>
                    <w:szCs w:val="24"/>
                  </w:rPr>
                  <w:t xml:space="preserve"> bus laikomasi aplinkos apsaugą ir statybas reglamentuojančių teisės aktų. Numatoma atlikti planuojamos ūkinės veiklos poveikio aplinkai vertinimą, kaip tai numatyta Lietuvos Respublikos planuojamos ūkinės veiklos vertinimo įstatyme. Vykdant veiklas bus vadovaujamasi Statybos techniniu reglamentu, kuriame įtvirtinti ir aplinkos apsaugos reikalavimai, atsakomybės ir kontrolė. Tai užtikrins rizikos dėl neigiamo poveikio klimatui, žmonėms, gamtai ar turtui eliminavimą.</w:t>
                </w:r>
              </w:p>
              <w:p w14:paraId="3717E5EF" w14:textId="55594BDE">
                <w:pPr>
                  <w:jc w:val="both"/>
                  <w:rPr>
                    <w:rFonts w:eastAsia="Calibri"/>
                    <w:bCs/>
                    <w:szCs w:val="24"/>
                  </w:rPr>
                </w:pPr>
                <w:r>
                  <w:rPr>
                    <w:bCs/>
                    <w:szCs w:val="24"/>
                  </w:rPr>
                  <w:t>Taip pat nauja statyba nebus atliekama potvynių zonose, bus skatinama naudoti žaliąją infrastruktūrą – augmeniją ir kitus pastatų dizaino / apželdinimo sprendinius, kurie sumažintų energijos poreikius ir kt.</w:t>
                </w:r>
              </w:p>
            </w:tc>
            <w:tc>
              <w:tcPr>
                <w:tcW w:w="5331" w:type="dxa"/>
              </w:tcPr>
              <w:p w14:paraId="5DDBC04F" w14:textId="20507584">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49B8FD1A" w14:textId="4C25369A">
                <w:pPr>
                  <w:jc w:val="both"/>
                  <w:rPr>
                    <w:rFonts w:eastAsia="Calibri"/>
                    <w:bCs/>
                    <w:iCs/>
                    <w:szCs w:val="24"/>
                  </w:rPr>
                </w:pPr>
                <w:r>
                  <w:rPr>
                    <w:bCs/>
                    <w:szCs w:val="24"/>
                  </w:rPr>
                  <w:t>Teikiamas projektų finansavimo sąlygų aprašo 2.</w:t>
                </w:r>
                <w:r>
                  <w:rPr>
                    <w:bCs/>
                    <w:szCs w:val="24"/>
                    <w:lang w:val="en-US"/>
                  </w:rPr>
                  <w:t>10</w:t>
                </w:r>
                <w:r>
                  <w:rPr>
                    <w:bCs/>
                    <w:szCs w:val="24"/>
                  </w:rPr>
                  <w:t>.2. papunktyje numatytas priedas, jei yra pildomas.</w:t>
                </w:r>
              </w:p>
              <w:p w14:paraId="526D8A3D" w14:textId="77777777">
                <w:pPr>
                  <w:jc w:val="both"/>
                  <w:rPr>
                    <w:rFonts w:eastAsia="Calibri"/>
                    <w:bCs/>
                    <w:iCs/>
                    <w:szCs w:val="24"/>
                  </w:rPr>
                </w:pPr>
              </w:p>
              <w:p w14:paraId="2ADCD97E" w14:textId="77777777">
                <w:pPr>
                  <w:jc w:val="both"/>
                  <w:rPr>
                    <w:rFonts w:eastAsia="Calibri"/>
                    <w:b/>
                    <w:szCs w:val="24"/>
                  </w:rPr>
                </w:pPr>
              </w:p>
            </w:tc>
          </w:tr>
          <w:tr w14:paraId="011A951B" w14:textId="77777777">
            <w:tc>
              <w:tcPr>
                <w:tcW w:w="4885" w:type="dxa"/>
                <w:shd w:val="clear" w:color="auto" w:fill="auto"/>
              </w:tcPr>
              <w:p w14:paraId="43458885"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shd w:val="clear" w:color="auto" w:fill="auto"/>
              </w:tcPr>
              <w:p w14:paraId="7EECDEAF" w14:textId="31C1CA59">
                <w:pPr>
                  <w:jc w:val="both"/>
                  <w:rPr>
                    <w:rFonts w:eastAsia="Calibri"/>
                    <w:szCs w:val="24"/>
                  </w:rPr>
                </w:pPr>
                <w:r>
                  <w:rPr>
                    <w:rFonts w:eastAsia="Calibri"/>
                    <w:szCs w:val="24"/>
                  </w:rPr>
                  <w:t xml:space="preserve">Vertinama, kad planuojamos įgyvendinti veiklos </w:t>
                </w:r>
                <w:r>
                  <w:rPr>
                    <w:szCs w:val="24"/>
                  </w:rPr>
                  <w:t>neturės jokio neigiamo tiesioginio ar netiesioginio poveikio tausaus vandens ir jūrų išteklių naudojimo ir apsaugos tikslui, nes  neplanuojama statyti jokios infrastruktūros vandens telkinių apsaugos zonose ir neplanuojama kurti / modernizuoti infrastruktūros (asmens sveikatos priežiūros įstaigų patalpų) arti vandens telkinių, kas galėtų turėti neigiamą poveikį tausiam vandens ir jūrų išteklių naudojimui.</w:t>
                </w:r>
              </w:p>
              <w:p w14:paraId="41957F68" w14:textId="3730D45A">
                <w:pPr>
                  <w:jc w:val="both"/>
                  <w:rPr>
                    <w:rFonts w:eastAsia="Calibri"/>
                    <w:szCs w:val="24"/>
                  </w:rPr>
                </w:pPr>
                <w:r>
                  <w:rPr>
                    <w:rFonts w:eastAsia="Calibri"/>
                    <w:szCs w:val="24"/>
                  </w:rPr>
                  <w:t>Priemonė neturės neigiamos įtakos tausaus vandens ir jūrų išteklių naudojimo ir apsaugos tikslui, kadangi įrengiant naują vandens infrastruktūrą bus naudojami efektyvesni vandens prietaisai, atitinkantys naujausius ES efektyvumo standartus.</w:t>
                </w:r>
              </w:p>
              <w:p w14:paraId="1F458609" w14:textId="4BA0DEC6">
                <w:pPr>
                  <w:jc w:val="both"/>
                  <w:rPr>
                    <w:rFonts w:eastAsia="Calibri"/>
                    <w:szCs w:val="24"/>
                  </w:rPr>
                </w:pPr>
                <w:r>
                  <w:rPr>
                    <w:rFonts w:eastAsia="Calibri"/>
                    <w:szCs w:val="24"/>
                  </w:rPr>
                  <w:t xml:space="preserve">Įgyvendinant priemonę, bus užtikrintas 2018 m. gegužės 30 d. Europos Parlamento ir Tarybos direktyvos (ES) 2018/844 reikalavimų, susijusių su energetiniu pastatų efektyvumu, laikymasis (tai bus numatoma paslaugų įsigijimo ir kt.  dokumentuose), taip pat bus užtikinta atitiktis 2000 m. spalio 23 d. vandens politikos direktyvos </w:t>
                </w:r>
                <w:r>
                  <w:rPr>
                    <w:rFonts w:eastAsia="Calibri"/>
                    <w:color w:val="0563C1"/>
                    <w:szCs w:val="24"/>
                    <w:u w:val="single"/>
                  </w:rPr>
                  <w:t>2000/60/EB</w:t>
                </w:r>
                <w:r>
                  <w:rPr>
                    <w:rFonts w:eastAsia="Calibri"/>
                    <w:szCs w:val="24"/>
                  </w:rPr>
                  <w:t xml:space="preserve"> reikalavimams.</w:t>
                </w:r>
              </w:p>
              <w:p w14:paraId="1A08EAC9" w14:textId="2ACC17AB">
                <w:pPr>
                  <w:jc w:val="both"/>
                  <w:rPr>
                    <w:rFonts w:eastAsia="Calibri"/>
                    <w:szCs w:val="24"/>
                  </w:rPr>
                </w:pPr>
                <w:r>
                  <w:rPr>
                    <w:rFonts w:eastAsia="Calibri"/>
                    <w:szCs w:val="24"/>
                  </w:rPr>
                  <w:t>Taip pat, siekiant išvengti poveikio statybvietėje, nustatoma ir sprendžiama aplinkos degradacijos rizika, susijusi su vandens kokybės išsaugojimu ir vandens tausojimu. U</w:t>
                </w:r>
                <w:r>
                  <w:rPr>
                    <w:szCs w:val="24"/>
                  </w:rPr>
                  <w:t>žtikrinamas tinkamas</w:t>
                  <w:br/>
                  <w:t>komunalinių ir gamybinių nuotekų surinkimas, valymas ir išleidimas.</w:t>
                </w:r>
              </w:p>
              <w:p w14:paraId="5D93400A" w14:textId="0F830150">
                <w:pPr>
                  <w:jc w:val="both"/>
                  <w:rPr>
                    <w:rFonts w:eastAsia="Calibri"/>
                    <w:b/>
                    <w:szCs w:val="24"/>
                  </w:rPr>
                </w:pPr>
                <w:r>
                  <w:rPr>
                    <w:rFonts w:eastAsia="Calibri"/>
                    <w:bCs/>
                    <w:iCs/>
                    <w:szCs w:val="24"/>
                  </w:rPr>
                  <w:t>Projektų vykdytojai ir kiti dalyviai bei tarpininkai privalo laikytis pagrindimo skiltyje nurodytų teisės aktų reikalavimų.</w:t>
                </w:r>
              </w:p>
            </w:tc>
            <w:tc>
              <w:tcPr>
                <w:tcW w:w="5331" w:type="dxa"/>
              </w:tcPr>
              <w:p w14:paraId="750CA4C8" w14:textId="727C7E63">
                <w:pPr>
                  <w:jc w:val="both"/>
                  <w:rPr>
                    <w:rFonts w:eastAsia="Calibri"/>
                    <w:bCs/>
                    <w:szCs w:val="24"/>
                  </w:rPr>
                </w:pPr>
                <w:r>
                  <w:rPr>
                    <w:rFonts w:eastAsia="Calibri"/>
                    <w:iCs/>
                    <w:szCs w:val="24"/>
                  </w:rPr>
                  <w:t>Netaikoma, nes įgyvendinant šią veiklą neplanuojama statyti jokios infrastruktūros vandens telkinių apsaugos zonose arba arti vandens telkinių, kas galėtų turėti neigiamą poveikį tausiam vandens ir jūrų išteklių naudojimui.</w:t>
                </w:r>
              </w:p>
            </w:tc>
          </w:tr>
          <w:tr w14:paraId="3D51592F" w14:textId="77777777">
            <w:tc>
              <w:tcPr>
                <w:tcW w:w="4885" w:type="dxa"/>
              </w:tcPr>
              <w:p w14:paraId="73D6D771"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14:paraId="7D76C1AD" w14:textId="2D0995CD">
                <w:pPr>
                  <w:jc w:val="both"/>
                  <w:rPr>
                    <w:rFonts w:eastAsia="Calibri"/>
                    <w:bCs/>
                    <w:szCs w:val="24"/>
                  </w:rPr>
                </w:pPr>
                <w:r>
                  <w:rPr>
                    <w:rFonts w:eastAsia="Calibri"/>
                    <w:bCs/>
                    <w:szCs w:val="24"/>
                  </w:rPr>
                  <w:t>Vertinama, kad planuojamos įgyvendinti veiklos (asmens sveikatos priežiūros įstaigų modernizavimas (rangos darbai ir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N</w:t>
                </w:r>
                <w:r>
                  <w:rPr>
                    <w:bCs/>
                    <w:szCs w:val="24"/>
                  </w:rPr>
                  <w:t>umatyta aiški susidarančių atliekų tvarkymo ir šalinimo tvarka.</w:t>
                </w:r>
                <w:r>
                  <w:rPr>
                    <w:rFonts w:eastAsia="Calibri"/>
                    <w:bCs/>
                    <w:szCs w:val="24"/>
                  </w:rPr>
                  <w:t xml:space="preserve"> </w:t>
                </w:r>
              </w:p>
              <w:p w14:paraId="57735D6D" w14:textId="6E8FD885">
                <w:pPr>
                  <w:tabs>
                    <w:tab w:val="left" w:pos="600"/>
                  </w:tabs>
                  <w:jc w:val="both"/>
                  <w:rPr>
                    <w:rFonts w:eastAsia="Calibri"/>
                    <w:bCs/>
                    <w:szCs w:val="24"/>
                  </w:rPr>
                </w:pPr>
                <w:r>
                  <w:rPr>
                    <w:rFonts w:eastAsia="Calibri"/>
                    <w:bCs/>
                    <w:szCs w:val="24"/>
                  </w:rPr>
                  <w:t xml:space="preserve">Bus užtikrinta, kad mažiausiai 70 % (pagal svorį) nepavojingų statybinių ir griovimo atliekų (išskyrus natūraliai atsirandančias medžiagas, nurodytas Europos sąrašo 17 05 04 kategorijoje) 2000/532 / EB), statybvietėje susidarančios atliekos turėtų būti parengtos pakartotiniam naudojimui, perdirbimui ir kitoms medžiagų panaudojimo galimybėms, įskaitant užpildymo operacijas, naudojant atliekas kitoms medžiagoms pakeisti, laikantis atliekų hierarchijos ir ES statybos ir griovimo atliekų tvarkymo protokolo. </w:t>
                </w:r>
              </w:p>
              <w:p w14:paraId="49967896" w14:textId="3455DD62">
                <w:pPr>
                  <w:tabs>
                    <w:tab w:val="left" w:pos="600"/>
                  </w:tabs>
                  <w:jc w:val="both"/>
                  <w:rPr>
                    <w:rFonts w:eastAsia="Calibri"/>
                    <w:bCs/>
                    <w:szCs w:val="24"/>
                  </w:rPr>
                </w:pPr>
                <w:r>
                  <w:rPr>
                    <w:rFonts w:eastAsia="Calibri"/>
                    <w:bCs/>
                    <w:szCs w:val="24"/>
                  </w:rPr>
                  <w:t>Be to, operatoriai bus įpareigoti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 Statybinės atliekos Atliekų tvarkymo įstatymo ir kitų teisės aktų nustatyta tvarka bus perduodamos atliekų tvarkytojams, turintiems teisę tvarkyti tokias atliekas. Statybinių atliekų tvarkymo taisyklės nustato,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Tvarkant atliekas bus vadovaujamasi Europos Sąjungoje geriausiais prieinamais gamybos būdais (GPGB) atliekoms apdoroti.</w:t>
                </w:r>
              </w:p>
              <w:p w14:paraId="2C9CE5AA" w14:textId="77777777">
                <w:pPr>
                  <w:jc w:val="both"/>
                  <w:rPr>
                    <w:rFonts w:eastAsia="Calibri"/>
                    <w:bCs/>
                    <w:szCs w:val="24"/>
                  </w:rPr>
                </w:pPr>
                <w:r>
                  <w:rPr>
                    <w:rFonts w:eastAsia="Calibri"/>
                    <w:bCs/>
                    <w:szCs w:val="24"/>
                  </w:rPr>
                  <w:t xml:space="preserve">Taip pat numatoma naudoti ir kokybiškai perdirbti selektyviai pašalinant medžiagas, naudojant turimas statybinių ir griovimo atliekų rūšiavimo sistemas. </w:t>
                </w:r>
              </w:p>
              <w:p w14:paraId="1A237610" w14:textId="63C49A6F">
                <w:pPr>
                  <w:jc w:val="both"/>
                  <w:rPr>
                    <w:rFonts w:eastAsia="Calibri"/>
                    <w:bCs/>
                    <w:szCs w:val="24"/>
                  </w:rPr>
                </w:pPr>
                <w:r>
                  <w:rPr>
                    <w:rFonts w:eastAsia="Calibri"/>
                    <w:bCs/>
                    <w:szCs w:val="24"/>
                  </w:rPr>
                  <w:t xml:space="preserve">Pastatų projektai ir statybos metodai turės būti  paremti efektyvia analize atsižvelgiant į ISO 20887. Taip pat bus skatinama naudoti pakartotinai panaudojamas medžiagas.</w:t>
                </w:r>
              </w:p>
              <w:p w14:paraId="5D750C57" w14:textId="77777777">
                <w:pPr>
                  <w:jc w:val="both"/>
                  <w:rPr>
                    <w:rFonts w:eastAsia="Calibri"/>
                    <w:bCs/>
                    <w:szCs w:val="24"/>
                  </w:rPr>
                </w:pPr>
                <w:r>
                  <w:rPr>
                    <w:rFonts w:eastAsia="Calibri"/>
                    <w:bCs/>
                    <w:szCs w:val="24"/>
                  </w:rPr>
                  <w:t>Statybvietėje pildomas atliekų apskaitos žurnalas, vedama susidariusių ir perduotų tvarkyti statybinių atliekų apskaita, nurodomas jų kiekis, teikiamos atliekų apskaitos ataskaitos.</w:t>
                </w:r>
              </w:p>
              <w:p w14:paraId="6E675F36" w14:textId="6E8373B5">
                <w:pPr>
                  <w:jc w:val="both"/>
                  <w:rPr>
                    <w:rFonts w:eastAsia="Calibri"/>
                    <w:bCs/>
                    <w:szCs w:val="24"/>
                  </w:rPr>
                </w:pPr>
                <w:r>
                  <w:rPr>
                    <w:rFonts w:eastAsia="Calibri"/>
                    <w:bCs/>
                    <w:szCs w:val="24"/>
                  </w:rPr>
                  <w:t xml:space="preserve">Planuojama įsigyti įranga ir priemonės  privalės atitikti (tai bus numatoma atitinkamuose įrangos įsigijimo dokumentuose) efektyvumo, tvarumo, ilgaamžiškumo reikalavimus pagal Direktyvą 2009/125/EC ir Direktyvą 2011/65/EU.</w:t>
                </w:r>
              </w:p>
              <w:p w14:paraId="58EC68E1" w14:textId="6318F4C5">
                <w:pPr>
                  <w:jc w:val="both"/>
                  <w:rPr>
                    <w:rFonts w:eastAsia="Calibri"/>
                    <w:bCs/>
                    <w:szCs w:val="24"/>
                  </w:rPr>
                </w:pPr>
              </w:p>
              <w:p w14:paraId="1413F175" w14:textId="2FD619AE">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14:paraId="35A69F15" w14:textId="55742B8C">
                <w:pPr>
                  <w:jc w:val="both"/>
                  <w:rPr>
                    <w:rFonts w:eastAsia="Calibri"/>
                    <w:bCs/>
                    <w:iCs/>
                    <w:szCs w:val="24"/>
                  </w:rPr>
                </w:pPr>
                <w:r>
                  <w:rPr>
                    <w:rFonts w:eastAsia="Calibri"/>
                    <w:bCs/>
                    <w:iCs/>
                    <w:szCs w:val="24"/>
                  </w:rPr>
                  <w:t>Pagrindžiantys dokumentai neteikiami.</w:t>
                </w:r>
              </w:p>
              <w:p w14:paraId="28EF4338" w14:textId="77777777">
                <w:pPr>
                  <w:jc w:val="both"/>
                  <w:rPr>
                    <w:rFonts w:eastAsia="Calibri"/>
                    <w:bCs/>
                    <w:iCs/>
                    <w:szCs w:val="24"/>
                  </w:rPr>
                </w:pPr>
                <w:r>
                  <w:rPr>
                    <w:rFonts w:eastAsia="Calibri"/>
                    <w:bCs/>
                    <w:iCs/>
                    <w:szCs w:val="24"/>
                  </w:rPr>
                  <w:t>Projektuose finansuojamos veiklos, susijusios su rangos darbais.</w:t>
                </w:r>
              </w:p>
              <w:p w14:paraId="00B51BFC" w14:textId="30E86BB7">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14:paraId="6381910A" w14:textId="4E25D116">
                <w:pPr>
                  <w:jc w:val="both"/>
                  <w:rPr>
                    <w:bCs/>
                    <w:szCs w:val="24"/>
                  </w:rPr>
                </w:pPr>
                <w:r>
                  <w:rPr>
                    <w:bCs/>
                    <w:szCs w:val="24"/>
                  </w:rPr>
                  <w:t>Atitiktis bus vertinama pagal PĮP nurodytą informaciją ir projektų įgyvendinimo metu pateikiamų pirkimo dokumentų informaciją.</w:t>
                </w:r>
              </w:p>
              <w:p w14:paraId="5C22C7A1" w14:textId="77777777">
                <w:pPr>
                  <w:jc w:val="both"/>
                  <w:rPr>
                    <w:rFonts w:eastAsia="Calibri"/>
                    <w:szCs w:val="24"/>
                  </w:rPr>
                </w:pPr>
              </w:p>
            </w:tc>
          </w:tr>
          <w:tr w14:paraId="739764E0" w14:textId="77777777">
            <w:tc>
              <w:tcPr>
                <w:tcW w:w="4885" w:type="dxa"/>
              </w:tcPr>
              <w:p w14:paraId="74D736EA"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14:paraId="707F6F27" w14:textId="390612FD">
                <w:pPr>
                  <w:jc w:val="both"/>
                  <w:rPr>
                    <w:rFonts w:eastAsia="Calibri"/>
                    <w:szCs w:val="24"/>
                  </w:rPr>
                </w:pPr>
                <w:r>
                  <w:rPr>
                    <w:rFonts w:eastAsia="Calibri"/>
                    <w:szCs w:val="24"/>
                  </w:rPr>
                  <w:t>Vertinama, kad planuojamos įgyvendinti veiklos (</w:t>
                </w:r>
                <w:r>
                  <w:rPr>
                    <w:rFonts w:eastAsia="Calibri"/>
                    <w:bCs/>
                    <w:szCs w:val="24"/>
                  </w:rPr>
                  <w:t>asmens sveikatos priežiūros įstaigų modernizavimas (rangos darbai ir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v</w:t>
                </w:r>
                <w:r>
                  <w:rPr>
                    <w:szCs w:val="24"/>
                  </w:rPr>
                  <w:t>ykdomi rangos darbai ir įsigyjama įranga privalės atitikti visus aukščiausius kokybės reikalavimus.</w:t>
                </w:r>
              </w:p>
              <w:p w14:paraId="63D81C9C" w14:textId="391338D8">
                <w:pPr>
                  <w:jc w:val="both"/>
                  <w:rPr>
                    <w:rFonts w:eastAsia="Calibri"/>
                    <w:szCs w:val="24"/>
                  </w:rPr>
                </w:pPr>
                <w:r>
                  <w:rPr>
                    <w:rFonts w:eastAsia="Calibri"/>
                    <w:szCs w:val="24"/>
                  </w:rPr>
                  <w:t xml:space="preserve">Statybose naudojamose statybinėse dalyse ir medžiagose nėra asbesto ir labai didelį susirūpinimą keliančių medžiagų, nustatytų remiantis medžiagų, kurioms reikalingas leidimas, sąrašu, nurodytu Europos Parlamento ir Tarybos reglamento </w:t>
                </w:r>
                <w:r>
                  <w:rPr>
                    <w:rFonts w:eastAsia="Calibri"/>
                    <w:color w:val="0563C1"/>
                    <w:szCs w:val="24"/>
                    <w:u w:val="single"/>
                  </w:rPr>
                  <w:t>(EB) Nr. 1907/2006</w:t>
                </w:r>
                <w:r>
                  <w:rPr>
                    <w:rFonts w:eastAsia="Calibri"/>
                    <w:szCs w:val="24"/>
                  </w:rPr>
                  <w:t xml:space="preserve"> XIV priede.</w:t>
                </w:r>
              </w:p>
              <w:p w14:paraId="74CE66CF" w14:textId="31789481">
                <w:pPr>
                  <w:jc w:val="both"/>
                  <w:rPr>
                    <w:rFonts w:eastAsia="Calibri"/>
                    <w:szCs w:val="24"/>
                  </w:rPr>
                </w:pPr>
                <w:r>
                  <w:rPr>
                    <w:rFonts w:eastAsia="Calibri"/>
                    <w:szCs w:val="24"/>
                  </w:rPr>
                  <w:t>Statyboje naudojami komponentai ir medžiagos, galinčios liestis su gyventojais, išskiria mažiau nei 0,06 mg formaldehido 1 m³ medžiagos ar komponento ir mažiau kaip 0,001 mg 1A ir 1B kategorijos kancerogeninių lakiųjų organinių junginių 1 m³ medžiagos arba komponento, atlikus bandymus pagal CEN / TS 16516 ir ISO 16000-3 arba kitas panašias standartizuotas bandymo sąlygas ir nustatymo metodus.</w:t>
                </w:r>
              </w:p>
              <w:p w14:paraId="7F629CD9" w14:textId="1263E4BB">
                <w:pPr>
                  <w:jc w:val="both"/>
                  <w:rPr>
                    <w:rFonts w:eastAsia="Calibri"/>
                    <w:b/>
                    <w:szCs w:val="24"/>
                  </w:rPr>
                </w:pPr>
                <w:r>
                  <w:rPr>
                    <w:rFonts w:eastAsia="Calibri"/>
                    <w:szCs w:val="24"/>
                  </w:rPr>
                  <w:t>Imamasi priemonių triukšmui, dulkėms ir teršalams sumažinti vykdant statybos ar priežiūros darbus.</w:t>
                </w:r>
              </w:p>
            </w:tc>
            <w:tc>
              <w:tcPr>
                <w:tcW w:w="5331" w:type="dxa"/>
              </w:tcPr>
              <w:p w14:paraId="1C4BA4C8" w14:textId="7365EC80">
                <w:pPr>
                  <w:jc w:val="both"/>
                  <w:rPr>
                    <w:rFonts w:eastAsia="Calibri"/>
                    <w:bCs/>
                    <w:iCs/>
                    <w:szCs w:val="24"/>
                  </w:rPr>
                </w:pPr>
                <w:r>
                  <w:rPr>
                    <w:rFonts w:eastAsia="Calibri"/>
                    <w:bCs/>
                    <w:iCs/>
                    <w:szCs w:val="24"/>
                  </w:rPr>
                  <w:t xml:space="preserve">Netaikoma, kadangi nenumatoma, kad įgyvendinant projektų veiklas susidarytų ženkli oro, vandens ir dirvožemio tarša, nes modernizuojant įstaigas bus naudojamos statybos teisės aktuose leistinos medžiagos, atitinkančios aplinkos apsaugos reikalavimus. </w:t>
                </w:r>
              </w:p>
              <w:p w14:paraId="5904E5E7" w14:textId="5729FD31">
                <w:pPr>
                  <w:jc w:val="both"/>
                  <w:rPr>
                    <w:rFonts w:eastAsia="Calibri"/>
                    <w:bCs/>
                    <w:iCs/>
                    <w:szCs w:val="24"/>
                  </w:rPr>
                </w:pPr>
              </w:p>
              <w:p w14:paraId="05283C21" w14:textId="77777777">
                <w:pPr>
                  <w:jc w:val="both"/>
                  <w:rPr>
                    <w:rFonts w:eastAsia="Calibri"/>
                    <w:szCs w:val="24"/>
                  </w:rPr>
                </w:pPr>
              </w:p>
            </w:tc>
          </w:tr>
          <w:tr w14:paraId="02FE4FA6" w14:textId="77777777">
            <w:tc>
              <w:tcPr>
                <w:tcW w:w="4885" w:type="dxa"/>
              </w:tcPr>
              <w:p w14:paraId="1205C9A2"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14:paraId="7E5C3C61" w14:textId="1D4A9ECC">
                <w:pPr>
                  <w:jc w:val="both"/>
                  <w:rPr>
                    <w:rFonts w:eastAsia="Calibri"/>
                    <w:bCs/>
                    <w:szCs w:val="24"/>
                  </w:rPr>
                </w:pPr>
                <w:r>
                  <w:rPr>
                    <w:rFonts w:eastAsia="Calibri"/>
                    <w:bCs/>
                    <w:szCs w:val="24"/>
                  </w:rPr>
                  <w:t xml:space="preserve">Vertinama, kad planuojamos veiklos (asmens sveikatos priežiūros įstaigų modernizavimas (rangos darbai ir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303FAF84" w14:textId="52BAA8D0">
                <w:pPr>
                  <w:jc w:val="both"/>
                  <w:rPr>
                    <w:rFonts w:eastAsia="Calibri"/>
                    <w:bCs/>
                    <w:szCs w:val="24"/>
                  </w:rPr>
                </w:pPr>
                <w:r>
                  <w:rPr>
                    <w:szCs w:val="24"/>
                  </w:rPr>
                  <w:t>Veiklos planuojamos šalies miestuose jau įrengtose infrastruktūrose, asmens sveikatos priežiūros įstaigų teritorijose, todėl reikšminga įtaka biologinei įvairovei ar ekosistemoms nebūtų padaryta.</w:t>
                </w:r>
              </w:p>
              <w:p w14:paraId="031500D4" w14:textId="665787DF">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infrastruktūrą Natura 2000, UNESCO pasaulinio paveldo ar kitose saugomose teritorijose.</w:t>
                </w:r>
              </w:p>
            </w:tc>
            <w:tc>
              <w:tcPr>
                <w:tcW w:w="5331" w:type="dxa"/>
              </w:tcPr>
              <w:p w14:paraId="4267BAED" w14:textId="579FE658">
                <w:pPr>
                  <w:jc w:val="both"/>
                  <w:rPr>
                    <w:rFonts w:eastAsia="Calibri"/>
                    <w:szCs w:val="24"/>
                  </w:rPr>
                </w:pPr>
                <w:r>
                  <w:rPr>
                    <w:rFonts w:eastAsia="Calibri"/>
                    <w:bCs/>
                    <w:iCs/>
                    <w:szCs w:val="24"/>
                  </w:rPr>
                  <w:t>Netaikoma,</w:t>
                </w:r>
                <w:r>
                  <w:rPr>
                    <w:rFonts w:eastAsia="Calibri"/>
                    <w:bCs/>
                    <w:szCs w:val="24"/>
                  </w:rPr>
                  <w:t xml:space="preserve"> nes nenumatoma kurti ar modernizuoti infrastruktūros Natura 2000, UNESCO pasaulinio paveldo ar kitose saugomose teritorijose</w:t>
                </w:r>
                <w:r>
                  <w:rPr>
                    <w:rFonts w:eastAsia="Calibri"/>
                    <w:bCs/>
                    <w:iCs/>
                    <w:szCs w:val="24"/>
                  </w:rPr>
                  <w:t>.</w:t>
                </w:r>
              </w:p>
              <w:p w14:paraId="57CD889A" w14:textId="77777777">
                <w:pPr>
                  <w:jc w:val="both"/>
                  <w:rPr>
                    <w:rFonts w:eastAsia="Calibri"/>
                    <w:szCs w:val="24"/>
                  </w:rPr>
                </w:pPr>
              </w:p>
            </w:tc>
          </w:tr>
        </w:tbl>
        <w:p w14:paraId="7142334C" w14:textId="77777777">
          <w:pPr>
            <w:rPr>
              <w:szCs w:val="24"/>
            </w:rPr>
          </w:pPr>
        </w:p>
        <w:sdt>
          <w:sdtPr>
            <w:alias w:val="pabaiga"/>
            <w:tag w:val="part_6149e931a1534842813b54ce824a9548"/>
            <w:lock w:val="sdtLocked"/>
            <w:richText/>
          </w:sdtPr>
          <w:sdtContent>
            <w:p w14:paraId="13B6D9F5" w14:textId="77777777">
              <w:pPr>
                <w:spacing w:line="276" w:lineRule="auto"/>
                <w:jc w:val="center"/>
                <w:rPr>
                  <w:szCs w:val="24"/>
                  <w:u w:val="single"/>
                </w:rPr>
              </w:pPr>
              <w:r>
                <w:rPr>
                  <w:rFonts w:eastAsia="Calibri"/>
                  <w:szCs w:val="24"/>
                  <w:u w:val="single"/>
                </w:rPr>
                <w:t>________________</w:t>
              </w:r>
            </w:p>
          </w:sdtContent>
        </w:sdt>
      </w:sdtContent>
    </w:sdt>
    <w:sectPr>
      <w:headerReference w:type="even" r:id="rId14"/>
      <w:headerReference w:type="default" r:id="rId15"/>
      <w:footerReference w:type="even" r:id="rId16"/>
      <w:footerReference w:type="default" r:id="rId17"/>
      <w:headerReference w:type="first" r:id="rId18"/>
      <w:footerReference w:type="first" r:id="rId19"/>
      <w:pgSz w:w="16838" w:h="11906" w:orient="landscape"/>
      <w:pgMar w:top="709"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923E84" w14:textId="77777777">
      <w:pPr>
        <w:rPr>
          <w:sz w:val="22"/>
          <w:szCs w:val="22"/>
        </w:rPr>
      </w:pPr>
      <w:r>
        <w:rPr>
          <w:sz w:val="22"/>
          <w:szCs w:val="22"/>
        </w:rPr>
        <w:separator/>
      </w:r>
    </w:p>
  </w:endnote>
  <w:endnote w:type="continuationSeparator" w:id="0">
    <w:p w14:paraId="28D74224" w14:textId="77777777">
      <w:pPr>
        <w:rPr>
          <w:sz w:val="22"/>
          <w:szCs w:val="22"/>
        </w:rPr>
      </w:pPr>
      <w:r>
        <w:rPr>
          <w:sz w:val="22"/>
          <w:szCs w:val="22"/>
        </w:rPr>
        <w:continuationSeparator/>
      </w:r>
    </w:p>
  </w:endnote>
  <w:endnote w:type="continuationNotice" w:id="1">
    <w:p w14:paraId="5C1B5695"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EC405"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7EAC5"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67C96"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1AE498" w14:textId="77777777">
      <w:pPr>
        <w:rPr>
          <w:sz w:val="22"/>
          <w:szCs w:val="22"/>
        </w:rPr>
      </w:pPr>
      <w:r>
        <w:rPr>
          <w:sz w:val="22"/>
          <w:szCs w:val="22"/>
        </w:rPr>
        <w:separator/>
      </w:r>
    </w:p>
  </w:footnote>
  <w:footnote w:type="continuationSeparator" w:id="0">
    <w:p w14:paraId="65A2A5C7" w14:textId="77777777">
      <w:pPr>
        <w:rPr>
          <w:sz w:val="22"/>
          <w:szCs w:val="22"/>
        </w:rPr>
      </w:pPr>
      <w:r>
        <w:rPr>
          <w:sz w:val="22"/>
          <w:szCs w:val="22"/>
        </w:rPr>
        <w:continuationSeparator/>
      </w:r>
    </w:p>
  </w:footnote>
  <w:footnote w:type="continuationNotice" w:id="1">
    <w:p w14:paraId="4C765DD0" w14:textId="77777777">
      <w:pPr>
        <w:rPr>
          <w:sz w:val="22"/>
          <w:szCs w:val="22"/>
        </w:rPr>
      </w:pP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42D96"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CC2863" w14:textId="1E68BF2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1B36154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2393E6"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BB918"/>
  <w15:docId w15:val="{22EED3BE-9DA6-4008-BED2-763A63A662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35125243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6.1" Abbr="6.1 pr." Title="PROJEKTO ATITIKTIES REIKŠMINGOS ŽALOS NEDARYMO HORIZONTALIAJAM PRINCIPUI VERTINIMO REIKALAVIMŲ APRAŠAS" DocPartId="15c7834d73a64e9894d20b4398626360" PartId="f29c3507b6a647cc805becdea898800e">
    <Part Type="pabaiga" DocPartId="75ba632eed9a449aadd1aca71d83e4ef" PartId="6149e931a1534842813b54ce824a9548"/>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9B0BA148-24A7-49C0-8981-10A3C36BF7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EB4FC18F-FC7A-4D97-B338-655D6F0862BF}">
  <ds:schemaRefs>
    <ds:schemaRef ds:uri="http://schemas.openxmlformats.org/officeDocument/2006/bibliography"/>
  </ds:schemaRefs>
</ds:datastoreItem>
</file>

<file path=customXml/itemProps5.xml><?xml version="1.0" encoding="utf-8"?>
<ds:datastoreItem xmlns:ds="http://schemas.openxmlformats.org/officeDocument/2006/customXml" ds:itemID="{8105565B-80C9-4F0D-BEC6-6DBCFA6C2F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1618</Words>
  <Characters>11884</Characters>
  <Application>Microsoft Office Word</Application>
  <DocSecurity>4</DocSecurity>
  <Lines>360</Lines>
  <Paragraphs>68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PFSA Nr. 3_1 Priedas_Reikšmingos žalos nedarymo aprašas_švarus</vt:lpstr>
      <vt:lpstr>PFSA Nr. 3_1 Priedas_Reikšmingos žalos nedarymo aprašas_švarus</vt:lpstr>
    </vt:vector>
  </TitlesOfParts>
  <Company>HP Inc.</Company>
  <LinksUpToDate>false</LinksUpToDate>
  <CharactersWithSpaces>13434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2022-12-23T06:02:00Z</dcterms:created>
  <dc:creator>Virginija Levinskienė</dc:creator>
  <lastModifiedBy>adlibuser</lastModifiedBy>
  <dcterms:modified xsi:type="dcterms:W3CDTF">2022-12-23T06:02:00Z</dcterms:modified>
  <revision>2</revision>
  <dc:title>PFSA Nr. 3_1 Priedas_Reikšmingos žalos nedarymo aprašas_švarus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