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57acc29790a4754960bc79a300f0670"/>
        <w:lock w:val="sdtLocked"/>
        <w:richText/>
      </w:sdtPr>
      <w:sdtContent>
        <w:p w14:paraId="41EB2E06" w14:textId="77777777">
          <w:pPr>
            <w:tabs>
              <w:tab w:val="center" w:pos="4986"/>
              <w:tab w:val="right" w:pos="9972"/>
            </w:tabs>
          </w:pPr>
        </w:p>
        <w:p w14:paraId="142B9C4A" w14:textId="77777777">
          <w:pPr>
            <w:jc w:val="center"/>
            <w:rPr>
              <w:b/>
              <w:color w:val="000000"/>
              <w:szCs w:val="24"/>
            </w:rPr>
          </w:pPr>
          <w:r>
            <w:rPr>
              <w:b/>
              <w:bCs/>
              <w:color w:val="000000"/>
              <w:szCs w:val="24"/>
            </w:rPr>
            <w:t>MARIJAMPOLĖS</w:t>
          </w:r>
          <w:r>
            <w:rPr>
              <w:color w:val="000000"/>
              <w:szCs w:val="24"/>
            </w:rPr>
            <w:t xml:space="preserve"> </w:t>
          </w:r>
          <w:r>
            <w:rPr>
              <w:b/>
              <w:color w:val="000000"/>
              <w:szCs w:val="24"/>
            </w:rPr>
            <w:t>REGIONO PLĖTROS PLANO</w:t>
          </w:r>
        </w:p>
        <w:p w14:paraId="68176FC3" w14:textId="5588A8D2">
          <w:pPr>
            <w:jc w:val="center"/>
            <w:rPr>
              <w:b/>
              <w:bCs/>
              <w:i/>
              <w:color w:val="000000"/>
              <w:szCs w:val="24"/>
              <w:lang w:eastAsia="lt-LT"/>
            </w:rPr>
          </w:pPr>
          <w:r>
            <w:rPr>
              <w:b/>
              <w:color w:val="000000"/>
              <w:szCs w:val="24"/>
            </w:rPr>
            <w:t>PAŽANGOS PRIEMONĖS NR. LT024-01-03-01</w:t>
          </w:r>
        </w:p>
        <w:p w14:paraId="66278479" w14:textId="77777777">
          <w:pPr>
            <w:jc w:val="center"/>
            <w:rPr>
              <w:b/>
              <w:bCs/>
              <w:color w:val="000000"/>
              <w:szCs w:val="24"/>
            </w:rPr>
          </w:pPr>
          <w:r>
            <w:rPr>
              <w:b/>
              <w:bCs/>
              <w:color w:val="000000"/>
              <w:szCs w:val="24"/>
            </w:rPr>
            <w:t xml:space="preserve">„ŠVIETIMO PASLAUGŲ PRIEINAMUMO IR KOKYBĖS GERINIMAS </w:t>
          </w:r>
        </w:p>
        <w:p w14:paraId="151200BC" w14:textId="77777777">
          <w:pPr>
            <w:jc w:val="center"/>
            <w:rPr>
              <w:b/>
              <w:bCs/>
              <w:color w:val="000000"/>
              <w:szCs w:val="24"/>
            </w:rPr>
          </w:pPr>
          <w:r>
            <w:rPr>
              <w:b/>
              <w:bCs/>
              <w:color w:val="000000"/>
              <w:szCs w:val="24"/>
            </w:rPr>
            <w:t>MARIJAMPOLĖS REGIONE“</w:t>
          </w:r>
        </w:p>
        <w:p w14:paraId="6EB2D98D" w14:textId="77777777">
          <w:pPr>
            <w:jc w:val="center"/>
            <w:rPr>
              <w:b/>
              <w:szCs w:val="24"/>
            </w:rPr>
          </w:pPr>
          <w:r>
            <w:rPr>
              <w:b/>
              <w:color w:val="000000"/>
              <w:szCs w:val="24"/>
            </w:rPr>
            <w:t>PAGRINDIMO APRAŠAS</w:t>
          </w:r>
        </w:p>
        <w:p w14:paraId="5E50EB56" w14:textId="77777777">
          <w:pPr>
            <w:jc w:val="center"/>
            <w:rPr>
              <w:szCs w:val="24"/>
            </w:rPr>
          </w:pPr>
        </w:p>
        <w:tbl>
          <w:tblPr>
            <w:tblW w:w="0" w:type="auto"/>
            <w:jc w:val="center"/>
            <w:tblLook w:val="04A0" w:firstRow="1" w:lastRow="0" w:firstColumn="1" w:lastColumn="0" w:noHBand="0" w:noVBand="1"/>
          </w:tblPr>
          <w:tblGrid>
            <w:gridCol w:w="1413"/>
            <w:gridCol w:w="567"/>
            <w:gridCol w:w="1442"/>
          </w:tblGrid>
          <w:tr w14:paraId="1E032648" w14:textId="77777777">
            <w:trPr>
              <w:trHeight w:val="254"/>
              <w:jc w:val="center"/>
            </w:trPr>
            <w:tc>
              <w:tcPr>
                <w:tcW w:w="1413" w:type="dxa"/>
                <w:tcBorders>
                  <w:bottom w:val="single" w:sz="4" w:space="0" w:color="auto"/>
                </w:tcBorders>
              </w:tcPr>
              <w:p w14:paraId="6161187C" w14:textId="1C9BB7CF">
                <w:pPr>
                  <w:jc w:val="center"/>
                  <w:rPr>
                    <w:szCs w:val="24"/>
                  </w:rPr>
                </w:pPr>
                <w:r>
                  <w:rPr>
                    <w:szCs w:val="24"/>
                  </w:rPr>
                  <w:t>2023-01-31</w:t>
                </w:r>
              </w:p>
            </w:tc>
            <w:tc>
              <w:tcPr>
                <w:tcW w:w="567" w:type="dxa"/>
              </w:tcPr>
              <w:p w14:paraId="64F52982" w14:textId="77777777">
                <w:pPr>
                  <w:jc w:val="center"/>
                  <w:rPr>
                    <w:szCs w:val="24"/>
                  </w:rPr>
                </w:pPr>
                <w:r>
                  <w:rPr>
                    <w:szCs w:val="24"/>
                  </w:rPr>
                  <w:t>Nr.</w:t>
                </w:r>
              </w:p>
            </w:tc>
            <w:tc>
              <w:tcPr>
                <w:tcW w:w="1442" w:type="dxa"/>
                <w:tcBorders>
                  <w:bottom w:val="single" w:sz="4" w:space="0" w:color="auto"/>
                </w:tcBorders>
              </w:tcPr>
              <w:p w14:paraId="2C463F9D" w14:textId="45C70814">
                <w:pPr>
                  <w:jc w:val="center"/>
                  <w:rPr>
                    <w:szCs w:val="24"/>
                  </w:rPr>
                </w:pPr>
                <w:r>
                  <w:rPr>
                    <w:szCs w:val="24"/>
                  </w:rPr>
                  <w:t>T-5</w:t>
                </w:r>
              </w:p>
            </w:tc>
          </w:tr>
          <w:tr w14:paraId="2CFBD4F0" w14:textId="77777777">
            <w:trPr>
              <w:trHeight w:val="254"/>
              <w:jc w:val="center"/>
            </w:trPr>
            <w:tc>
              <w:tcPr>
                <w:tcW w:w="3422" w:type="dxa"/>
                <w:gridSpan w:val="3"/>
              </w:tcPr>
              <w:p w14:paraId="79E04D21" w14:textId="77777777">
                <w:pPr>
                  <w:jc w:val="center"/>
                  <w:rPr>
                    <w:i/>
                    <w:iCs/>
                    <w:sz w:val="20"/>
                  </w:rPr>
                </w:pPr>
                <w:r>
                  <w:rPr>
                    <w:i/>
                    <w:iCs/>
                    <w:sz w:val="20"/>
                  </w:rPr>
                  <w:t>(data ir registracijos numeris)</w:t>
                </w:r>
              </w:p>
            </w:tc>
          </w:tr>
        </w:tbl>
        <w:p w14:paraId="5424CF08" w14:textId="77777777">
          <w:pPr>
            <w:jc w:val="center"/>
            <w:rPr>
              <w:szCs w:val="24"/>
            </w:rPr>
          </w:pPr>
        </w:p>
        <w:p w14:paraId="633736B6" w14:textId="77777777">
          <w:pPr>
            <w:jc w:val="center"/>
            <w:rPr>
              <w:b/>
              <w:szCs w:val="24"/>
            </w:rPr>
          </w:pPr>
        </w:p>
        <w:sdt>
          <w:sdtPr>
            <w:alias w:val="skyrius"/>
            <w:tag w:val="part_1b17b8e150af4a5184befbe40c153527"/>
            <w:lock w:val="sdtLocked"/>
            <w:richText/>
          </w:sdtPr>
          <w:sdtContent>
            <w:p w14:paraId="353DE31E" w14:textId="77777777">
              <w:pPr>
                <w:jc w:val="center"/>
                <w:rPr>
                  <w:b/>
                  <w:szCs w:val="24"/>
                </w:rPr>
              </w:pPr>
              <w:sdt>
                <w:sdtPr>
                  <w:alias w:val="Numeris"/>
                  <w:tag w:val="nr_1b17b8e150af4a5184befbe40c153527"/>
                  <w:lock w:val="sdtLocked"/>
                  <w:richText/>
                </w:sdtPr>
                <w:sdtContent>
                  <w:r>
                    <w:rPr>
                      <w:b/>
                      <w:szCs w:val="24"/>
                    </w:rPr>
                    <w:t>I</w:t>
                  </w:r>
                </w:sdtContent>
              </w:sdt>
              <w:r>
                <w:rPr>
                  <w:b/>
                  <w:szCs w:val="24"/>
                </w:rPr>
                <w:t xml:space="preserve"> SKYRIUS</w:t>
              </w:r>
            </w:p>
            <w:p w14:paraId="223ECC85" w14:textId="77777777">
              <w:pPr>
                <w:jc w:val="center"/>
                <w:rPr>
                  <w:b/>
                  <w:szCs w:val="24"/>
                </w:rPr>
              </w:pPr>
              <w:sdt>
                <w:sdtPr>
                  <w:alias w:val="Pavadinimas"/>
                  <w:tag w:val="title_1b17b8e150af4a5184befbe40c153527"/>
                  <w:lock w:val="sdtLocked"/>
                  <w:richText/>
                </w:sdtPr>
                <w:sdtContent>
                  <w:r>
                    <w:rPr>
                      <w:b/>
                      <w:szCs w:val="24"/>
                    </w:rPr>
                    <w:t>BENDROSIOS NUOSTATOS</w:t>
                  </w:r>
                </w:sdtContent>
              </w:sdt>
            </w:p>
            <w:p w14:paraId="5E38BCE4" w14:textId="77777777">
              <w:pPr>
                <w:rPr>
                  <w:b/>
                  <w:szCs w:val="24"/>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7796"/>
              </w:tblGrid>
              <w:tr w14:paraId="4C4CC622" w14:textId="77777777">
                <w:tc>
                  <w:tcPr>
                    <w:tcW w:w="1980" w:type="dxa"/>
                    <w:shd w:val="clear" w:color="auto" w:fill="D9D9D9" w:themeFill="background1" w:themeFillShade="D9"/>
                  </w:tcPr>
                  <w:p w14:paraId="41B367F8" w14:textId="543CDFE6">
                    <w:pPr>
                      <w:rPr>
                        <w:b/>
                        <w:color w:val="000000"/>
                        <w:szCs w:val="24"/>
                      </w:rPr>
                    </w:pPr>
                    <w:r>
                      <w:rPr>
                        <w:b/>
                        <w:color w:val="000000"/>
                        <w:szCs w:val="24"/>
                      </w:rPr>
                      <w:t>Regiono plėtros uždavinys (-iai)</w:t>
                    </w:r>
                  </w:p>
                </w:tc>
                <w:tc>
                  <w:tcPr>
                    <w:tcW w:w="7796" w:type="dxa"/>
                  </w:tcPr>
                  <w:p w14:paraId="1AA87993" w14:textId="77777777">
                    <w:pPr>
                      <w:tabs>
                        <w:tab w:val="left" w:pos="598"/>
                      </w:tabs>
                      <w:jc w:val="both"/>
                      <w:rPr>
                        <w:i/>
                        <w:color w:val="000000"/>
                        <w:szCs w:val="24"/>
                      </w:rPr>
                    </w:pPr>
                    <w:r>
                      <w:rPr>
                        <w:iCs/>
                        <w:color w:val="000000"/>
                        <w:szCs w:val="24"/>
                      </w:rPr>
                      <w:t>Uždavinys Nr. LT024-01-03 „Pagerinti švietimo paslaugų prieinamumą ir kokybę“</w:t>
                    </w:r>
                  </w:p>
                </w:tc>
              </w:tr>
            </w:tbl>
            <w:p w14:paraId="3859D600" w14:textId="77777777">
              <w:pPr>
                <w:rPr>
                  <w:szCs w:val="24"/>
                </w:rPr>
              </w:pPr>
            </w:p>
            <w:p w14:paraId="69739B0F" w14:textId="77777777">
              <w:pPr>
                <w:rPr>
                  <w:szCs w:val="24"/>
                </w:rPr>
              </w:pPr>
            </w:p>
          </w:sdtContent>
        </w:sdt>
        <w:sdt>
          <w:sdtPr>
            <w:alias w:val="skyrius"/>
            <w:tag w:val="part_b57adfd6362946f0baa3717dc8d5dead"/>
            <w:lock w:val="sdtLocked"/>
            <w:richText/>
          </w:sdtPr>
          <w:sdtContent>
            <w:p w14:paraId="13107F38" w14:textId="77777777">
              <w:pPr>
                <w:jc w:val="center"/>
                <w:rPr>
                  <w:b/>
                  <w:bCs/>
                  <w:szCs w:val="24"/>
                </w:rPr>
              </w:pPr>
              <w:sdt>
                <w:sdtPr>
                  <w:alias w:val="Numeris"/>
                  <w:tag w:val="nr_b57adfd6362946f0baa3717dc8d5dead"/>
                  <w:lock w:val="sdtLocked"/>
                  <w:richText/>
                </w:sdtPr>
                <w:sdtContent>
                  <w:r>
                    <w:rPr>
                      <w:b/>
                      <w:bCs/>
                      <w:szCs w:val="24"/>
                    </w:rPr>
                    <w:t>II</w:t>
                  </w:r>
                </w:sdtContent>
              </w:sdt>
              <w:r>
                <w:rPr>
                  <w:b/>
                  <w:bCs/>
                  <w:szCs w:val="24"/>
                </w:rPr>
                <w:t xml:space="preserve"> SKYRIUS</w:t>
              </w:r>
            </w:p>
            <w:p w14:paraId="7AED48FA" w14:textId="77777777">
              <w:pPr>
                <w:jc w:val="center"/>
                <w:rPr>
                  <w:b/>
                  <w:bCs/>
                  <w:szCs w:val="24"/>
                </w:rPr>
              </w:pPr>
              <w:sdt>
                <w:sdtPr>
                  <w:alias w:val="Pavadinimas"/>
                  <w:tag w:val="title_b57adfd6362946f0baa3717dc8d5dead"/>
                  <w:lock w:val="sdtLocked"/>
                  <w:richText/>
                </w:sdtPr>
                <w:sdtContent>
                  <w:r>
                    <w:rPr>
                      <w:b/>
                      <w:bCs/>
                      <w:szCs w:val="24"/>
                    </w:rPr>
                    <w:t>SITUACIJOS ANALIZĖ IR SIEKIAMAS POKYTIS</w:t>
                  </w:r>
                </w:sdtContent>
              </w:sdt>
            </w:p>
            <w:p w14:paraId="7C15A384" w14:textId="77777777">
              <w:pPr>
                <w:rPr>
                  <w:szCs w:val="24"/>
                </w:rPr>
              </w:pPr>
            </w:p>
            <w:p w14:paraId="652EF32A" w14:textId="7C414F2D">
              <w:pPr>
                <w:tabs>
                  <w:tab w:val="left" w:pos="598"/>
                </w:tabs>
                <w:ind w:firstLine="567"/>
                <w:jc w:val="both"/>
                <w:rPr>
                  <w:iCs/>
                  <w:color w:val="000000"/>
                  <w:szCs w:val="24"/>
                </w:rPr>
              </w:pPr>
              <w:r>
                <w:rPr>
                  <w:iCs/>
                  <w:color w:val="000000"/>
                  <w:szCs w:val="24"/>
                </w:rPr>
                <w:t xml:space="preserve">Marijampolės regiono plėtros plane 2022–2030 m. (toliau – MRPPL) nustatyta </w:t>
              </w:r>
              <w:r>
                <w:rPr>
                  <w:b/>
                  <w:color w:val="000000"/>
                  <w:szCs w:val="24"/>
                </w:rPr>
                <w:t>problema</w:t>
              </w:r>
              <w:r>
                <w:rPr>
                  <w:iCs/>
                  <w:color w:val="000000"/>
                  <w:szCs w:val="24"/>
                </w:rPr>
                <w:t xml:space="preserve">, kurią siekiama spręsti – „Didelė socialinė atskirtis ir aukštas skurdo rizikos lygis“. Regione žemi dalyvavimo ikimokykliniame ugdyme bei neformaliajame švietime rodikliai, o tai turi įtakos žemiems mokinių pasiekimams ir prastiems tolesnio mokymosi rodikliams bei didina skurdo riziką ir socialinę atskirtį. Tai rodo, kad viena iš </w:t>
              </w:r>
              <w:r>
                <w:rPr>
                  <w:b/>
                  <w:bCs/>
                  <w:iCs/>
                  <w:color w:val="000000"/>
                  <w:szCs w:val="24"/>
                </w:rPr>
                <w:t>problemos priežasčių</w:t>
              </w:r>
              <w:r>
                <w:rPr>
                  <w:iCs/>
                  <w:color w:val="000000"/>
                  <w:szCs w:val="24"/>
                </w:rPr>
                <w:t xml:space="preserve"> yra „Nepakankama teikiamų švietimo paslaugų kokybė ir prieinamumas“ (išsami Marijampolės regiono esamos situacijos bei problemų ir jų priežasčių analizė pateikiama MRPPL I skyriuje „Regiono plėtros plano teritorinė aprėptis ir regiono esamos situacijos analizė“). </w:t>
              </w:r>
            </w:p>
            <w:p w14:paraId="3AB78EFC" w14:textId="044571E2">
              <w:pPr>
                <w:ind w:firstLine="478"/>
                <w:jc w:val="both"/>
                <w:rPr>
                  <w:rFonts w:eastAsia="Calibri"/>
                  <w:bCs/>
                  <w:color w:val="000000"/>
                  <w:szCs w:val="24"/>
                </w:rPr>
              </w:pPr>
              <w:r>
                <w:rPr>
                  <w:b/>
                  <w:bCs/>
                  <w:iCs/>
                  <w:color w:val="000000"/>
                  <w:szCs w:val="24"/>
                </w:rPr>
                <w:t xml:space="preserve">Ikimokyklinis ugdymas. </w:t>
              </w:r>
              <w:r>
                <w:rPr>
                  <w:rFonts w:eastAsia="Calibri"/>
                  <w:bCs/>
                  <w:color w:val="000000"/>
                  <w:szCs w:val="24"/>
                </w:rPr>
                <w:t>Remiantis ŠVIS 2021–2022 m. duomenimis, ikimokykliniame ir priešmokykliniame ugdyme dalyvaujančių 3-5 metų vaikų dalis Marijampolės regiono savivaldybėse nesiekė šalies vidurkio (92,</w:t>
              </w:r>
              <w:r>
                <w:rPr>
                  <w:rFonts w:eastAsia="Calibri"/>
                  <w:bCs/>
                  <w:szCs w:val="24"/>
                </w:rPr>
                <w:t>31</w:t>
              </w:r>
              <w:r>
                <w:rPr>
                  <w:rFonts w:eastAsia="Calibri"/>
                  <w:bCs/>
                  <w:color w:val="000000"/>
                  <w:szCs w:val="24"/>
                </w:rPr>
                <w:t xml:space="preserve"> proc.) – Kalvarijos savivaldybėje 85,76 proc., Kazlų Rūdos – 90,34 proc., Marijampolės – 90,47 proc., Šakių rajono – 89,39 proc., Vilkaviškio rajono – 84,09 proc. </w:t>
              </w:r>
            </w:p>
            <w:p w14:paraId="7A5194C8" w14:textId="77777777">
              <w:pPr>
                <w:ind w:firstLine="478"/>
                <w:jc w:val="both"/>
                <w:rPr>
                  <w:rFonts w:eastAsia="Calibri"/>
                  <w:bCs/>
                  <w:color w:val="000000"/>
                  <w:sz w:val="12"/>
                  <w:szCs w:val="12"/>
                </w:rPr>
              </w:pPr>
            </w:p>
            <w:sdt>
              <w:sdtPr>
                <w:alias w:val="poskyris"/>
                <w:tag w:val="part_a8f6e4cf783641e19a16151474bcb357"/>
                <w:lock w:val="sdtLocked"/>
                <w:richText/>
              </w:sdtPr>
              <w:sdtContent>
                <w:p w14:paraId="0A06C158" w14:textId="669F51AC">
                  <w:pPr>
                    <w:jc w:val="both"/>
                    <w:rPr>
                      <w:rFonts w:eastAsia="Calibri"/>
                      <w:b/>
                      <w:color w:val="000000"/>
                      <w:szCs w:val="24"/>
                    </w:rPr>
                  </w:pPr>
                  <w:sdt>
                    <w:sdtPr>
                      <w:alias w:val="Pavadinimas"/>
                      <w:tag w:val="title_a8f6e4cf783641e19a16151474bcb357"/>
                      <w:lock w:val="sdtLocked"/>
                      <w:richText/>
                    </w:sdtPr>
                    <w:sdtContent>
                      <w:r>
                        <w:rPr>
                          <w:rFonts w:eastAsia="Calibri"/>
                          <w:b/>
                          <w:color w:val="000000"/>
                          <w:szCs w:val="24"/>
                        </w:rPr>
                        <w:t>Ikimokyklinio ugdymo rodikliai Marijampolės regione</w:t>
                      </w:r>
                    </w:sdtContent>
                  </w:sdt>
                </w:p>
                <w:tbl>
                  <w:tblPr>
                    <w:tblW w:w="9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6"/>
                    <w:gridCol w:w="914"/>
                    <w:gridCol w:w="1088"/>
                    <w:gridCol w:w="1635"/>
                    <w:gridCol w:w="1754"/>
                    <w:gridCol w:w="1598"/>
                    <w:gridCol w:w="1464"/>
                  </w:tblGrid>
                  <w:tr w14:paraId="5176BB07" w14:textId="1BD4E0DB">
                    <w:trPr>
                      <w:trHeight w:val="362"/>
                    </w:trPr>
                    <w:tc>
                      <w:tcPr>
                        <w:tcW w:w="1296" w:type="dxa"/>
                        <w:shd w:val="clear" w:color="auto" w:fill="D9D9D9" w:themeFill="background1" w:themeFillShade="D9"/>
                      </w:tcPr>
                      <w:p w14:paraId="48666F0F" w14:textId="77777777">
                        <w:pPr>
                          <w:jc w:val="both"/>
                          <w:rPr>
                            <w:rFonts w:eastAsia="Calibri"/>
                            <w:b/>
                            <w:color w:val="000000"/>
                            <w:sz w:val="18"/>
                            <w:szCs w:val="18"/>
                          </w:rPr>
                        </w:pPr>
                        <w:r>
                          <w:rPr>
                            <w:rFonts w:eastAsia="Calibri"/>
                            <w:b/>
                            <w:color w:val="000000"/>
                            <w:sz w:val="18"/>
                            <w:szCs w:val="18"/>
                          </w:rPr>
                          <w:t>Savivaldybė</w:t>
                        </w:r>
                      </w:p>
                    </w:tc>
                    <w:tc>
                      <w:tcPr>
                        <w:tcW w:w="914" w:type="dxa"/>
                        <w:shd w:val="clear" w:color="auto" w:fill="D9D9D9" w:themeFill="background1" w:themeFillShade="D9"/>
                      </w:tcPr>
                      <w:p w14:paraId="1CBF5C7B" w14:textId="418789E4">
                        <w:pPr>
                          <w:jc w:val="both"/>
                          <w:rPr>
                            <w:rFonts w:eastAsia="Calibri"/>
                            <w:b/>
                            <w:color w:val="000000"/>
                            <w:sz w:val="18"/>
                            <w:szCs w:val="18"/>
                          </w:rPr>
                        </w:pPr>
                        <w:r>
                          <w:rPr>
                            <w:rFonts w:eastAsia="Calibri"/>
                            <w:b/>
                            <w:color w:val="000000"/>
                            <w:sz w:val="18"/>
                            <w:szCs w:val="18"/>
                          </w:rPr>
                          <w:t>Vietų sk. iš viso, 2021 m.</w:t>
                        </w:r>
                        <w:r>
                          <w:rPr>
                            <w:rFonts w:eastAsia="Calibri"/>
                            <w:b/>
                            <w:color w:val="000000"/>
                            <w:sz w:val="18"/>
                            <w:szCs w:val="18"/>
                            <w:vertAlign w:val="superscript"/>
                          </w:rPr>
                          <w:footnoteReference w:id="2"/>
                        </w:r>
                      </w:p>
                    </w:tc>
                    <w:tc>
                      <w:tcPr>
                        <w:tcW w:w="1088" w:type="dxa"/>
                        <w:shd w:val="clear" w:color="auto" w:fill="D9D9D9" w:themeFill="background1" w:themeFillShade="D9"/>
                      </w:tcPr>
                      <w:p w14:paraId="744B9FD7" w14:textId="77777777">
                        <w:pPr>
                          <w:jc w:val="both"/>
                          <w:rPr>
                            <w:rFonts w:eastAsia="Calibri"/>
                            <w:b/>
                            <w:color w:val="000000"/>
                            <w:sz w:val="18"/>
                            <w:szCs w:val="18"/>
                          </w:rPr>
                        </w:pPr>
                        <w:r>
                          <w:rPr>
                            <w:rFonts w:eastAsia="Calibri"/>
                            <w:b/>
                            <w:color w:val="000000"/>
                            <w:sz w:val="18"/>
                            <w:szCs w:val="18"/>
                          </w:rPr>
                          <w:t>0-5 m. amžiaus vaikų sk. 2022 m. pr.</w:t>
                        </w:r>
                        <w:r>
                          <w:rPr>
                            <w:rFonts w:eastAsia="Calibri"/>
                            <w:b/>
                            <w:color w:val="000000"/>
                            <w:sz w:val="18"/>
                            <w:szCs w:val="18"/>
                            <w:vertAlign w:val="superscript"/>
                          </w:rPr>
                          <w:footnoteReference w:id="3"/>
                        </w:r>
                      </w:p>
                    </w:tc>
                    <w:tc>
                      <w:tcPr>
                        <w:tcW w:w="1635" w:type="dxa"/>
                        <w:shd w:val="clear" w:color="auto" w:fill="D9D9D9" w:themeFill="background1" w:themeFillShade="D9"/>
                      </w:tcPr>
                      <w:p w14:paraId="143FEE0C" w14:textId="77777777">
                        <w:pPr>
                          <w:jc w:val="both"/>
                          <w:rPr>
                            <w:rFonts w:eastAsia="Calibri"/>
                            <w:b/>
                            <w:color w:val="000000"/>
                            <w:sz w:val="18"/>
                            <w:szCs w:val="18"/>
                          </w:rPr>
                        </w:pPr>
                        <w:r>
                          <w:rPr>
                            <w:rFonts w:eastAsia="Calibri"/>
                            <w:b/>
                            <w:color w:val="000000"/>
                            <w:sz w:val="18"/>
                            <w:szCs w:val="18"/>
                          </w:rPr>
                          <w:t>Ugdomų pagal ikimokyklinio ugdymo programas vaikų sk., 2022-2023 m.</w:t>
                        </w:r>
                        <w:r>
                          <w:rPr>
                            <w:rFonts w:eastAsia="Calibri"/>
                            <w:b/>
                            <w:color w:val="000000"/>
                            <w:sz w:val="18"/>
                            <w:szCs w:val="18"/>
                            <w:vertAlign w:val="superscript"/>
                          </w:rPr>
                          <w:footnoteReference w:id="4"/>
                        </w:r>
                      </w:p>
                    </w:tc>
                    <w:tc>
                      <w:tcPr>
                        <w:tcW w:w="1754" w:type="dxa"/>
                        <w:shd w:val="clear" w:color="auto" w:fill="D9D9D9" w:themeFill="background1" w:themeFillShade="D9"/>
                      </w:tcPr>
                      <w:p w14:paraId="739C0E69" w14:textId="6FBC2E9D">
                        <w:pPr>
                          <w:jc w:val="both"/>
                          <w:rPr>
                            <w:rFonts w:eastAsia="Calibri"/>
                            <w:b/>
                            <w:color w:val="000000"/>
                            <w:sz w:val="18"/>
                            <w:szCs w:val="18"/>
                          </w:rPr>
                        </w:pPr>
                        <w:r>
                          <w:rPr>
                            <w:rFonts w:eastAsia="Calibri"/>
                            <w:b/>
                            <w:color w:val="000000"/>
                            <w:sz w:val="18"/>
                            <w:szCs w:val="18"/>
                          </w:rPr>
                          <w:t xml:space="preserve">Ugdomų pagal ikimokyklinio ugd. programas vaikų dalis  nuo visų 0-5 m. amžiaus vaikų 2022-2023 m., proc.</w:t>
                        </w:r>
                      </w:p>
                    </w:tc>
                    <w:tc>
                      <w:tcPr>
                        <w:tcW w:w="1598" w:type="dxa"/>
                        <w:shd w:val="clear" w:color="auto" w:fill="D9D9D9" w:themeFill="background1" w:themeFillShade="D9"/>
                      </w:tcPr>
                      <w:p w14:paraId="44E1B9FF" w14:textId="77777777">
                        <w:pPr>
                          <w:jc w:val="both"/>
                          <w:rPr>
                            <w:rFonts w:eastAsia="Calibri"/>
                            <w:b/>
                            <w:color w:val="000000"/>
                            <w:sz w:val="18"/>
                            <w:szCs w:val="18"/>
                          </w:rPr>
                        </w:pPr>
                        <w:r>
                          <w:rPr>
                            <w:rFonts w:eastAsia="Calibri"/>
                            <w:b/>
                            <w:color w:val="000000"/>
                            <w:sz w:val="18"/>
                            <w:szCs w:val="18"/>
                          </w:rPr>
                          <w:t>Sav. mokyklose ugdomų 3-5 metų vaikų, kurių deklaruota gyv. vieta yra kt. sav., dalis, 2022-2023 m.</w:t>
                        </w:r>
                        <w:r>
                          <w:rPr>
                            <w:rFonts w:eastAsia="Calibri"/>
                            <w:b/>
                            <w:color w:val="000000"/>
                            <w:sz w:val="18"/>
                            <w:szCs w:val="18"/>
                            <w:vertAlign w:val="superscript"/>
                          </w:rPr>
                          <w:footnoteReference w:id="5"/>
                        </w:r>
                      </w:p>
                    </w:tc>
                    <w:tc>
                      <w:tcPr>
                        <w:tcW w:w="1464" w:type="dxa"/>
                        <w:shd w:val="clear" w:color="auto" w:fill="D9D9D9" w:themeFill="background1" w:themeFillShade="D9"/>
                      </w:tcPr>
                      <w:p w14:paraId="50C2F2AC" w14:textId="5A21834E">
                        <w:pPr>
                          <w:jc w:val="both"/>
                          <w:rPr>
                            <w:rFonts w:eastAsia="Calibri"/>
                            <w:b/>
                            <w:color w:val="000000"/>
                            <w:sz w:val="18"/>
                            <w:szCs w:val="18"/>
                          </w:rPr>
                        </w:pPr>
                        <w:r>
                          <w:rPr>
                            <w:rFonts w:eastAsia="Calibri"/>
                            <w:b/>
                            <w:color w:val="000000"/>
                            <w:sz w:val="18"/>
                            <w:szCs w:val="18"/>
                          </w:rPr>
                          <w:t>Savivaldybės 3-5 metų vaikų, ugdomų ne savivaldybės mokyklose, dalis, 2022-2023 m.</w:t>
                        </w:r>
                        <w:r>
                          <w:rPr>
                            <w:rFonts w:eastAsia="Calibri"/>
                            <w:b/>
                            <w:color w:val="000000"/>
                            <w:sz w:val="18"/>
                            <w:szCs w:val="18"/>
                            <w:vertAlign w:val="superscript"/>
                          </w:rPr>
                          <w:footnoteReference w:id="6"/>
                        </w:r>
                      </w:p>
                    </w:tc>
                  </w:tr>
                  <w:tr w14:paraId="4DF6E0B8" w14:textId="3796C1AE">
                    <w:trPr>
                      <w:trHeight w:val="154"/>
                    </w:trPr>
                    <w:tc>
                      <w:tcPr>
                        <w:tcW w:w="1296" w:type="dxa"/>
                        <w:shd w:val="clear" w:color="auto" w:fill="D9D9D9" w:themeFill="background1" w:themeFillShade="D9"/>
                      </w:tcPr>
                      <w:p w14:paraId="56CC3FBF" w14:textId="72F2EF3D">
                        <w:pPr>
                          <w:jc w:val="both"/>
                          <w:rPr>
                            <w:rFonts w:eastAsia="Calibri"/>
                            <w:b/>
                            <w:color w:val="000000"/>
                            <w:sz w:val="18"/>
                            <w:szCs w:val="18"/>
                          </w:rPr>
                        </w:pPr>
                        <w:r>
                          <w:rPr>
                            <w:rFonts w:eastAsia="Calibri"/>
                            <w:b/>
                            <w:color w:val="000000"/>
                            <w:sz w:val="18"/>
                            <w:szCs w:val="18"/>
                          </w:rPr>
                          <w:t>Kalvarijos</w:t>
                        </w:r>
                      </w:p>
                    </w:tc>
                    <w:tc>
                      <w:tcPr>
                        <w:tcW w:w="914" w:type="dxa"/>
                      </w:tcPr>
                      <w:p w14:paraId="74B657BA" w14:textId="4A806C77">
                        <w:pPr>
                          <w:jc w:val="right"/>
                          <w:rPr>
                            <w:rFonts w:eastAsia="Calibri"/>
                            <w:bCs/>
                            <w:color w:val="000000"/>
                            <w:sz w:val="18"/>
                            <w:szCs w:val="18"/>
                          </w:rPr>
                        </w:pPr>
                        <w:r>
                          <w:rPr>
                            <w:rFonts w:eastAsia="Calibri"/>
                            <w:bCs/>
                            <w:color w:val="000000"/>
                            <w:sz w:val="18"/>
                            <w:szCs w:val="18"/>
                          </w:rPr>
                          <w:t>365</w:t>
                        </w:r>
                      </w:p>
                    </w:tc>
                    <w:tc>
                      <w:tcPr>
                        <w:tcW w:w="1088" w:type="dxa"/>
                      </w:tcPr>
                      <w:p w14:paraId="12507681" w14:textId="0FC8ADF8">
                        <w:pPr>
                          <w:jc w:val="right"/>
                          <w:rPr>
                            <w:rFonts w:eastAsia="Calibri"/>
                            <w:bCs/>
                            <w:color w:val="000000"/>
                            <w:sz w:val="18"/>
                            <w:szCs w:val="18"/>
                          </w:rPr>
                        </w:pPr>
                        <w:r>
                          <w:rPr>
                            <w:rFonts w:eastAsia="Calibri"/>
                            <w:bCs/>
                            <w:color w:val="000000"/>
                            <w:sz w:val="18"/>
                            <w:szCs w:val="18"/>
                          </w:rPr>
                          <w:t>540</w:t>
                        </w:r>
                      </w:p>
                    </w:tc>
                    <w:tc>
                      <w:tcPr>
                        <w:tcW w:w="1635" w:type="dxa"/>
                        <w:shd w:val="clear" w:color="auto" w:fill="auto"/>
                      </w:tcPr>
                      <w:p w14:paraId="33DEF720" w14:textId="53E22B87">
                        <w:pPr>
                          <w:jc w:val="right"/>
                          <w:rPr>
                            <w:rFonts w:eastAsia="Calibri"/>
                            <w:bCs/>
                            <w:color w:val="000000"/>
                            <w:sz w:val="18"/>
                            <w:szCs w:val="18"/>
                          </w:rPr>
                        </w:pPr>
                        <w:r>
                          <w:rPr>
                            <w:rFonts w:eastAsia="Calibri"/>
                            <w:bCs/>
                            <w:color w:val="000000"/>
                            <w:sz w:val="18"/>
                            <w:szCs w:val="18"/>
                          </w:rPr>
                          <w:t>335</w:t>
                        </w:r>
                      </w:p>
                    </w:tc>
                    <w:tc>
                      <w:tcPr>
                        <w:tcW w:w="1754" w:type="dxa"/>
                      </w:tcPr>
                      <w:p w14:paraId="0BBB4C50" w14:textId="3DC94CA8">
                        <w:pPr>
                          <w:jc w:val="right"/>
                          <w:rPr>
                            <w:rFonts w:eastAsia="Calibri"/>
                            <w:bCs/>
                            <w:color w:val="000000"/>
                            <w:sz w:val="18"/>
                            <w:szCs w:val="18"/>
                          </w:rPr>
                        </w:pPr>
                        <w:r>
                          <w:rPr>
                            <w:rFonts w:eastAsia="Calibri"/>
                            <w:bCs/>
                            <w:color w:val="000000"/>
                            <w:sz w:val="18"/>
                            <w:szCs w:val="18"/>
                          </w:rPr>
                          <w:t>62</w:t>
                        </w:r>
                      </w:p>
                    </w:tc>
                    <w:tc>
                      <w:tcPr>
                        <w:tcW w:w="1598" w:type="dxa"/>
                      </w:tcPr>
                      <w:p w14:paraId="2B6B49B1" w14:textId="72A5F05A">
                        <w:pPr>
                          <w:jc w:val="right"/>
                          <w:rPr>
                            <w:rFonts w:eastAsia="Calibri"/>
                            <w:bCs/>
                            <w:color w:val="000000"/>
                            <w:sz w:val="18"/>
                            <w:szCs w:val="18"/>
                          </w:rPr>
                        </w:pPr>
                        <w:r>
                          <w:rPr>
                            <w:rFonts w:eastAsia="Calibri"/>
                            <w:bCs/>
                            <w:color w:val="000000"/>
                            <w:sz w:val="18"/>
                            <w:szCs w:val="18"/>
                          </w:rPr>
                          <w:t>7,3</w:t>
                        </w:r>
                      </w:p>
                    </w:tc>
                    <w:tc>
                      <w:tcPr>
                        <w:tcW w:w="1464" w:type="dxa"/>
                      </w:tcPr>
                      <w:p w14:paraId="2D910734" w14:textId="4FBC2AD5">
                        <w:pPr>
                          <w:jc w:val="right"/>
                          <w:rPr>
                            <w:rFonts w:eastAsia="Calibri"/>
                            <w:bCs/>
                            <w:color w:val="000000"/>
                            <w:sz w:val="18"/>
                            <w:szCs w:val="18"/>
                          </w:rPr>
                        </w:pPr>
                        <w:r>
                          <w:rPr>
                            <w:rFonts w:eastAsia="Calibri"/>
                            <w:bCs/>
                            <w:color w:val="000000"/>
                            <w:sz w:val="18"/>
                            <w:szCs w:val="18"/>
                          </w:rPr>
                          <w:t>19,3</w:t>
                        </w:r>
                      </w:p>
                    </w:tc>
                  </w:tr>
                  <w:tr w14:paraId="7F4CA64B" w14:textId="713FAE25">
                    <w:trPr>
                      <w:trHeight w:val="154"/>
                    </w:trPr>
                    <w:tc>
                      <w:tcPr>
                        <w:tcW w:w="1296" w:type="dxa"/>
                        <w:shd w:val="clear" w:color="auto" w:fill="D9D9D9" w:themeFill="background1" w:themeFillShade="D9"/>
                      </w:tcPr>
                      <w:p w14:paraId="52F1E138" w14:textId="77777777">
                        <w:pPr>
                          <w:jc w:val="both"/>
                          <w:rPr>
                            <w:rFonts w:eastAsia="Calibri"/>
                            <w:b/>
                            <w:color w:val="000000"/>
                            <w:sz w:val="18"/>
                            <w:szCs w:val="18"/>
                          </w:rPr>
                        </w:pPr>
                        <w:r>
                          <w:rPr>
                            <w:rFonts w:eastAsia="Calibri"/>
                            <w:b/>
                            <w:color w:val="000000"/>
                            <w:sz w:val="18"/>
                            <w:szCs w:val="18"/>
                          </w:rPr>
                          <w:t>Kazlų Rūdos</w:t>
                        </w:r>
                      </w:p>
                    </w:tc>
                    <w:tc>
                      <w:tcPr>
                        <w:tcW w:w="914" w:type="dxa"/>
                      </w:tcPr>
                      <w:p w14:paraId="245A0DD8" w14:textId="77777777">
                        <w:pPr>
                          <w:jc w:val="right"/>
                          <w:rPr>
                            <w:rFonts w:eastAsia="Calibri"/>
                            <w:bCs/>
                            <w:color w:val="000000"/>
                            <w:sz w:val="18"/>
                            <w:szCs w:val="18"/>
                          </w:rPr>
                        </w:pPr>
                        <w:r>
                          <w:rPr>
                            <w:rFonts w:eastAsia="Calibri"/>
                            <w:bCs/>
                            <w:color w:val="000000"/>
                            <w:sz w:val="18"/>
                            <w:szCs w:val="18"/>
                          </w:rPr>
                          <w:t>430</w:t>
                        </w:r>
                      </w:p>
                    </w:tc>
                    <w:tc>
                      <w:tcPr>
                        <w:tcW w:w="1088" w:type="dxa"/>
                      </w:tcPr>
                      <w:p w14:paraId="2DD1CB8C" w14:textId="77777777">
                        <w:pPr>
                          <w:jc w:val="right"/>
                          <w:rPr>
                            <w:rFonts w:eastAsia="Calibri"/>
                            <w:bCs/>
                            <w:color w:val="000000"/>
                            <w:sz w:val="18"/>
                            <w:szCs w:val="18"/>
                          </w:rPr>
                        </w:pPr>
                        <w:r>
                          <w:rPr>
                            <w:rFonts w:eastAsia="Calibri"/>
                            <w:bCs/>
                            <w:color w:val="000000"/>
                            <w:sz w:val="18"/>
                            <w:szCs w:val="18"/>
                          </w:rPr>
                          <w:t>558</w:t>
                        </w:r>
                      </w:p>
                    </w:tc>
                    <w:tc>
                      <w:tcPr>
                        <w:tcW w:w="1635" w:type="dxa"/>
                        <w:shd w:val="clear" w:color="auto" w:fill="auto"/>
                      </w:tcPr>
                      <w:p w14:paraId="647A768D" w14:textId="306BB8BA">
                        <w:pPr>
                          <w:jc w:val="right"/>
                          <w:rPr>
                            <w:rFonts w:eastAsia="Calibri"/>
                            <w:bCs/>
                            <w:color w:val="000000"/>
                            <w:sz w:val="18"/>
                            <w:szCs w:val="18"/>
                          </w:rPr>
                        </w:pPr>
                        <w:r>
                          <w:rPr>
                            <w:rFonts w:eastAsia="Calibri"/>
                            <w:bCs/>
                            <w:color w:val="000000"/>
                            <w:sz w:val="18"/>
                            <w:szCs w:val="18"/>
                          </w:rPr>
                          <w:t>447</w:t>
                        </w:r>
                      </w:p>
                    </w:tc>
                    <w:tc>
                      <w:tcPr>
                        <w:tcW w:w="1754" w:type="dxa"/>
                      </w:tcPr>
                      <w:p w14:paraId="4922DE02" w14:textId="09280B3E">
                        <w:pPr>
                          <w:jc w:val="right"/>
                          <w:rPr>
                            <w:rFonts w:eastAsia="Calibri"/>
                            <w:bCs/>
                            <w:color w:val="000000"/>
                            <w:sz w:val="18"/>
                            <w:szCs w:val="18"/>
                          </w:rPr>
                        </w:pPr>
                        <w:r>
                          <w:rPr>
                            <w:rFonts w:eastAsia="Calibri"/>
                            <w:bCs/>
                            <w:color w:val="000000"/>
                            <w:sz w:val="18"/>
                            <w:szCs w:val="18"/>
                          </w:rPr>
                          <w:t>80</w:t>
                        </w:r>
                      </w:p>
                    </w:tc>
                    <w:tc>
                      <w:tcPr>
                        <w:tcW w:w="1598" w:type="dxa"/>
                      </w:tcPr>
                      <w:p w14:paraId="59ABC3F3" w14:textId="3AAE549A">
                        <w:pPr>
                          <w:jc w:val="right"/>
                          <w:rPr>
                            <w:rFonts w:eastAsia="Calibri"/>
                            <w:bCs/>
                            <w:color w:val="000000"/>
                            <w:sz w:val="18"/>
                            <w:szCs w:val="18"/>
                          </w:rPr>
                        </w:pPr>
                        <w:r>
                          <w:rPr>
                            <w:rFonts w:eastAsia="Calibri"/>
                            <w:bCs/>
                            <w:color w:val="000000"/>
                            <w:sz w:val="18"/>
                            <w:szCs w:val="18"/>
                          </w:rPr>
                          <w:t>14,8</w:t>
                        </w:r>
                      </w:p>
                    </w:tc>
                    <w:tc>
                      <w:tcPr>
                        <w:tcW w:w="1464" w:type="dxa"/>
                      </w:tcPr>
                      <w:p w14:paraId="3308C64A" w14:textId="6373F309">
                        <w:pPr>
                          <w:jc w:val="right"/>
                          <w:rPr>
                            <w:rFonts w:eastAsia="Calibri"/>
                            <w:bCs/>
                            <w:color w:val="000000"/>
                            <w:sz w:val="18"/>
                            <w:szCs w:val="18"/>
                          </w:rPr>
                        </w:pPr>
                        <w:r>
                          <w:rPr>
                            <w:rFonts w:eastAsia="Calibri"/>
                            <w:bCs/>
                            <w:color w:val="000000"/>
                            <w:sz w:val="18"/>
                            <w:szCs w:val="18"/>
                          </w:rPr>
                          <w:t>9,6</w:t>
                        </w:r>
                      </w:p>
                    </w:tc>
                  </w:tr>
                  <w:tr w14:paraId="64CBE0EA" w14:textId="3E62C249">
                    <w:trPr>
                      <w:trHeight w:val="154"/>
                    </w:trPr>
                    <w:tc>
                      <w:tcPr>
                        <w:tcW w:w="1296" w:type="dxa"/>
                        <w:shd w:val="clear" w:color="auto" w:fill="D9D9D9" w:themeFill="background1" w:themeFillShade="D9"/>
                      </w:tcPr>
                      <w:p w14:paraId="0C1B2A1B" w14:textId="65ACD62D">
                        <w:pPr>
                          <w:jc w:val="both"/>
                          <w:rPr>
                            <w:rFonts w:eastAsia="Calibri"/>
                            <w:b/>
                            <w:color w:val="000000"/>
                            <w:sz w:val="18"/>
                            <w:szCs w:val="18"/>
                          </w:rPr>
                        </w:pPr>
                        <w:r>
                          <w:rPr>
                            <w:rFonts w:eastAsia="Calibri"/>
                            <w:b/>
                            <w:color w:val="000000"/>
                            <w:sz w:val="18"/>
                            <w:szCs w:val="18"/>
                          </w:rPr>
                          <w:t>Marijampolės</w:t>
                        </w:r>
                      </w:p>
                    </w:tc>
                    <w:tc>
                      <w:tcPr>
                        <w:tcW w:w="914" w:type="dxa"/>
                      </w:tcPr>
                      <w:p w14:paraId="092B143F" w14:textId="404D0104">
                        <w:pPr>
                          <w:jc w:val="right"/>
                          <w:rPr>
                            <w:rFonts w:eastAsia="Calibri"/>
                            <w:bCs/>
                            <w:color w:val="000000"/>
                            <w:sz w:val="18"/>
                            <w:szCs w:val="18"/>
                          </w:rPr>
                        </w:pPr>
                        <w:r>
                          <w:rPr>
                            <w:rFonts w:eastAsia="Calibri"/>
                            <w:bCs/>
                            <w:color w:val="000000"/>
                            <w:sz w:val="18"/>
                            <w:szCs w:val="18"/>
                          </w:rPr>
                          <w:t>2 503</w:t>
                        </w:r>
                      </w:p>
                    </w:tc>
                    <w:tc>
                      <w:tcPr>
                        <w:tcW w:w="1088" w:type="dxa"/>
                      </w:tcPr>
                      <w:p w14:paraId="54B45E79" w14:textId="041FD4D6">
                        <w:pPr>
                          <w:jc w:val="right"/>
                          <w:rPr>
                            <w:rFonts w:eastAsia="Calibri"/>
                            <w:bCs/>
                            <w:color w:val="000000"/>
                            <w:sz w:val="18"/>
                            <w:szCs w:val="18"/>
                          </w:rPr>
                        </w:pPr>
                        <w:r>
                          <w:rPr>
                            <w:rFonts w:eastAsia="Calibri"/>
                            <w:bCs/>
                            <w:color w:val="000000"/>
                            <w:sz w:val="18"/>
                            <w:szCs w:val="18"/>
                          </w:rPr>
                          <w:t>2 797</w:t>
                        </w:r>
                      </w:p>
                    </w:tc>
                    <w:tc>
                      <w:tcPr>
                        <w:tcW w:w="1635" w:type="dxa"/>
                        <w:shd w:val="clear" w:color="auto" w:fill="auto"/>
                      </w:tcPr>
                      <w:p w14:paraId="26991A88" w14:textId="7D9A27B5">
                        <w:pPr>
                          <w:jc w:val="right"/>
                          <w:rPr>
                            <w:rFonts w:eastAsia="Calibri"/>
                            <w:bCs/>
                            <w:color w:val="000000"/>
                            <w:sz w:val="18"/>
                            <w:szCs w:val="18"/>
                          </w:rPr>
                        </w:pPr>
                        <w:r>
                          <w:rPr>
                            <w:rFonts w:eastAsia="Calibri"/>
                            <w:bCs/>
                            <w:color w:val="000000"/>
                            <w:sz w:val="18"/>
                            <w:szCs w:val="18"/>
                          </w:rPr>
                          <w:t>2 406</w:t>
                        </w:r>
                      </w:p>
                    </w:tc>
                    <w:tc>
                      <w:tcPr>
                        <w:tcW w:w="1754" w:type="dxa"/>
                      </w:tcPr>
                      <w:p w14:paraId="5A9B8D53" w14:textId="73107F67">
                        <w:pPr>
                          <w:jc w:val="right"/>
                          <w:rPr>
                            <w:rFonts w:eastAsia="Calibri"/>
                            <w:bCs/>
                            <w:color w:val="000000"/>
                            <w:sz w:val="18"/>
                            <w:szCs w:val="18"/>
                          </w:rPr>
                        </w:pPr>
                        <w:r>
                          <w:rPr>
                            <w:rFonts w:eastAsia="Calibri"/>
                            <w:bCs/>
                            <w:color w:val="000000"/>
                            <w:sz w:val="18"/>
                            <w:szCs w:val="18"/>
                          </w:rPr>
                          <w:t>86</w:t>
                        </w:r>
                      </w:p>
                    </w:tc>
                    <w:tc>
                      <w:tcPr>
                        <w:tcW w:w="1598" w:type="dxa"/>
                      </w:tcPr>
                      <w:p w14:paraId="1C8992A7" w14:textId="1FC4A55E">
                        <w:pPr>
                          <w:jc w:val="right"/>
                          <w:rPr>
                            <w:rFonts w:eastAsia="Calibri"/>
                            <w:bCs/>
                            <w:color w:val="000000"/>
                            <w:sz w:val="18"/>
                            <w:szCs w:val="18"/>
                          </w:rPr>
                        </w:pPr>
                        <w:r>
                          <w:rPr>
                            <w:rFonts w:eastAsia="Calibri"/>
                            <w:bCs/>
                            <w:color w:val="000000"/>
                            <w:sz w:val="18"/>
                            <w:szCs w:val="18"/>
                          </w:rPr>
                          <w:t>7,9</w:t>
                        </w:r>
                      </w:p>
                    </w:tc>
                    <w:tc>
                      <w:tcPr>
                        <w:tcW w:w="1464" w:type="dxa"/>
                      </w:tcPr>
                      <w:p w14:paraId="6DC4427C" w14:textId="50B0030A">
                        <w:pPr>
                          <w:jc w:val="right"/>
                          <w:rPr>
                            <w:rFonts w:eastAsia="Calibri"/>
                            <w:bCs/>
                            <w:color w:val="000000"/>
                            <w:sz w:val="18"/>
                            <w:szCs w:val="18"/>
                          </w:rPr>
                        </w:pPr>
                        <w:r>
                          <w:rPr>
                            <w:rFonts w:eastAsia="Calibri"/>
                            <w:bCs/>
                            <w:color w:val="000000"/>
                            <w:sz w:val="18"/>
                            <w:szCs w:val="18"/>
                          </w:rPr>
                          <w:t>2,8</w:t>
                        </w:r>
                      </w:p>
                    </w:tc>
                  </w:tr>
                  <w:tr w14:paraId="0FF06D8B" w14:textId="25CD7C33">
                    <w:trPr>
                      <w:trHeight w:val="154"/>
                    </w:trPr>
                    <w:tc>
                      <w:tcPr>
                        <w:tcW w:w="1296" w:type="dxa"/>
                        <w:shd w:val="clear" w:color="auto" w:fill="D9D9D9" w:themeFill="background1" w:themeFillShade="D9"/>
                      </w:tcPr>
                      <w:p w14:paraId="3A947B1D" w14:textId="77777777">
                        <w:pPr>
                          <w:jc w:val="both"/>
                          <w:rPr>
                            <w:rFonts w:eastAsia="Calibri"/>
                            <w:b/>
                            <w:color w:val="000000"/>
                            <w:sz w:val="18"/>
                            <w:szCs w:val="18"/>
                          </w:rPr>
                        </w:pPr>
                        <w:r>
                          <w:rPr>
                            <w:rFonts w:eastAsia="Calibri"/>
                            <w:b/>
                            <w:color w:val="000000"/>
                            <w:sz w:val="18"/>
                            <w:szCs w:val="18"/>
                          </w:rPr>
                          <w:t>Šakių rajono</w:t>
                        </w:r>
                      </w:p>
                    </w:tc>
                    <w:tc>
                      <w:tcPr>
                        <w:tcW w:w="914" w:type="dxa"/>
                      </w:tcPr>
                      <w:p w14:paraId="6D43E8B7" w14:textId="77777777">
                        <w:pPr>
                          <w:jc w:val="right"/>
                          <w:rPr>
                            <w:rFonts w:eastAsia="Calibri"/>
                            <w:bCs/>
                            <w:color w:val="000000"/>
                            <w:sz w:val="18"/>
                            <w:szCs w:val="18"/>
                          </w:rPr>
                        </w:pPr>
                        <w:r>
                          <w:rPr>
                            <w:rFonts w:eastAsia="Calibri"/>
                            <w:bCs/>
                            <w:color w:val="000000"/>
                            <w:sz w:val="18"/>
                            <w:szCs w:val="18"/>
                          </w:rPr>
                          <w:t>974</w:t>
                        </w:r>
                      </w:p>
                    </w:tc>
                    <w:tc>
                      <w:tcPr>
                        <w:tcW w:w="1088" w:type="dxa"/>
                      </w:tcPr>
                      <w:p w14:paraId="6143A4DF" w14:textId="5434BA3B">
                        <w:pPr>
                          <w:jc w:val="right"/>
                          <w:rPr>
                            <w:rFonts w:eastAsia="Calibri"/>
                            <w:bCs/>
                            <w:color w:val="000000"/>
                            <w:sz w:val="18"/>
                            <w:szCs w:val="18"/>
                          </w:rPr>
                        </w:pPr>
                        <w:r>
                          <w:rPr>
                            <w:rFonts w:eastAsia="Calibri"/>
                            <w:bCs/>
                            <w:color w:val="000000"/>
                            <w:sz w:val="18"/>
                            <w:szCs w:val="18"/>
                          </w:rPr>
                          <w:t>1 145</w:t>
                        </w:r>
                      </w:p>
                    </w:tc>
                    <w:tc>
                      <w:tcPr>
                        <w:tcW w:w="1635" w:type="dxa"/>
                        <w:shd w:val="clear" w:color="auto" w:fill="auto"/>
                      </w:tcPr>
                      <w:p w14:paraId="7B18EA88" w14:textId="77777777">
                        <w:pPr>
                          <w:jc w:val="right"/>
                          <w:rPr>
                            <w:rFonts w:eastAsia="Calibri"/>
                            <w:bCs/>
                            <w:color w:val="000000"/>
                            <w:sz w:val="18"/>
                            <w:szCs w:val="18"/>
                          </w:rPr>
                        </w:pPr>
                        <w:r>
                          <w:rPr>
                            <w:rFonts w:eastAsia="Calibri"/>
                            <w:bCs/>
                            <w:color w:val="000000"/>
                            <w:sz w:val="18"/>
                            <w:szCs w:val="18"/>
                          </w:rPr>
                          <w:t>900</w:t>
                        </w:r>
                      </w:p>
                    </w:tc>
                    <w:tc>
                      <w:tcPr>
                        <w:tcW w:w="1754" w:type="dxa"/>
                      </w:tcPr>
                      <w:p w14:paraId="05EA565A" w14:textId="77777777">
                        <w:pPr>
                          <w:jc w:val="right"/>
                          <w:rPr>
                            <w:rFonts w:eastAsia="Calibri"/>
                            <w:bCs/>
                            <w:color w:val="000000"/>
                            <w:sz w:val="18"/>
                            <w:szCs w:val="18"/>
                          </w:rPr>
                        </w:pPr>
                        <w:r>
                          <w:rPr>
                            <w:rFonts w:eastAsia="Calibri"/>
                            <w:bCs/>
                            <w:color w:val="000000"/>
                            <w:sz w:val="18"/>
                            <w:szCs w:val="18"/>
                          </w:rPr>
                          <w:t>79</w:t>
                        </w:r>
                      </w:p>
                    </w:tc>
                    <w:tc>
                      <w:tcPr>
                        <w:tcW w:w="1598" w:type="dxa"/>
                      </w:tcPr>
                      <w:p w14:paraId="09FF6063" w14:textId="71776443">
                        <w:pPr>
                          <w:jc w:val="right"/>
                          <w:rPr>
                            <w:rFonts w:eastAsia="Calibri"/>
                            <w:bCs/>
                            <w:color w:val="000000"/>
                            <w:sz w:val="18"/>
                            <w:szCs w:val="18"/>
                          </w:rPr>
                        </w:pPr>
                        <w:r>
                          <w:rPr>
                            <w:rFonts w:eastAsia="Calibri"/>
                            <w:bCs/>
                            <w:color w:val="000000"/>
                            <w:sz w:val="18"/>
                            <w:szCs w:val="18"/>
                          </w:rPr>
                          <w:t>8,0</w:t>
                        </w:r>
                      </w:p>
                    </w:tc>
                    <w:tc>
                      <w:tcPr>
                        <w:tcW w:w="1464" w:type="dxa"/>
                      </w:tcPr>
                      <w:p w14:paraId="57228379" w14:textId="0C0B349C">
                        <w:pPr>
                          <w:jc w:val="right"/>
                          <w:rPr>
                            <w:rFonts w:eastAsia="Calibri"/>
                            <w:bCs/>
                            <w:color w:val="000000"/>
                            <w:sz w:val="18"/>
                            <w:szCs w:val="18"/>
                          </w:rPr>
                        </w:pPr>
                        <w:r>
                          <w:rPr>
                            <w:rFonts w:eastAsia="Calibri"/>
                            <w:bCs/>
                            <w:color w:val="000000"/>
                            <w:sz w:val="18"/>
                            <w:szCs w:val="18"/>
                          </w:rPr>
                          <w:t>10,1</w:t>
                        </w:r>
                      </w:p>
                    </w:tc>
                  </w:tr>
                  <w:tr w14:paraId="1D3345C1" w14:textId="4A008CC8">
                    <w:trPr>
                      <w:trHeight w:val="154"/>
                    </w:trPr>
                    <w:tc>
                      <w:tcPr>
                        <w:tcW w:w="1296" w:type="dxa"/>
                        <w:shd w:val="clear" w:color="auto" w:fill="D9D9D9" w:themeFill="background1" w:themeFillShade="D9"/>
                      </w:tcPr>
                      <w:p w14:paraId="15A71D27" w14:textId="77777777">
                        <w:pPr>
                          <w:jc w:val="both"/>
                          <w:rPr>
                            <w:rFonts w:eastAsia="Calibri"/>
                            <w:b/>
                            <w:color w:val="000000"/>
                            <w:sz w:val="18"/>
                            <w:szCs w:val="18"/>
                          </w:rPr>
                        </w:pPr>
                        <w:r>
                          <w:rPr>
                            <w:rFonts w:eastAsia="Calibri"/>
                            <w:b/>
                            <w:color w:val="000000"/>
                            <w:sz w:val="18"/>
                            <w:szCs w:val="18"/>
                          </w:rPr>
                          <w:t>Vilkaviškio rajono</w:t>
                        </w:r>
                      </w:p>
                    </w:tc>
                    <w:tc>
                      <w:tcPr>
                        <w:tcW w:w="914" w:type="dxa"/>
                      </w:tcPr>
                      <w:p w14:paraId="471628B9" w14:textId="652CD622">
                        <w:pPr>
                          <w:jc w:val="right"/>
                          <w:rPr>
                            <w:rFonts w:eastAsia="Calibri"/>
                            <w:bCs/>
                            <w:color w:val="000000"/>
                            <w:sz w:val="18"/>
                            <w:szCs w:val="18"/>
                          </w:rPr>
                        </w:pPr>
                        <w:r>
                          <w:rPr>
                            <w:rFonts w:eastAsia="Calibri"/>
                            <w:bCs/>
                            <w:color w:val="000000"/>
                            <w:sz w:val="18"/>
                            <w:szCs w:val="18"/>
                          </w:rPr>
                          <w:t>1 319</w:t>
                        </w:r>
                      </w:p>
                    </w:tc>
                    <w:tc>
                      <w:tcPr>
                        <w:tcW w:w="1088" w:type="dxa"/>
                      </w:tcPr>
                      <w:p w14:paraId="38252CF4" w14:textId="05D954E2">
                        <w:pPr>
                          <w:jc w:val="right"/>
                          <w:rPr>
                            <w:rFonts w:eastAsia="Calibri"/>
                            <w:bCs/>
                            <w:color w:val="000000"/>
                            <w:sz w:val="18"/>
                            <w:szCs w:val="18"/>
                          </w:rPr>
                        </w:pPr>
                        <w:r>
                          <w:rPr>
                            <w:rFonts w:eastAsia="Calibri"/>
                            <w:bCs/>
                            <w:color w:val="000000"/>
                            <w:sz w:val="18"/>
                            <w:szCs w:val="18"/>
                          </w:rPr>
                          <w:t>1 663</w:t>
                        </w:r>
                      </w:p>
                    </w:tc>
                    <w:tc>
                      <w:tcPr>
                        <w:tcW w:w="1635" w:type="dxa"/>
                        <w:shd w:val="clear" w:color="auto" w:fill="auto"/>
                      </w:tcPr>
                      <w:p w14:paraId="053A6E20" w14:textId="1DF24125">
                        <w:pPr>
                          <w:jc w:val="right"/>
                          <w:rPr>
                            <w:rFonts w:eastAsia="Calibri"/>
                            <w:bCs/>
                            <w:color w:val="000000"/>
                            <w:sz w:val="18"/>
                            <w:szCs w:val="18"/>
                            <w:lang w:val="en-GB"/>
                          </w:rPr>
                        </w:pPr>
                        <w:r>
                          <w:rPr>
                            <w:rFonts w:eastAsia="Calibri"/>
                            <w:bCs/>
                            <w:color w:val="000000"/>
                            <w:sz w:val="18"/>
                            <w:szCs w:val="18"/>
                          </w:rPr>
                          <w:t>1 271</w:t>
                        </w:r>
                      </w:p>
                    </w:tc>
                    <w:tc>
                      <w:tcPr>
                        <w:tcW w:w="1754" w:type="dxa"/>
                      </w:tcPr>
                      <w:p w14:paraId="2D9F812A" w14:textId="77777777">
                        <w:pPr>
                          <w:jc w:val="right"/>
                          <w:rPr>
                            <w:rFonts w:eastAsia="Calibri"/>
                            <w:bCs/>
                            <w:color w:val="000000"/>
                            <w:sz w:val="18"/>
                            <w:szCs w:val="18"/>
                          </w:rPr>
                        </w:pPr>
                        <w:r>
                          <w:rPr>
                            <w:rFonts w:eastAsia="Calibri"/>
                            <w:bCs/>
                            <w:color w:val="000000"/>
                            <w:sz w:val="18"/>
                            <w:szCs w:val="18"/>
                          </w:rPr>
                          <w:t>76</w:t>
                        </w:r>
                      </w:p>
                    </w:tc>
                    <w:tc>
                      <w:tcPr>
                        <w:tcW w:w="1598" w:type="dxa"/>
                      </w:tcPr>
                      <w:p w14:paraId="5B2B034B" w14:textId="057110F4">
                        <w:pPr>
                          <w:jc w:val="right"/>
                          <w:rPr>
                            <w:rFonts w:eastAsia="Calibri"/>
                            <w:bCs/>
                            <w:color w:val="000000"/>
                            <w:sz w:val="18"/>
                            <w:szCs w:val="18"/>
                          </w:rPr>
                        </w:pPr>
                        <w:r>
                          <w:rPr>
                            <w:rFonts w:eastAsia="Calibri"/>
                            <w:bCs/>
                            <w:color w:val="000000"/>
                            <w:sz w:val="18"/>
                            <w:szCs w:val="18"/>
                          </w:rPr>
                          <w:t>6,3</w:t>
                        </w:r>
                      </w:p>
                    </w:tc>
                    <w:tc>
                      <w:tcPr>
                        <w:tcW w:w="1464" w:type="dxa"/>
                      </w:tcPr>
                      <w:p w14:paraId="1225B17F" w14:textId="05BECD5C">
                        <w:pPr>
                          <w:jc w:val="right"/>
                          <w:rPr>
                            <w:rFonts w:eastAsia="Calibri"/>
                            <w:bCs/>
                            <w:color w:val="000000"/>
                            <w:sz w:val="18"/>
                            <w:szCs w:val="18"/>
                          </w:rPr>
                        </w:pPr>
                        <w:r>
                          <w:rPr>
                            <w:rFonts w:eastAsia="Calibri"/>
                            <w:bCs/>
                            <w:color w:val="000000"/>
                            <w:sz w:val="18"/>
                            <w:szCs w:val="18"/>
                          </w:rPr>
                          <w:t>7,1</w:t>
                        </w:r>
                      </w:p>
                    </w:tc>
                  </w:tr>
                </w:tbl>
                <w:p w14:paraId="26F9DC73" w14:textId="77777777">
                  <w:pPr>
                    <w:ind w:firstLine="478"/>
                    <w:jc w:val="both"/>
                    <w:rPr>
                      <w:rFonts w:eastAsia="Calibri"/>
                      <w:bCs/>
                      <w:color w:val="000000"/>
                      <w:sz w:val="22"/>
                      <w:szCs w:val="22"/>
                    </w:rPr>
                  </w:pPr>
                </w:p>
                <w:p w14:paraId="553387F8" w14:textId="76D00FC4">
                  <w:pPr>
                    <w:ind w:firstLine="478"/>
                    <w:jc w:val="both"/>
                    <w:rPr>
                      <w:rFonts w:eastAsia="Calibri"/>
                      <w:bCs/>
                      <w:color w:val="000000"/>
                      <w:szCs w:val="24"/>
                    </w:rPr>
                  </w:pPr>
                  <w:r>
                    <w:rPr>
                      <w:rFonts w:eastAsia="Calibri"/>
                      <w:bCs/>
                      <w:color w:val="000000"/>
                      <w:szCs w:val="24"/>
                    </w:rPr>
                    <w:t>Žemam įsitraukimui į ikimokyklinį ugdymą gali turėti įtakos regiono specifika – pusė regiono gyventojų gyvena kaimo vietovėse, kur viešųjų paslaugų užtikrinimas ir prieinamumas sudėtingesnis nei miesto vietovėse (pavėžėjimo poreikis Šakių rajono savivaldybėje), vietų trūkumas mieste (Kazlų Rūdos ir Vilkaviškio rajono savivaldybėse), ankstyvojo ikimokyklinio ugdymo vietų trūkumas (Kazlų Rūdos, Šakių ir Vilkaviškio rajono savivaldybėse).</w:t>
                  </w:r>
                </w:p>
                <w:p w14:paraId="62078458" w14:textId="77777777">
                  <w:pPr>
                    <w:ind w:firstLine="478"/>
                    <w:jc w:val="both"/>
                    <w:rPr>
                      <w:rFonts w:eastAsia="Calibri"/>
                      <w:bCs/>
                      <w:color w:val="000000"/>
                      <w:sz w:val="12"/>
                      <w:szCs w:val="12"/>
                    </w:rPr>
                  </w:pPr>
                </w:p>
              </w:sdtContent>
            </w:sdt>
            <w:sdt>
              <w:sdtPr>
                <w:alias w:val="poskyris"/>
                <w:tag w:val="part_220bee033c714d5988dae9baccdb04fa"/>
                <w:lock w:val="sdtLocked"/>
                <w:richText/>
              </w:sdtPr>
              <w:sdtContent>
                <w:p w14:paraId="2A3D4BD7" w14:textId="113C8F7E">
                  <w:pPr>
                    <w:jc w:val="both"/>
                    <w:rPr>
                      <w:rFonts w:eastAsia="Calibri"/>
                      <w:b/>
                      <w:color w:val="000000"/>
                      <w:szCs w:val="24"/>
                    </w:rPr>
                  </w:pPr>
                  <w:sdt>
                    <w:sdtPr>
                      <w:alias w:val="Pavadinimas"/>
                      <w:tag w:val="title_220bee033c714d5988dae9baccdb04fa"/>
                      <w:lock w:val="sdtLocked"/>
                      <w:richText/>
                    </w:sdtPr>
                    <w:sdtContent>
                      <w:r>
                        <w:rPr>
                          <w:rFonts w:eastAsia="Calibri"/>
                          <w:b/>
                          <w:color w:val="000000"/>
                          <w:szCs w:val="24"/>
                        </w:rPr>
                        <w:t>Poreikio naujų ikimokyklinio ugdymo vietų kūrimui Marijampolės regiono savivaldybėse pagrindimas</w:t>
                      </w:r>
                    </w:sdtContent>
                  </w:sdt>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8080"/>
                  </w:tblGrid>
                  <w:tr w14:paraId="188DC4CD" w14:textId="2865BC28">
                    <w:trPr>
                      <w:trHeight w:val="64"/>
                    </w:trPr>
                    <w:tc>
                      <w:tcPr>
                        <w:tcW w:w="1696" w:type="dxa"/>
                        <w:shd w:val="clear" w:color="auto" w:fill="D9D9D9" w:themeFill="background1" w:themeFillShade="D9"/>
                      </w:tcPr>
                      <w:p w14:paraId="01C6F4BC" w14:textId="0BFC514B">
                        <w:pPr>
                          <w:jc w:val="center"/>
                          <w:rPr>
                            <w:rFonts w:eastAsia="Calibri"/>
                            <w:b/>
                            <w:color w:val="000000"/>
                            <w:szCs w:val="24"/>
                          </w:rPr>
                        </w:pPr>
                        <w:r>
                          <w:rPr>
                            <w:rFonts w:eastAsia="Calibri"/>
                            <w:b/>
                            <w:color w:val="000000"/>
                            <w:szCs w:val="24"/>
                          </w:rPr>
                          <w:t>Savivaldybė</w:t>
                        </w:r>
                      </w:p>
                    </w:tc>
                    <w:tc>
                      <w:tcPr>
                        <w:tcW w:w="8080" w:type="dxa"/>
                        <w:shd w:val="clear" w:color="auto" w:fill="D9D9D9" w:themeFill="background1" w:themeFillShade="D9"/>
                      </w:tcPr>
                      <w:p w14:paraId="6A91D7CF" w14:textId="263EF47D">
                        <w:pPr>
                          <w:jc w:val="center"/>
                          <w:rPr>
                            <w:rFonts w:eastAsia="Calibri"/>
                            <w:b/>
                            <w:color w:val="000000"/>
                            <w:szCs w:val="24"/>
                          </w:rPr>
                        </w:pPr>
                        <w:r>
                          <w:rPr>
                            <w:rFonts w:eastAsia="Calibri"/>
                            <w:b/>
                            <w:bCs/>
                            <w:iCs/>
                            <w:color w:val="000000"/>
                            <w:szCs w:val="24"/>
                          </w:rPr>
                          <w:t>Poreikio pagrindimas</w:t>
                        </w:r>
                      </w:p>
                    </w:tc>
                  </w:tr>
                  <w:tr w14:paraId="71DCC4C4" w14:textId="77777777">
                    <w:trPr>
                      <w:trHeight w:val="164"/>
                    </w:trPr>
                    <w:tc>
                      <w:tcPr>
                        <w:tcW w:w="1696" w:type="dxa"/>
                        <w:shd w:val="clear" w:color="auto" w:fill="D9D9D9" w:themeFill="background1" w:themeFillShade="D9"/>
                      </w:tcPr>
                      <w:p w14:paraId="364747DA" w14:textId="4AF4464B">
                        <w:pPr>
                          <w:jc w:val="both"/>
                          <w:rPr>
                            <w:rFonts w:eastAsia="Calibri"/>
                            <w:b/>
                            <w:color w:val="000000"/>
                            <w:szCs w:val="24"/>
                          </w:rPr>
                        </w:pPr>
                        <w:r>
                          <w:rPr>
                            <w:rFonts w:eastAsia="Calibri"/>
                            <w:b/>
                            <w:color w:val="000000"/>
                            <w:szCs w:val="24"/>
                          </w:rPr>
                          <w:t>Kalvarijos</w:t>
                        </w:r>
                      </w:p>
                    </w:tc>
                    <w:tc>
                      <w:tcPr>
                        <w:tcW w:w="8080" w:type="dxa"/>
                      </w:tcPr>
                      <w:p w14:paraId="679C4A56" w14:textId="7D472092">
                        <w:pPr>
                          <w:jc w:val="both"/>
                          <w:rPr>
                            <w:iCs/>
                            <w:color w:val="000000"/>
                            <w:szCs w:val="24"/>
                          </w:rPr>
                        </w:pPr>
                        <w:r>
                          <w:rPr>
                            <w:iCs/>
                            <w:color w:val="000000"/>
                            <w:szCs w:val="24"/>
                          </w:rPr>
                          <w:t>Esamos vietos dažnai nėra užpildomos, laukiančiųjų eilių nėra, visi prašymai yra tenkinami. Poreikiui esant naujos vietos būtų kuriamos savivaldybės lėšomis.</w:t>
                        </w:r>
                      </w:p>
                    </w:tc>
                  </w:tr>
                  <w:tr w14:paraId="7BA4FF98" w14:textId="77777777">
                    <w:trPr>
                      <w:trHeight w:val="164"/>
                    </w:trPr>
                    <w:tc>
                      <w:tcPr>
                        <w:tcW w:w="1696" w:type="dxa"/>
                        <w:shd w:val="clear" w:color="auto" w:fill="D9D9D9" w:themeFill="background1" w:themeFillShade="D9"/>
                      </w:tcPr>
                      <w:p w14:paraId="05CB6CEE" w14:textId="704C3D74">
                        <w:pPr>
                          <w:jc w:val="both"/>
                          <w:rPr>
                            <w:rFonts w:eastAsia="Calibri"/>
                            <w:b/>
                            <w:color w:val="000000"/>
                            <w:szCs w:val="24"/>
                          </w:rPr>
                        </w:pPr>
                        <w:r>
                          <w:rPr>
                            <w:rFonts w:eastAsia="Calibri"/>
                            <w:b/>
                            <w:color w:val="000000"/>
                            <w:szCs w:val="24"/>
                          </w:rPr>
                          <w:t>Marijampolės</w:t>
                        </w:r>
                      </w:p>
                    </w:tc>
                    <w:tc>
                      <w:tcPr>
                        <w:tcW w:w="8080" w:type="dxa"/>
                      </w:tcPr>
                      <w:p w14:paraId="681EAB78" w14:textId="66012714">
                        <w:pPr>
                          <w:jc w:val="both"/>
                          <w:rPr>
                            <w:iCs/>
                            <w:color w:val="000000"/>
                            <w:szCs w:val="24"/>
                          </w:rPr>
                        </w:pPr>
                        <w:r>
                          <w:rPr>
                            <w:iCs/>
                            <w:color w:val="000000"/>
                            <w:szCs w:val="24"/>
                          </w:rPr>
                          <w:t>Marijampolės savivaldybėje nuo 2022-09-01 pradėjo veikti 5 naujos ikimokyklinio ugdymo grupės, jose naujų vietų skaičius – 96. Šiuo metu poreikio naujų vietų kūrimui nėra.</w:t>
                        </w:r>
                      </w:p>
                    </w:tc>
                  </w:tr>
                  <w:tr w14:paraId="46F7EB4B" w14:textId="6769B832">
                    <w:trPr>
                      <w:trHeight w:val="164"/>
                    </w:trPr>
                    <w:tc>
                      <w:tcPr>
                        <w:tcW w:w="1696" w:type="dxa"/>
                        <w:shd w:val="clear" w:color="auto" w:fill="D9D9D9" w:themeFill="background1" w:themeFillShade="D9"/>
                      </w:tcPr>
                      <w:p w14:paraId="11C3AEB6" w14:textId="228D3B9C">
                        <w:pPr>
                          <w:jc w:val="both"/>
                          <w:rPr>
                            <w:rFonts w:eastAsia="Calibri"/>
                            <w:b/>
                            <w:color w:val="000000"/>
                            <w:szCs w:val="24"/>
                          </w:rPr>
                        </w:pPr>
                        <w:r>
                          <w:rPr>
                            <w:rFonts w:eastAsia="Calibri"/>
                            <w:b/>
                            <w:color w:val="000000"/>
                            <w:szCs w:val="24"/>
                          </w:rPr>
                          <w:t>Kazlų Rūdos</w:t>
                        </w:r>
                      </w:p>
                    </w:tc>
                    <w:tc>
                      <w:tcPr>
                        <w:tcW w:w="8080" w:type="dxa"/>
                      </w:tcPr>
                      <w:p w14:paraId="2F5987CA" w14:textId="58362A90">
                        <w:pPr>
                          <w:jc w:val="both"/>
                          <w:rPr>
                            <w:rFonts w:eastAsia="Calibri"/>
                            <w:bCs/>
                            <w:color w:val="000000"/>
                            <w:szCs w:val="24"/>
                          </w:rPr>
                        </w:pPr>
                        <w:r>
                          <w:rPr>
                            <w:iCs/>
                            <w:color w:val="000000"/>
                            <w:szCs w:val="24"/>
                          </w:rPr>
                          <w:t>Iki 3 metų IU amžiaus grupės, veikiančios miesto teritorijoje yra pilnai užpildytos ir kasmet iki 20 vaikų negali patekti į ugdymo įstaigas („Pušelės“ l/d). Į IU grupes nuo 3 iki 5 metų kasmet (miesto teritorijoje) nepatenka iki 5 vaikų (Pradinė mokykla, „Pušelės“ l/d).</w:t>
                        </w:r>
                      </w:p>
                    </w:tc>
                  </w:tr>
                  <w:tr w14:paraId="54E85B31" w14:textId="14A12FAE">
                    <w:trPr>
                      <w:trHeight w:val="164"/>
                    </w:trPr>
                    <w:tc>
                      <w:tcPr>
                        <w:tcW w:w="1696" w:type="dxa"/>
                        <w:shd w:val="clear" w:color="auto" w:fill="D9D9D9" w:themeFill="background1" w:themeFillShade="D9"/>
                      </w:tcPr>
                      <w:p w14:paraId="300A64C7" w14:textId="1D04FDDD">
                        <w:pPr>
                          <w:jc w:val="both"/>
                          <w:rPr>
                            <w:rFonts w:eastAsia="Calibri"/>
                            <w:b/>
                            <w:color w:val="000000"/>
                            <w:szCs w:val="24"/>
                          </w:rPr>
                        </w:pPr>
                        <w:r>
                          <w:rPr>
                            <w:rFonts w:eastAsia="Calibri"/>
                            <w:b/>
                            <w:color w:val="000000"/>
                            <w:szCs w:val="24"/>
                          </w:rPr>
                          <w:t>Šakių rajono</w:t>
                        </w:r>
                      </w:p>
                    </w:tc>
                    <w:tc>
                      <w:tcPr>
                        <w:tcW w:w="8080" w:type="dxa"/>
                      </w:tcPr>
                      <w:p w14:paraId="6B00F63B" w14:textId="310BB745">
                        <w:pPr>
                          <w:jc w:val="both"/>
                          <w:rPr>
                            <w:rFonts w:eastAsia="Calibri"/>
                            <w:bCs/>
                            <w:color w:val="000000"/>
                            <w:szCs w:val="24"/>
                          </w:rPr>
                        </w:pPr>
                        <w:r>
                          <w:rPr>
                            <w:rFonts w:eastAsia="Calibri"/>
                            <w:iCs/>
                            <w:color w:val="000000"/>
                            <w:szCs w:val="24"/>
                          </w:rPr>
                          <w:t>Yra daug pageidavimų dėl 1-2 metų vaikų priėmimo, kam šiuo metu nėra galimybių.</w:t>
                        </w:r>
                      </w:p>
                    </w:tc>
                  </w:tr>
                  <w:tr w14:paraId="5B1A7DD8" w14:textId="738577C0">
                    <w:trPr>
                      <w:trHeight w:val="164"/>
                    </w:trPr>
                    <w:tc>
                      <w:tcPr>
                        <w:tcW w:w="1696" w:type="dxa"/>
                        <w:shd w:val="clear" w:color="auto" w:fill="D9D9D9" w:themeFill="background1" w:themeFillShade="D9"/>
                      </w:tcPr>
                      <w:p w14:paraId="70FF3A6B" w14:textId="0F9D310A">
                        <w:pPr>
                          <w:jc w:val="both"/>
                          <w:rPr>
                            <w:rFonts w:eastAsia="Calibri"/>
                            <w:b/>
                            <w:color w:val="000000"/>
                            <w:szCs w:val="24"/>
                          </w:rPr>
                        </w:pPr>
                        <w:r>
                          <w:rPr>
                            <w:rFonts w:eastAsia="Calibri"/>
                            <w:b/>
                            <w:color w:val="000000"/>
                            <w:szCs w:val="24"/>
                          </w:rPr>
                          <w:t>Vilkaviškio rajono</w:t>
                        </w:r>
                      </w:p>
                    </w:tc>
                    <w:tc>
                      <w:tcPr>
                        <w:tcW w:w="8080" w:type="dxa"/>
                      </w:tcPr>
                      <w:p w14:paraId="119FD76E" w14:textId="2982AD8E">
                        <w:pPr>
                          <w:jc w:val="both"/>
                          <w:rPr>
                            <w:rFonts w:eastAsia="Calibri"/>
                            <w:bCs/>
                            <w:color w:val="000000"/>
                            <w:szCs w:val="24"/>
                          </w:rPr>
                        </w:pPr>
                        <w:r>
                          <w:rPr>
                            <w:rFonts w:eastAsia="Calibri"/>
                            <w:iCs/>
                            <w:color w:val="000000"/>
                            <w:szCs w:val="24"/>
                          </w:rPr>
                          <w:t>Įvedus visuotinį privalomą ikimokyklinį ugdymą planuojama, kad ikimokyklinio amžiaus vaikų lankančių ikimokyklinio ugdymo įstaigas padidės, kas sąlygos tinkamos infrastruktūros, pritaikytos vaikų ugdymui, trūkumą ikimokyklinio ugdymo įstaigose.</w:t>
                        </w:r>
                      </w:p>
                    </w:tc>
                  </w:tr>
                </w:tbl>
                <w:p w14:paraId="217070DF" w14:textId="77777777">
                  <w:pPr>
                    <w:tabs>
                      <w:tab w:val="left" w:pos="598"/>
                    </w:tabs>
                    <w:ind w:firstLine="567"/>
                    <w:jc w:val="both"/>
                    <w:rPr>
                      <w:iCs/>
                      <w:color w:val="000000"/>
                      <w:szCs w:val="24"/>
                    </w:rPr>
                  </w:pPr>
                </w:p>
                <w:p w14:paraId="34F41CA5" w14:textId="0BA3AEAA">
                  <w:pPr>
                    <w:tabs>
                      <w:tab w:val="left" w:pos="598"/>
                    </w:tabs>
                    <w:ind w:firstLine="567"/>
                    <w:jc w:val="both"/>
                    <w:rPr>
                      <w:color w:val="000000"/>
                      <w:szCs w:val="24"/>
                    </w:rPr>
                  </w:pPr>
                  <w:r>
                    <w:rPr>
                      <w:iCs/>
                      <w:color w:val="000000"/>
                      <w:szCs w:val="24"/>
                    </w:rPr>
                    <w:t xml:space="preserve">Remiantis </w:t>
                  </w:r>
                  <w:r>
                    <w:rPr>
                      <w:i/>
                      <w:color w:val="000000"/>
                      <w:szCs w:val="24"/>
                    </w:rPr>
                    <w:t>Ikimokyklinio ugdymo infrastruktūros plėtros Lietuvos savivaldybėse galimybių studija</w:t>
                  </w:r>
                  <w:r>
                    <w:rPr>
                      <w:iCs/>
                      <w:color w:val="000000"/>
                      <w:szCs w:val="24"/>
                      <w:vertAlign w:val="superscript"/>
                    </w:rPr>
                    <w:footnoteReference w:id="7"/>
                  </w:r>
                  <w:r>
                    <w:rPr>
                      <w:iCs/>
                      <w:color w:val="000000"/>
                      <w:szCs w:val="24"/>
                    </w:rPr>
                    <w:t xml:space="preserve">, Europos Sąjungos šalys yra įsipareigojusios kovoti su vaikų patiriamu skurdu, užtikrinti jiems lygias galimybes gauti ikimokyklinį ugdymą. Studijoje teigiama, kad </w:t>
                  </w:r>
                  <w:r>
                    <w:rPr>
                      <w:color w:val="000000"/>
                      <w:szCs w:val="24"/>
                    </w:rPr>
                    <w:t xml:space="preserve">PISA (angl. Programme for International Student Assessment)  tyrimo duomenimis, mokiniai, kurie bent vienus metus ar ilgiau dalyvavo ikimokyklinio ugdymo procese, atliekant kognityvinių gebėjimų tyrimus paprastai pasirodo geriau nei tie, kurie jame dalyvavo trumpiau arba visai nedalyvavo. Be to, pastebėta, kad dalyvavimas ikimokyklinio ugdymo procese turi ypač teigiamą poveikį penkiolikmečių, kilusių iš nepalankios socialinės ir ekonominės aplinkos, pasiekimams. </w:t>
                  </w:r>
                </w:p>
                <w:p w14:paraId="13FBC0D5" w14:textId="77777777">
                  <w:pPr>
                    <w:tabs>
                      <w:tab w:val="left" w:pos="598"/>
                    </w:tabs>
                    <w:ind w:firstLine="567"/>
                    <w:jc w:val="both"/>
                    <w:rPr>
                      <w:iCs/>
                      <w:color w:val="000000"/>
                      <w:szCs w:val="24"/>
                    </w:rPr>
                  </w:pPr>
                  <w:r>
                    <w:rPr>
                      <w:color w:val="000000"/>
                      <w:szCs w:val="24"/>
                    </w:rPr>
                    <w:t xml:space="preserve">Atsižvelgiant į aukštus socialinės atskirties ir skurdo rodiklius Marijampolės regione, priežasčių, lemiančių nepakankamą ikimokyklinio ugdymo paslaugų prieinamumą ir kokybę, šalinimas prisidėtų prie socialinės atskirties ir skurdo regione sumažinimo. </w:t>
                  </w:r>
                </w:p>
                <w:p w14:paraId="3C216B85" w14:textId="77777777">
                  <w:pPr>
                    <w:tabs>
                      <w:tab w:val="left" w:pos="598"/>
                    </w:tabs>
                    <w:ind w:firstLine="567"/>
                    <w:jc w:val="both"/>
                    <w:rPr>
                      <w:color w:val="000000"/>
                      <w:szCs w:val="24"/>
                    </w:rPr>
                  </w:pPr>
                  <w:r>
                    <w:rPr>
                      <w:b/>
                      <w:bCs/>
                      <w:iCs/>
                      <w:color w:val="000000"/>
                      <w:szCs w:val="24"/>
                    </w:rPr>
                    <w:t xml:space="preserve">Visos dienos mokykla. </w:t>
                  </w:r>
                  <w:r>
                    <w:rPr>
                      <w:color w:val="000000"/>
                      <w:szCs w:val="24"/>
                    </w:rPr>
                    <w:t>Marijampolės regiono mokinių tiek pagrindinio ugdymo pasiekimų patikrinimo, tiek valstybinių brandos egzaminų rezultatai yra prastesni nei šalyje (didesnė dalis neišlaikiusiųjų arba pasiekusiųjų patenkinamą lygį, mažesnė aukščiausiąjį lygį, lyginant su šalies rodikliais).</w:t>
                  </w:r>
                </w:p>
                <w:p w14:paraId="4E397556" w14:textId="714BED42">
                  <w:pPr>
                    <w:ind w:firstLine="567"/>
                    <w:jc w:val="both"/>
                    <w:rPr>
                      <w:color w:val="000000"/>
                      <w:szCs w:val="24"/>
                    </w:rPr>
                  </w:pPr>
                  <w:r>
                    <w:rPr>
                      <w:color w:val="000000"/>
                      <w:szCs w:val="24"/>
                    </w:rPr>
                    <w:t>Neformaliojo švietimo veiklose dalyvaujančių mokinių dalis (2022–2023 m.) šalyje buvo 60 proc., Marijampolės regiono savivaldybėse šis rodiklis dvejose savivaldybėse mažesnis, o kitose – artimas vidurkiui: Kalvarijos savivaldybėje 61,68 proc., Kazlų Rūdos – 56,08 proc., Marijampolės – 63,38 proc., Šakių rajono – 40,27 proc., Vilkaviškio rajono – 64,85 proc.</w:t>
                  </w:r>
                </w:p>
                <w:p w14:paraId="07F09D59" w14:textId="662D4103">
                  <w:pPr>
                    <w:ind w:firstLine="567"/>
                    <w:jc w:val="both"/>
                    <w:rPr>
                      <w:color w:val="000000"/>
                      <w:szCs w:val="24"/>
                    </w:rPr>
                  </w:pPr>
                  <w:r>
                    <w:rPr>
                      <w:color w:val="000000"/>
                      <w:szCs w:val="24"/>
                    </w:rPr>
                    <w:t xml:space="preserve">Lietuvos Respublikos Švietimo, mokslo ir sporto ministerijos parengtoje švietimo būklės apžvalgoje </w:t>
                  </w:r>
                  <w:r>
                    <w:rPr>
                      <w:i/>
                      <w:iCs/>
                      <w:color w:val="000000"/>
                      <w:szCs w:val="24"/>
                    </w:rPr>
                    <w:t>Lietuva. Švietimas šalyje ir regionuose. 2022 įtraukusis ugdymas</w:t>
                  </w:r>
                  <w:r>
                    <w:rPr>
                      <w:color w:val="000000"/>
                      <w:szCs w:val="24"/>
                      <w:vertAlign w:val="superscript"/>
                    </w:rPr>
                    <w:footnoteReference w:id="8"/>
                  </w:r>
                  <w:r>
                    <w:rPr>
                      <w:color w:val="000000"/>
                      <w:szCs w:val="24"/>
                    </w:rPr>
                    <w:t xml:space="preserve"> nurodoma, kad Marijampolės regiono savivaldybėse žemi tiksliųjų mokslų (fizikos), taip pat užsienio kalbos pasiekimai, visoms Marijampolės regiono savivaldybėms šiame tyrime pateikiamos rekomendacijos dėl neformaliojo švietimo įtraukties didinimo, taip pat rekomenduojama didinti ikimokyklinio ugdymo įtrauktį ir kita.</w:t>
                  </w:r>
                </w:p>
                <w:p w14:paraId="34D12025" w14:textId="77777777">
                  <w:pPr>
                    <w:ind w:firstLine="567"/>
                    <w:jc w:val="both"/>
                    <w:rPr>
                      <w:color w:val="000000"/>
                      <w:szCs w:val="24"/>
                    </w:rPr>
                  </w:pPr>
                  <w:r>
                    <w:rPr>
                      <w:color w:val="000000"/>
                      <w:szCs w:val="24"/>
                    </w:rPr>
                    <w:t xml:space="preserve">Visos dienos mokyklos modeliui būdinga formaliojo ir neformaliojo ugdymo dermė. Remiantis studija </w:t>
                  </w:r>
                  <w:r>
                    <w:rPr>
                      <w:i/>
                      <w:iCs/>
                      <w:color w:val="000000"/>
                      <w:szCs w:val="24"/>
                    </w:rPr>
                    <w:t>Visos dienos mokykla: modeliai ir įgyvendinimo prielaidos</w:t>
                  </w:r>
                  <w:r>
                    <w:rPr>
                      <w:i/>
                      <w:iCs/>
                      <w:color w:val="000000"/>
                      <w:szCs w:val="24"/>
                      <w:vertAlign w:val="superscript"/>
                    </w:rPr>
                    <w:footnoteReference w:id="9"/>
                  </w:r>
                  <w:r>
                    <w:rPr>
                      <w:i/>
                      <w:iCs/>
                      <w:color w:val="000000"/>
                      <w:szCs w:val="24"/>
                    </w:rPr>
                    <w:t>,</w:t>
                  </w:r>
                  <w:r>
                    <w:rPr>
                      <w:color w:val="000000"/>
                      <w:szCs w:val="24"/>
                    </w:rPr>
                    <w:t xml:space="preserve"> neformaliojo švietimo pasiūla ypač skurdi atokesniuose regionuose, kur tiek dalis tėvų negali sumokėti už būrelius, tiek trūksta tinkamos infrastruktūros (nepakankama infrastruktūra – kaip vienas iššūkių taikant visos dienos mokyklos modelį). Visos dienos mokyklos privalumu buvo įvardintas vaikų socialinės atskirties mažėjimas, sėkmingesnės sąlygos vaikų socialinei integracijai, bendrųjų kompetencijų ugdymuisi; taip pat visos dienos mokyklos idėjos įgyvendinimas prisidėtų prie palankesnių sąlygų tėvams dalyvauti darbo rinkoje sudarymo.</w:t>
                  </w:r>
                </w:p>
                <w:p w14:paraId="55CB09DA" w14:textId="77777777">
                  <w:pPr>
                    <w:ind w:firstLine="567"/>
                    <w:jc w:val="both"/>
                    <w:rPr>
                      <w:color w:val="000000"/>
                      <w:szCs w:val="24"/>
                    </w:rPr>
                  </w:pPr>
                  <w:r>
                    <w:rPr>
                      <w:color w:val="000000"/>
                      <w:szCs w:val="24"/>
                    </w:rPr>
                    <w:t xml:space="preserve">Remiantis Marijampolės regiono savivaldybių pateikta informacija, Kalvarijos, Šakių ir Vilkaviškio rajonų savivaldybėse per pastaruosius 5-erius metus nebuvo investuojama į kokybiškų sąlygų visos dienos mokyklos veiklai sudaryti užtikrinimą, Kazlų Rūdoje investuota apie 200 tūkst. eurų, tačiau šios investicijos nepakankamos, nes trūksta erdvių lauke, vidaus erdvės nėra daugiafunkcės, Marijampolės savivaldybėje investicijos nepakankamos į visos dienos mokyklos veikloms skirtų erdvių kūrimą. </w:t>
                  </w:r>
                </w:p>
                <w:p w14:paraId="6945C4F0" w14:textId="77777777">
                  <w:pPr>
                    <w:ind w:firstLine="567"/>
                    <w:jc w:val="both"/>
                    <w:rPr>
                      <w:color w:val="000000"/>
                      <w:szCs w:val="24"/>
                    </w:rPr>
                  </w:pPr>
                  <w:r>
                    <w:rPr>
                      <w:color w:val="000000"/>
                      <w:szCs w:val="24"/>
                    </w:rPr>
                    <w:t>Tai pagrindžia investicijų poreikį regione visos dienos mokyklos veiklai pritaikytų daugiafunkcių erdvių kūrimui. Sudarius sąlygas kokybiškų visos dienos mokyklos paslaugų teikimui būtų prisidedama prie regione identifikuotos socialinės atskirties ir skurdo rizikos problemos mažinimo.</w:t>
                  </w:r>
                </w:p>
                <w:p w14:paraId="34A115BD" w14:textId="77777777">
                  <w:pPr>
                    <w:ind w:firstLine="567"/>
                    <w:jc w:val="both"/>
                    <w:rPr>
                      <w:color w:val="000000"/>
                      <w:szCs w:val="24"/>
                    </w:rPr>
                  </w:pPr>
                  <w:r>
                    <w:rPr>
                      <w:b/>
                      <w:bCs/>
                      <w:color w:val="000000"/>
                      <w:szCs w:val="24"/>
                    </w:rPr>
                    <w:t xml:space="preserve">Neįgaliųjų įtrauktis. </w:t>
                  </w:r>
                  <w:r>
                    <w:rPr>
                      <w:color w:val="000000"/>
                      <w:szCs w:val="24"/>
                    </w:rPr>
                    <w:t xml:space="preserve">Švietimo būklės apžvalgoje </w:t>
                  </w:r>
                  <w:r>
                    <w:rPr>
                      <w:i/>
                      <w:iCs/>
                      <w:color w:val="000000"/>
                      <w:szCs w:val="24"/>
                    </w:rPr>
                    <w:t xml:space="preserve">Lietuva. Švietimas šalyje ir regionuose. 2022 įtraukusis ugdymas </w:t>
                  </w:r>
                  <w:r>
                    <w:rPr>
                      <w:color w:val="000000"/>
                      <w:szCs w:val="24"/>
                    </w:rPr>
                    <w:t>akcentuoti infrastruktūros pritaikymo trūkumai – ugdymosi aplinkos pritaikymas, kaip viena iš esminių įtraukiojo ugdymo sąlygų, vis dar sunkiai pasiekiamas šalies švietimo sistemoje: negalią turintiems asmenims visiškai pritaikyta tik 0,7 proc. bendrojo ugdymo mokyklų fizinė aplinka. Tai laikoma reikšmingais įtraukiojo ugdymo įgyvendinimo šalies švietimo sistemoje trukdžiais.</w:t>
                  </w:r>
                </w:p>
                <w:p w14:paraId="52AC57BD" w14:textId="3F607EC1">
                  <w:pPr>
                    <w:ind w:firstLine="567"/>
                    <w:jc w:val="both"/>
                    <w:rPr>
                      <w:color w:val="000000"/>
                      <w:szCs w:val="24"/>
                    </w:rPr>
                  </w:pPr>
                  <w:r>
                    <w:rPr>
                      <w:color w:val="000000"/>
                      <w:szCs w:val="24"/>
                    </w:rPr>
                    <w:t>Remiantis ŠVIS pateikiama viešosios statistikos informacija apie Mokyklų pritaikymo neįgaliesiems anketos duomenis</w:t>
                  </w:r>
                  <w:r>
                    <w:rPr>
                      <w:color w:val="000000"/>
                      <w:szCs w:val="24"/>
                      <w:vertAlign w:val="superscript"/>
                    </w:rPr>
                    <w:footnoteReference w:id="10"/>
                  </w:r>
                  <w:r>
                    <w:rPr>
                      <w:color w:val="000000"/>
                      <w:szCs w:val="24"/>
                    </w:rPr>
                    <w:t>, 2022–2023 m. Marijampolės regione mokyklų, pilnai pritaikytų žmonių su negalia poreikiams, t. y. tokių, kurių teritorijoje ir viso pastato viduje žmogus su negalia gali judėti savarankiškai, buvo tik trys. Pilnai pritaikytų mokyklų – po vieną Kazlų Rūdos, Marijampolės ir Vilkaviškio rajono savivaldybėse. Kalvarijos ir Šakių rajono savivaldybėse pilnai pritaikytų ugdymo įstaigų nebuvo. Visose savivaldybėse buvo mokyklų, į kurių pastatą žmonės su negalia patekti negali.</w:t>
                  </w:r>
                </w:p>
                <w:p w14:paraId="0213749E" w14:textId="6F670426">
                  <w:pPr>
                    <w:ind w:firstLine="567"/>
                    <w:jc w:val="both"/>
                    <w:rPr>
                      <w:color w:val="000000"/>
                      <w:szCs w:val="24"/>
                    </w:rPr>
                  </w:pPr>
                  <w:r>
                    <w:rPr>
                      <w:color w:val="000000"/>
                      <w:szCs w:val="24"/>
                    </w:rPr>
                    <w:t xml:space="preserve">Švietimo, mokslo ir sporto </w:t>
                  </w:r>
                  <w:r>
                    <w:rPr>
                      <w:szCs w:val="24"/>
                    </w:rPr>
                    <w:t>ministerijos 2022-10-01 duomenimis</w:t>
                  </w:r>
                  <w:r>
                    <w:rPr>
                      <w:color w:val="000000"/>
                      <w:szCs w:val="24"/>
                      <w:vertAlign w:val="superscript"/>
                    </w:rPr>
                    <w:footnoteReference w:id="11"/>
                  </w:r>
                  <w:r>
                    <w:rPr>
                      <w:color w:val="000000"/>
                      <w:szCs w:val="24"/>
                    </w:rPr>
                    <w:t xml:space="preserve">, ugdymo įstaigose Marijampolės regione judėjimas su vežimėliu dažnu atveju galimas tik 1 aukšte (31 ugdymo įstaiga) arba žmonės su negalia į pastatą patekti negali (21 įstaiga), 23 įstaigose nėra pandusų, tik laiptai, 19 įstaigų klasių durys nepritaikytos, žmogus vežimėlyje nepravažiuos, 41 įstaigoje nėra pritaikytų sanitarinių mazgų neįgaliesiems, pilnai pritaikytų pastatų regėjimo negalią turintiesiems – nėra. </w:t>
                  </w:r>
                </w:p>
                <w:p w14:paraId="22CBB261" w14:textId="06824590">
                  <w:pPr>
                    <w:ind w:firstLine="567"/>
                    <w:jc w:val="both"/>
                    <w:rPr>
                      <w:color w:val="000000"/>
                      <w:szCs w:val="24"/>
                    </w:rPr>
                  </w:pPr>
                  <w:r>
                    <w:rPr>
                      <w:color w:val="000000"/>
                      <w:szCs w:val="24"/>
                    </w:rPr>
                    <w:t>Neįgaliųjų įtraukties užtikrinimui taip pat būtinos ir tam pritaikytos transporto priemonės pavėžėjimui.</w:t>
                  </w:r>
                </w:p>
                <w:p w14:paraId="7B86E7FC" w14:textId="77777777">
                  <w:pPr>
                    <w:ind w:firstLine="567"/>
                    <w:jc w:val="both"/>
                    <w:rPr>
                      <w:color w:val="000000"/>
                      <w:szCs w:val="24"/>
                    </w:rPr>
                  </w:pPr>
                  <w:r>
                    <w:rPr>
                      <w:color w:val="000000"/>
                      <w:szCs w:val="24"/>
                    </w:rPr>
                    <w:t>Fizinės kliūtys patekti į mokyklas gali būti lengvai pašalinamos pritaikius infrastruktūrą neįgaliųjų poreikiams, įrengus universalaus dizaino elementus ir kitas inžinerines priemones, o tai sudarytų sąlygas mažinti socialinę atskirtį ir skurdo riziką bei prisidėtų sprendžiant šią Marijampolės regiono problemą.</w:t>
                  </w:r>
                </w:p>
                <w:p w14:paraId="017EA9F5" w14:textId="77777777">
                  <w:pPr>
                    <w:ind w:firstLine="567"/>
                    <w:jc w:val="both"/>
                    <w:rPr>
                      <w:iCs/>
                      <w:color w:val="000000"/>
                      <w:szCs w:val="24"/>
                    </w:rPr>
                  </w:pPr>
                  <w:r>
                    <w:rPr>
                      <w:b/>
                      <w:bCs/>
                      <w:color w:val="000000"/>
                      <w:szCs w:val="24"/>
                    </w:rPr>
                    <w:t xml:space="preserve">Tikslinė grupė. </w:t>
                  </w:r>
                  <w:r>
                    <w:rPr>
                      <w:iCs/>
                      <w:color w:val="000000"/>
                      <w:szCs w:val="24"/>
                    </w:rPr>
                    <w:t xml:space="preserve">Tikslinė grupė, kuriai aktualus švietimo paslaugų kokybės ir prieinamumo problemos sprendimas – vaikai, kurie gauna ar gaus ikimokyklinio, priešmokyklinio, pradinio, pagrindinio ir vidurinio ugdymo paslaugas; taip pat jų tėvai yra suinteresuoti geresniu šių paslaugų pereinamumu, taip pat visa regiono bendruomenė. </w:t>
                  </w:r>
                  <w:r>
                    <w:rPr>
                      <w:color w:val="000000"/>
                      <w:szCs w:val="24"/>
                    </w:rPr>
                    <w:t xml:space="preserve">Nepakankamas </w:t>
                  </w:r>
                  <w:r>
                    <w:rPr>
                      <w:iCs/>
                      <w:color w:val="000000"/>
                      <w:szCs w:val="24"/>
                    </w:rPr>
                    <w:t>švietimo paslaugų prieinamumas ir kokybė regione gali lemti ilgalaikius sunkumus vaikams ateityje, didinti tikimybę patirti socialinę atskirtį ar skurdą. Tikslinės grupės poreikiai:</w:t>
                  </w:r>
                </w:p>
                <w:sdt>
                  <w:sdtPr>
                    <w:alias w:val="a pp."/>
                    <w:tag w:val="part_9e871ddc8de84359877e94e461a30981"/>
                    <w:lock w:val="sdtLocked"/>
                    <w:richText/>
                  </w:sdtPr>
                  <w:sdtContent>
                    <w:p w14:paraId="734AD5C5" w14:textId="731F6CCD">
                      <w:pPr>
                        <w:ind w:left="927" w:hanging="360"/>
                        <w:jc w:val="both"/>
                        <w:rPr>
                          <w:iCs/>
                          <w:color w:val="000000"/>
                          <w:szCs w:val="24"/>
                        </w:rPr>
                      </w:pPr>
                      <w:sdt>
                        <w:sdtPr>
                          <w:alias w:val="Numeris"/>
                          <w:tag w:val="nr_9e871ddc8de84359877e94e461a30981"/>
                          <w:lock w:val="sdtLocked"/>
                          <w:richText/>
                        </w:sdtPr>
                        <w:sdtContent>
                          <w:r>
                            <w:rPr>
                              <w:iCs/>
                              <w:color w:val="000000"/>
                              <w:szCs w:val="24"/>
                            </w:rPr>
                            <w:t>a</w:t>
                          </w:r>
                        </w:sdtContent>
                      </w:sdt>
                      <w:r>
                        <w:rPr>
                          <w:iCs/>
                          <w:color w:val="000000"/>
                          <w:szCs w:val="24"/>
                        </w:rPr>
                        <w:t>)</w:t>
                        <w:tab/>
                        <w:t>Vaikai – gauti kokybiškas, modernias ir patrauklias ikimokyklinio, priešmokyklinio pagrindinio ir vidurinio ugdymo paslaugas;</w:t>
                      </w:r>
                    </w:p>
                  </w:sdtContent>
                </w:sdt>
                <w:sdt>
                  <w:sdtPr>
                    <w:alias w:val="b pp."/>
                    <w:tag w:val="part_9f4c8b8c4a1246c5a595d3891079d66d"/>
                    <w:lock w:val="sdtLocked"/>
                    <w:richText/>
                  </w:sdtPr>
                  <w:sdtContent>
                    <w:p w14:paraId="18F7E87F" w14:textId="3E72F0A9">
                      <w:pPr>
                        <w:ind w:left="927" w:hanging="360"/>
                        <w:jc w:val="both"/>
                        <w:rPr>
                          <w:iCs/>
                          <w:color w:val="000000"/>
                          <w:szCs w:val="24"/>
                        </w:rPr>
                      </w:pPr>
                      <w:sdt>
                        <w:sdtPr>
                          <w:alias w:val="Numeris"/>
                          <w:tag w:val="nr_9f4c8b8c4a1246c5a595d3891079d66d"/>
                          <w:lock w:val="sdtLocked"/>
                          <w:richText/>
                        </w:sdtPr>
                        <w:sdtContent>
                          <w:r>
                            <w:rPr>
                              <w:iCs/>
                              <w:color w:val="000000"/>
                              <w:szCs w:val="24"/>
                            </w:rPr>
                            <w:t>b</w:t>
                          </w:r>
                        </w:sdtContent>
                      </w:sdt>
                      <w:r>
                        <w:rPr>
                          <w:iCs/>
                          <w:color w:val="000000"/>
                          <w:szCs w:val="24"/>
                        </w:rPr>
                        <w:t>)</w:t>
                        <w:tab/>
                        <w:t>Tėvai – užtikrinti vaikams kokybiškas ikimokyklinio, priešmokyklinio pagrindinio ir vidurinio ugdymo paslaugas bei kartu turėti sąlygas darbo ir šeimos derinimui.</w:t>
                      </w:r>
                    </w:p>
                    <w:p w14:paraId="799F0DCD" w14:textId="45B36EBC">
                      <w:pPr>
                        <w:tabs>
                          <w:tab w:val="left" w:pos="598"/>
                        </w:tabs>
                        <w:ind w:firstLine="567"/>
                        <w:jc w:val="both"/>
                        <w:rPr>
                          <w:iCs/>
                          <w:color w:val="000000"/>
                          <w:szCs w:val="24"/>
                        </w:rPr>
                      </w:pPr>
                      <w:r>
                        <w:rPr>
                          <w:color w:val="000000"/>
                          <w:szCs w:val="24"/>
                        </w:rPr>
                        <w:t>Remiantis Statistikos departamento gyventojų skaičiaus duomenimis</w:t>
                      </w:r>
                      <w:r>
                        <w:rPr>
                          <w:iCs/>
                          <w:color w:val="000000"/>
                          <w:szCs w:val="24"/>
                        </w:rPr>
                        <w:t xml:space="preserve"> bei pateikiamomis prognozėmis, vaikų skaičius Marijampolės</w:t>
                      </w:r>
                      <w:r>
                        <w:rPr>
                          <w:color w:val="000000"/>
                          <w:szCs w:val="24"/>
                        </w:rPr>
                        <w:t xml:space="preserve"> regione </w:t>
                      </w:r>
                      <w:r>
                        <w:rPr>
                          <w:iCs/>
                          <w:color w:val="000000"/>
                          <w:szCs w:val="24"/>
                        </w:rPr>
                        <w:t xml:space="preserve">mažėja ir ateityje tendencija prognozuojama tokia pati. </w:t>
                      </w:r>
                    </w:p>
                    <w:p w14:paraId="09C0F5BF" w14:textId="77777777">
                      <w:pPr>
                        <w:tabs>
                          <w:tab w:val="left" w:pos="598"/>
                        </w:tabs>
                        <w:ind w:firstLine="567"/>
                        <w:jc w:val="both"/>
                        <w:rPr>
                          <w:iCs/>
                          <w:color w:val="000000"/>
                          <w:sz w:val="12"/>
                          <w:szCs w:val="12"/>
                        </w:rPr>
                      </w:pPr>
                    </w:p>
                  </w:sdtContent>
                </w:sdt>
              </w:sdtContent>
            </w:sdt>
            <w:sdt>
              <w:sdtPr>
                <w:alias w:val="poskyris"/>
                <w:tag w:val="part_38399cb1178445c9ba848b2b297dd36c"/>
                <w:lock w:val="sdtLocked"/>
                <w:richText/>
              </w:sdtPr>
              <w:sdtContent>
                <w:p w14:paraId="6844A4C7" w14:textId="72FC927C">
                  <w:pPr>
                    <w:tabs>
                      <w:tab w:val="left" w:pos="598"/>
                    </w:tabs>
                    <w:jc w:val="both"/>
                    <w:rPr>
                      <w:b/>
                      <w:bCs/>
                      <w:iCs/>
                      <w:color w:val="000000"/>
                      <w:szCs w:val="24"/>
                    </w:rPr>
                  </w:pPr>
                  <w:sdt>
                    <w:sdtPr>
                      <w:alias w:val="Pavadinimas"/>
                      <w:tag w:val="title_38399cb1178445c9ba848b2b297dd36c"/>
                      <w:lock w:val="sdtLocked"/>
                      <w:richText/>
                    </w:sdtPr>
                    <w:sdtContent>
                      <w:r>
                        <w:rPr>
                          <w:b/>
                          <w:bCs/>
                          <w:iCs/>
                          <w:color w:val="000000"/>
                          <w:szCs w:val="24"/>
                        </w:rPr>
                        <w:t>Tikslinės grupės dydis – vaikų skaičius</w:t>
                      </w:r>
                    </w:sdtContent>
                  </w:sdt>
                </w:p>
                <w:tbl>
                  <w:tblPr>
                    <w:tblW w:w="9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8"/>
                    <w:gridCol w:w="1076"/>
                    <w:gridCol w:w="1076"/>
                    <w:gridCol w:w="1077"/>
                    <w:gridCol w:w="1076"/>
                    <w:gridCol w:w="1230"/>
                    <w:gridCol w:w="1079"/>
                    <w:gridCol w:w="1078"/>
                  </w:tblGrid>
                  <w:tr w14:paraId="30791F70" w14:textId="52AC0DFA">
                    <w:trPr>
                      <w:trHeight w:val="218"/>
                    </w:trPr>
                    <w:tc>
                      <w:tcPr>
                        <w:tcW w:w="2148" w:type="dxa"/>
                        <w:vMerge w:val="restart"/>
                        <w:shd w:val="clear" w:color="auto" w:fill="D9D9D9" w:themeFill="background1" w:themeFillShade="D9"/>
                        <w:vAlign w:val="center"/>
                        <w:hideMark/>
                      </w:tcPr>
                      <w:p w14:paraId="43BEA6B5" w14:textId="4AF8D8FD">
                        <w:pPr>
                          <w:jc w:val="center"/>
                          <w:rPr>
                            <w:b/>
                            <w:bCs/>
                            <w:color w:val="000000"/>
                            <w:szCs w:val="24"/>
                            <w:lang w:eastAsia="lt-LT"/>
                          </w:rPr>
                        </w:pPr>
                        <w:r>
                          <w:rPr>
                            <w:b/>
                            <w:bCs/>
                            <w:color w:val="000000"/>
                            <w:szCs w:val="24"/>
                            <w:lang w:eastAsia="lt-LT"/>
                          </w:rPr>
                          <w:t>Savivaldybė</w:t>
                        </w:r>
                      </w:p>
                    </w:tc>
                    <w:tc>
                      <w:tcPr>
                        <w:tcW w:w="7692" w:type="dxa"/>
                        <w:gridSpan w:val="7"/>
                        <w:shd w:val="clear" w:color="auto" w:fill="D9D9D9" w:themeFill="background1" w:themeFillShade="D9"/>
                        <w:vAlign w:val="center"/>
                        <w:hideMark/>
                      </w:tcPr>
                      <w:p w14:paraId="2DA1034B" w14:textId="03669612">
                        <w:pPr>
                          <w:jc w:val="center"/>
                          <w:rPr>
                            <w:b/>
                            <w:bCs/>
                            <w:color w:val="000000"/>
                            <w:szCs w:val="24"/>
                            <w:lang w:eastAsia="lt-LT"/>
                          </w:rPr>
                        </w:pPr>
                        <w:r>
                          <w:rPr>
                            <w:b/>
                            <w:bCs/>
                            <w:color w:val="000000"/>
                            <w:szCs w:val="24"/>
                            <w:lang w:eastAsia="lt-LT"/>
                          </w:rPr>
                          <w:t>Nuolatinių gyventojų skaičius 2022 m. pradžioje</w:t>
                        </w:r>
                        <w:r>
                          <w:rPr>
                            <w:b/>
                            <w:bCs/>
                            <w:color w:val="000000"/>
                            <w:szCs w:val="24"/>
                            <w:vertAlign w:val="superscript"/>
                            <w:lang w:eastAsia="lt-LT"/>
                          </w:rPr>
                          <w:footnoteReference w:id="12"/>
                        </w:r>
                      </w:p>
                    </w:tc>
                  </w:tr>
                  <w:tr w14:paraId="6CCC6262" w14:textId="53D2D2AA">
                    <w:trPr>
                      <w:trHeight w:val="218"/>
                    </w:trPr>
                    <w:tc>
                      <w:tcPr>
                        <w:tcW w:w="2148" w:type="dxa"/>
                        <w:vMerge/>
                        <w:shd w:val="clear" w:color="auto" w:fill="D9D9D9" w:themeFill="background1" w:themeFillShade="D9"/>
                        <w:vAlign w:val="center"/>
                        <w:hideMark/>
                      </w:tcPr>
                      <w:p w14:paraId="1F6231CE" w14:textId="77777777">
                        <w:pPr>
                          <w:rPr>
                            <w:b/>
                            <w:bCs/>
                            <w:color w:val="000000"/>
                            <w:szCs w:val="24"/>
                            <w:lang w:eastAsia="lt-LT"/>
                          </w:rPr>
                        </w:pPr>
                      </w:p>
                    </w:tc>
                    <w:tc>
                      <w:tcPr>
                        <w:tcW w:w="1076" w:type="dxa"/>
                        <w:shd w:val="clear" w:color="auto" w:fill="D9D9D9" w:themeFill="background1" w:themeFillShade="D9"/>
                        <w:vAlign w:val="center"/>
                        <w:hideMark/>
                      </w:tcPr>
                      <w:p w14:paraId="151D64EF" w14:textId="57AC3816">
                        <w:pPr>
                          <w:jc w:val="center"/>
                          <w:rPr>
                            <w:b/>
                            <w:bCs/>
                            <w:color w:val="000000"/>
                            <w:szCs w:val="24"/>
                            <w:lang w:eastAsia="lt-LT"/>
                          </w:rPr>
                        </w:pPr>
                        <w:r>
                          <w:rPr>
                            <w:b/>
                            <w:bCs/>
                            <w:color w:val="000000"/>
                            <w:szCs w:val="24"/>
                            <w:lang w:eastAsia="lt-LT"/>
                          </w:rPr>
                          <w:t>0 m. amžiaus</w:t>
                        </w:r>
                      </w:p>
                    </w:tc>
                    <w:tc>
                      <w:tcPr>
                        <w:tcW w:w="1076" w:type="dxa"/>
                        <w:shd w:val="clear" w:color="auto" w:fill="D9D9D9" w:themeFill="background1" w:themeFillShade="D9"/>
                        <w:vAlign w:val="center"/>
                        <w:hideMark/>
                      </w:tcPr>
                      <w:p w14:paraId="23B5E809" w14:textId="093AEB87">
                        <w:pPr>
                          <w:jc w:val="center"/>
                          <w:rPr>
                            <w:b/>
                            <w:bCs/>
                            <w:color w:val="000000"/>
                            <w:szCs w:val="24"/>
                            <w:lang w:eastAsia="lt-LT"/>
                          </w:rPr>
                        </w:pPr>
                        <w:r>
                          <w:rPr>
                            <w:b/>
                            <w:bCs/>
                            <w:color w:val="000000"/>
                            <w:szCs w:val="24"/>
                            <w:lang w:eastAsia="lt-LT"/>
                          </w:rPr>
                          <w:t>1 m. amžiaus</w:t>
                        </w:r>
                      </w:p>
                    </w:tc>
                    <w:tc>
                      <w:tcPr>
                        <w:tcW w:w="1077" w:type="dxa"/>
                        <w:shd w:val="clear" w:color="auto" w:fill="D9D9D9" w:themeFill="background1" w:themeFillShade="D9"/>
                        <w:vAlign w:val="center"/>
                        <w:hideMark/>
                      </w:tcPr>
                      <w:p w14:paraId="1493787D" w14:textId="6F3AC152">
                        <w:pPr>
                          <w:jc w:val="center"/>
                          <w:rPr>
                            <w:b/>
                            <w:bCs/>
                            <w:color w:val="000000"/>
                            <w:szCs w:val="24"/>
                            <w:lang w:eastAsia="lt-LT"/>
                          </w:rPr>
                        </w:pPr>
                        <w:r>
                          <w:rPr>
                            <w:b/>
                            <w:bCs/>
                            <w:color w:val="000000"/>
                            <w:szCs w:val="24"/>
                            <w:lang w:eastAsia="lt-LT"/>
                          </w:rPr>
                          <w:t>2 m. amžiaus</w:t>
                        </w:r>
                      </w:p>
                    </w:tc>
                    <w:tc>
                      <w:tcPr>
                        <w:tcW w:w="1076" w:type="dxa"/>
                        <w:shd w:val="clear" w:color="auto" w:fill="D9D9D9" w:themeFill="background1" w:themeFillShade="D9"/>
                        <w:vAlign w:val="center"/>
                        <w:hideMark/>
                      </w:tcPr>
                      <w:p w14:paraId="7882175E" w14:textId="64FCFC4D">
                        <w:pPr>
                          <w:jc w:val="center"/>
                          <w:rPr>
                            <w:b/>
                            <w:bCs/>
                            <w:color w:val="000000"/>
                            <w:szCs w:val="24"/>
                            <w:lang w:eastAsia="lt-LT"/>
                          </w:rPr>
                        </w:pPr>
                        <w:r>
                          <w:rPr>
                            <w:b/>
                            <w:bCs/>
                            <w:color w:val="000000"/>
                            <w:szCs w:val="24"/>
                            <w:lang w:eastAsia="lt-LT"/>
                          </w:rPr>
                          <w:t>3 m. amžiaus</w:t>
                        </w:r>
                      </w:p>
                    </w:tc>
                    <w:tc>
                      <w:tcPr>
                        <w:tcW w:w="1230" w:type="dxa"/>
                        <w:shd w:val="clear" w:color="auto" w:fill="D9D9D9" w:themeFill="background1" w:themeFillShade="D9"/>
                        <w:vAlign w:val="center"/>
                        <w:hideMark/>
                      </w:tcPr>
                      <w:p w14:paraId="31C767B0" w14:textId="2B333904">
                        <w:pPr>
                          <w:jc w:val="center"/>
                          <w:rPr>
                            <w:b/>
                            <w:bCs/>
                            <w:color w:val="000000"/>
                            <w:szCs w:val="24"/>
                            <w:lang w:eastAsia="lt-LT"/>
                          </w:rPr>
                        </w:pPr>
                        <w:r>
                          <w:rPr>
                            <w:b/>
                            <w:bCs/>
                            <w:color w:val="000000"/>
                            <w:szCs w:val="24"/>
                            <w:lang w:eastAsia="lt-LT"/>
                          </w:rPr>
                          <w:t>4 m. amžiaus</w:t>
                        </w:r>
                      </w:p>
                    </w:tc>
                    <w:tc>
                      <w:tcPr>
                        <w:tcW w:w="1079" w:type="dxa"/>
                        <w:shd w:val="clear" w:color="auto" w:fill="D9D9D9" w:themeFill="background1" w:themeFillShade="D9"/>
                        <w:vAlign w:val="center"/>
                        <w:hideMark/>
                      </w:tcPr>
                      <w:p w14:paraId="49E18C33" w14:textId="2C49313F">
                        <w:pPr>
                          <w:jc w:val="center"/>
                          <w:rPr>
                            <w:b/>
                            <w:bCs/>
                            <w:color w:val="000000"/>
                            <w:szCs w:val="24"/>
                            <w:lang w:eastAsia="lt-LT"/>
                          </w:rPr>
                        </w:pPr>
                        <w:r>
                          <w:rPr>
                            <w:b/>
                            <w:bCs/>
                            <w:color w:val="000000"/>
                            <w:szCs w:val="24"/>
                            <w:lang w:eastAsia="lt-LT"/>
                          </w:rPr>
                          <w:t>5 m. amžiaus</w:t>
                        </w:r>
                      </w:p>
                    </w:tc>
                    <w:tc>
                      <w:tcPr>
                        <w:tcW w:w="1076" w:type="dxa"/>
                        <w:shd w:val="clear" w:color="auto" w:fill="D9D9D9" w:themeFill="background1" w:themeFillShade="D9"/>
                      </w:tcPr>
                      <w:p w14:paraId="59E8AE61" w14:textId="673F7209">
                        <w:pPr>
                          <w:jc w:val="center"/>
                          <w:rPr>
                            <w:b/>
                            <w:bCs/>
                            <w:color w:val="000000"/>
                            <w:szCs w:val="24"/>
                            <w:lang w:eastAsia="lt-LT"/>
                          </w:rPr>
                        </w:pPr>
                        <w:r>
                          <w:rPr>
                            <w:b/>
                            <w:bCs/>
                            <w:color w:val="000000"/>
                            <w:szCs w:val="24"/>
                            <w:lang w:eastAsia="lt-LT"/>
                          </w:rPr>
                          <w:t>0-18 m. amžiaus</w:t>
                        </w:r>
                      </w:p>
                    </w:tc>
                  </w:tr>
                  <w:tr w14:paraId="1BA18D23" w14:textId="46B90502">
                    <w:trPr>
                      <w:trHeight w:val="218"/>
                    </w:trPr>
                    <w:tc>
                      <w:tcPr>
                        <w:tcW w:w="2148" w:type="dxa"/>
                        <w:shd w:val="clear" w:color="auto" w:fill="D9D9D9" w:themeFill="background1" w:themeFillShade="D9"/>
                        <w:vAlign w:val="center"/>
                        <w:hideMark/>
                      </w:tcPr>
                      <w:p w14:paraId="45816B6D" w14:textId="0BEEFE6C">
                        <w:pPr>
                          <w:rPr>
                            <w:b/>
                            <w:bCs/>
                            <w:color w:val="000000"/>
                            <w:szCs w:val="24"/>
                            <w:lang w:eastAsia="lt-LT"/>
                          </w:rPr>
                        </w:pPr>
                        <w:r>
                          <w:rPr>
                            <w:b/>
                            <w:bCs/>
                            <w:color w:val="000000"/>
                            <w:szCs w:val="24"/>
                            <w:lang w:eastAsia="lt-LT"/>
                          </w:rPr>
                          <w:t>Kalvarijos</w:t>
                        </w:r>
                      </w:p>
                    </w:tc>
                    <w:tc>
                      <w:tcPr>
                        <w:tcW w:w="1076" w:type="dxa"/>
                        <w:shd w:val="clear" w:color="auto" w:fill="auto"/>
                        <w:vAlign w:val="center"/>
                        <w:hideMark/>
                      </w:tcPr>
                      <w:p w14:paraId="11031BED" w14:textId="77777777">
                        <w:pPr>
                          <w:jc w:val="right"/>
                          <w:rPr>
                            <w:color w:val="000000"/>
                            <w:szCs w:val="24"/>
                            <w:lang w:eastAsia="lt-LT"/>
                          </w:rPr>
                        </w:pPr>
                        <w:r>
                          <w:rPr>
                            <w:color w:val="000000"/>
                            <w:szCs w:val="24"/>
                            <w:lang w:eastAsia="lt-LT"/>
                          </w:rPr>
                          <w:t>73</w:t>
                        </w:r>
                      </w:p>
                    </w:tc>
                    <w:tc>
                      <w:tcPr>
                        <w:tcW w:w="1076" w:type="dxa"/>
                        <w:shd w:val="clear" w:color="auto" w:fill="auto"/>
                        <w:vAlign w:val="center"/>
                        <w:hideMark/>
                      </w:tcPr>
                      <w:p w14:paraId="3F531915" w14:textId="77777777">
                        <w:pPr>
                          <w:jc w:val="right"/>
                          <w:rPr>
                            <w:color w:val="000000"/>
                            <w:szCs w:val="24"/>
                            <w:lang w:eastAsia="lt-LT"/>
                          </w:rPr>
                        </w:pPr>
                        <w:r>
                          <w:rPr>
                            <w:color w:val="000000"/>
                            <w:szCs w:val="24"/>
                            <w:lang w:eastAsia="lt-LT"/>
                          </w:rPr>
                          <w:t>71</w:t>
                        </w:r>
                      </w:p>
                    </w:tc>
                    <w:tc>
                      <w:tcPr>
                        <w:tcW w:w="1077" w:type="dxa"/>
                        <w:shd w:val="clear" w:color="auto" w:fill="auto"/>
                        <w:vAlign w:val="center"/>
                        <w:hideMark/>
                      </w:tcPr>
                      <w:p w14:paraId="71F60721" w14:textId="77777777">
                        <w:pPr>
                          <w:jc w:val="right"/>
                          <w:rPr>
                            <w:color w:val="000000"/>
                            <w:szCs w:val="24"/>
                            <w:lang w:eastAsia="lt-LT"/>
                          </w:rPr>
                        </w:pPr>
                        <w:r>
                          <w:rPr>
                            <w:color w:val="000000"/>
                            <w:szCs w:val="24"/>
                            <w:lang w:eastAsia="lt-LT"/>
                          </w:rPr>
                          <w:t>87</w:t>
                        </w:r>
                      </w:p>
                    </w:tc>
                    <w:tc>
                      <w:tcPr>
                        <w:tcW w:w="1076" w:type="dxa"/>
                        <w:shd w:val="clear" w:color="auto" w:fill="auto"/>
                        <w:vAlign w:val="center"/>
                        <w:hideMark/>
                      </w:tcPr>
                      <w:p w14:paraId="067C684A" w14:textId="77777777">
                        <w:pPr>
                          <w:jc w:val="right"/>
                          <w:rPr>
                            <w:color w:val="000000"/>
                            <w:szCs w:val="24"/>
                            <w:lang w:eastAsia="lt-LT"/>
                          </w:rPr>
                        </w:pPr>
                        <w:r>
                          <w:rPr>
                            <w:color w:val="000000"/>
                            <w:szCs w:val="24"/>
                            <w:lang w:eastAsia="lt-LT"/>
                          </w:rPr>
                          <w:t>83</w:t>
                        </w:r>
                      </w:p>
                    </w:tc>
                    <w:tc>
                      <w:tcPr>
                        <w:tcW w:w="1230" w:type="dxa"/>
                        <w:shd w:val="clear" w:color="auto" w:fill="auto"/>
                        <w:vAlign w:val="center"/>
                        <w:hideMark/>
                      </w:tcPr>
                      <w:p w14:paraId="6DB9968D" w14:textId="77777777">
                        <w:pPr>
                          <w:jc w:val="right"/>
                          <w:rPr>
                            <w:color w:val="000000"/>
                            <w:szCs w:val="24"/>
                            <w:lang w:eastAsia="lt-LT"/>
                          </w:rPr>
                        </w:pPr>
                        <w:r>
                          <w:rPr>
                            <w:color w:val="000000"/>
                            <w:szCs w:val="24"/>
                            <w:lang w:eastAsia="lt-LT"/>
                          </w:rPr>
                          <w:t>111</w:t>
                        </w:r>
                      </w:p>
                    </w:tc>
                    <w:tc>
                      <w:tcPr>
                        <w:tcW w:w="1079" w:type="dxa"/>
                        <w:shd w:val="clear" w:color="auto" w:fill="auto"/>
                        <w:vAlign w:val="center"/>
                        <w:hideMark/>
                      </w:tcPr>
                      <w:p w14:paraId="03D19DDB" w14:textId="77777777">
                        <w:pPr>
                          <w:jc w:val="right"/>
                          <w:rPr>
                            <w:color w:val="000000"/>
                            <w:szCs w:val="24"/>
                            <w:lang w:eastAsia="lt-LT"/>
                          </w:rPr>
                        </w:pPr>
                        <w:r>
                          <w:rPr>
                            <w:color w:val="000000"/>
                            <w:szCs w:val="24"/>
                            <w:lang w:eastAsia="lt-LT"/>
                          </w:rPr>
                          <w:t>115</w:t>
                        </w:r>
                      </w:p>
                    </w:tc>
                    <w:tc>
                      <w:tcPr>
                        <w:tcW w:w="1076" w:type="dxa"/>
                      </w:tcPr>
                      <w:p w14:paraId="4301FA43" w14:textId="5FC4953A">
                        <w:pPr>
                          <w:jc w:val="right"/>
                          <w:rPr>
                            <w:color w:val="000000"/>
                            <w:szCs w:val="24"/>
                            <w:lang w:eastAsia="lt-LT"/>
                          </w:rPr>
                        </w:pPr>
                        <w:r>
                          <w:rPr>
                            <w:color w:val="000000"/>
                            <w:szCs w:val="24"/>
                            <w:lang w:eastAsia="lt-LT"/>
                          </w:rPr>
                          <w:t>1 950</w:t>
                        </w:r>
                      </w:p>
                    </w:tc>
                  </w:tr>
                  <w:tr w14:paraId="63D5A49A" w14:textId="7DDEA0BA">
                    <w:trPr>
                      <w:trHeight w:val="218"/>
                    </w:trPr>
                    <w:tc>
                      <w:tcPr>
                        <w:tcW w:w="2148" w:type="dxa"/>
                        <w:shd w:val="clear" w:color="auto" w:fill="D9D9D9" w:themeFill="background1" w:themeFillShade="D9"/>
                        <w:vAlign w:val="center"/>
                        <w:hideMark/>
                      </w:tcPr>
                      <w:p w14:paraId="1FB0427F" w14:textId="0734699F">
                        <w:pPr>
                          <w:rPr>
                            <w:b/>
                            <w:bCs/>
                            <w:color w:val="000000"/>
                            <w:szCs w:val="24"/>
                            <w:lang w:eastAsia="lt-LT"/>
                          </w:rPr>
                        </w:pPr>
                        <w:r>
                          <w:rPr>
                            <w:b/>
                            <w:bCs/>
                            <w:color w:val="000000"/>
                            <w:szCs w:val="24"/>
                            <w:lang w:eastAsia="lt-LT"/>
                          </w:rPr>
                          <w:t>Kazlų Rūdos</w:t>
                        </w:r>
                      </w:p>
                    </w:tc>
                    <w:tc>
                      <w:tcPr>
                        <w:tcW w:w="1076" w:type="dxa"/>
                        <w:shd w:val="clear" w:color="auto" w:fill="auto"/>
                        <w:vAlign w:val="center"/>
                        <w:hideMark/>
                      </w:tcPr>
                      <w:p w14:paraId="47F3C041" w14:textId="77777777">
                        <w:pPr>
                          <w:jc w:val="right"/>
                          <w:rPr>
                            <w:color w:val="000000"/>
                            <w:szCs w:val="24"/>
                            <w:lang w:eastAsia="lt-LT"/>
                          </w:rPr>
                        </w:pPr>
                        <w:r>
                          <w:rPr>
                            <w:color w:val="000000"/>
                            <w:szCs w:val="24"/>
                            <w:lang w:eastAsia="lt-LT"/>
                          </w:rPr>
                          <w:t>75</w:t>
                        </w:r>
                      </w:p>
                    </w:tc>
                    <w:tc>
                      <w:tcPr>
                        <w:tcW w:w="1076" w:type="dxa"/>
                        <w:shd w:val="clear" w:color="auto" w:fill="auto"/>
                        <w:vAlign w:val="center"/>
                        <w:hideMark/>
                      </w:tcPr>
                      <w:p w14:paraId="6D234757" w14:textId="77777777">
                        <w:pPr>
                          <w:jc w:val="right"/>
                          <w:rPr>
                            <w:color w:val="000000"/>
                            <w:szCs w:val="24"/>
                            <w:lang w:eastAsia="lt-LT"/>
                          </w:rPr>
                        </w:pPr>
                        <w:r>
                          <w:rPr>
                            <w:color w:val="000000"/>
                            <w:szCs w:val="24"/>
                            <w:lang w:eastAsia="lt-LT"/>
                          </w:rPr>
                          <w:t>75</w:t>
                        </w:r>
                      </w:p>
                    </w:tc>
                    <w:tc>
                      <w:tcPr>
                        <w:tcW w:w="1077" w:type="dxa"/>
                        <w:shd w:val="clear" w:color="auto" w:fill="auto"/>
                        <w:vAlign w:val="center"/>
                        <w:hideMark/>
                      </w:tcPr>
                      <w:p w14:paraId="7D74CA9D" w14:textId="77777777">
                        <w:pPr>
                          <w:jc w:val="right"/>
                          <w:rPr>
                            <w:color w:val="000000"/>
                            <w:szCs w:val="24"/>
                            <w:lang w:eastAsia="lt-LT"/>
                          </w:rPr>
                        </w:pPr>
                        <w:r>
                          <w:rPr>
                            <w:color w:val="000000"/>
                            <w:szCs w:val="24"/>
                            <w:lang w:eastAsia="lt-LT"/>
                          </w:rPr>
                          <w:t>82</w:t>
                        </w:r>
                      </w:p>
                    </w:tc>
                    <w:tc>
                      <w:tcPr>
                        <w:tcW w:w="1076" w:type="dxa"/>
                        <w:shd w:val="clear" w:color="auto" w:fill="auto"/>
                        <w:vAlign w:val="center"/>
                        <w:hideMark/>
                      </w:tcPr>
                      <w:p w14:paraId="048DEC8A" w14:textId="77777777">
                        <w:pPr>
                          <w:jc w:val="right"/>
                          <w:rPr>
                            <w:color w:val="000000"/>
                            <w:szCs w:val="24"/>
                            <w:lang w:eastAsia="lt-LT"/>
                          </w:rPr>
                        </w:pPr>
                        <w:r>
                          <w:rPr>
                            <w:color w:val="000000"/>
                            <w:szCs w:val="24"/>
                            <w:lang w:eastAsia="lt-LT"/>
                          </w:rPr>
                          <w:t>107</w:t>
                        </w:r>
                      </w:p>
                    </w:tc>
                    <w:tc>
                      <w:tcPr>
                        <w:tcW w:w="1230" w:type="dxa"/>
                        <w:shd w:val="clear" w:color="auto" w:fill="auto"/>
                        <w:vAlign w:val="center"/>
                        <w:hideMark/>
                      </w:tcPr>
                      <w:p w14:paraId="53B81537" w14:textId="77777777">
                        <w:pPr>
                          <w:jc w:val="right"/>
                          <w:rPr>
                            <w:color w:val="000000"/>
                            <w:szCs w:val="24"/>
                            <w:lang w:eastAsia="lt-LT"/>
                          </w:rPr>
                        </w:pPr>
                        <w:r>
                          <w:rPr>
                            <w:color w:val="000000"/>
                            <w:szCs w:val="24"/>
                            <w:lang w:eastAsia="lt-LT"/>
                          </w:rPr>
                          <w:t>96</w:t>
                        </w:r>
                      </w:p>
                    </w:tc>
                    <w:tc>
                      <w:tcPr>
                        <w:tcW w:w="1079" w:type="dxa"/>
                        <w:shd w:val="clear" w:color="auto" w:fill="auto"/>
                        <w:vAlign w:val="center"/>
                        <w:hideMark/>
                      </w:tcPr>
                      <w:p w14:paraId="5812C9D4" w14:textId="77777777">
                        <w:pPr>
                          <w:jc w:val="right"/>
                          <w:rPr>
                            <w:color w:val="000000"/>
                            <w:szCs w:val="24"/>
                            <w:lang w:eastAsia="lt-LT"/>
                          </w:rPr>
                        </w:pPr>
                        <w:r>
                          <w:rPr>
                            <w:color w:val="000000"/>
                            <w:szCs w:val="24"/>
                            <w:lang w:eastAsia="lt-LT"/>
                          </w:rPr>
                          <w:t>123</w:t>
                        </w:r>
                      </w:p>
                    </w:tc>
                    <w:tc>
                      <w:tcPr>
                        <w:tcW w:w="1076" w:type="dxa"/>
                      </w:tcPr>
                      <w:p w14:paraId="60C90C5C" w14:textId="139DB9B3">
                        <w:pPr>
                          <w:jc w:val="right"/>
                          <w:rPr>
                            <w:color w:val="000000"/>
                            <w:szCs w:val="24"/>
                            <w:lang w:eastAsia="lt-LT"/>
                          </w:rPr>
                        </w:pPr>
                        <w:r>
                          <w:rPr>
                            <w:color w:val="000000"/>
                            <w:szCs w:val="24"/>
                            <w:lang w:eastAsia="lt-LT"/>
                          </w:rPr>
                          <w:t>2 023</w:t>
                        </w:r>
                      </w:p>
                    </w:tc>
                  </w:tr>
                  <w:tr w14:paraId="696E7314" w14:textId="7279F66C">
                    <w:trPr>
                      <w:trHeight w:val="218"/>
                    </w:trPr>
                    <w:tc>
                      <w:tcPr>
                        <w:tcW w:w="2148" w:type="dxa"/>
                        <w:shd w:val="clear" w:color="auto" w:fill="D9D9D9" w:themeFill="background1" w:themeFillShade="D9"/>
                        <w:vAlign w:val="center"/>
                        <w:hideMark/>
                      </w:tcPr>
                      <w:p w14:paraId="161898F1" w14:textId="5FF0775A">
                        <w:pPr>
                          <w:rPr>
                            <w:b/>
                            <w:bCs/>
                            <w:color w:val="000000"/>
                            <w:szCs w:val="24"/>
                            <w:lang w:eastAsia="lt-LT"/>
                          </w:rPr>
                        </w:pPr>
                        <w:r>
                          <w:rPr>
                            <w:b/>
                            <w:bCs/>
                            <w:color w:val="000000"/>
                            <w:szCs w:val="24"/>
                            <w:lang w:eastAsia="lt-LT"/>
                          </w:rPr>
                          <w:t>Marijampolės</w:t>
                        </w:r>
                      </w:p>
                    </w:tc>
                    <w:tc>
                      <w:tcPr>
                        <w:tcW w:w="1076" w:type="dxa"/>
                        <w:shd w:val="clear" w:color="auto" w:fill="auto"/>
                        <w:vAlign w:val="center"/>
                        <w:hideMark/>
                      </w:tcPr>
                      <w:p w14:paraId="48B005BB" w14:textId="77777777">
                        <w:pPr>
                          <w:jc w:val="right"/>
                          <w:rPr>
                            <w:color w:val="000000"/>
                            <w:szCs w:val="24"/>
                            <w:lang w:eastAsia="lt-LT"/>
                          </w:rPr>
                        </w:pPr>
                        <w:r>
                          <w:rPr>
                            <w:color w:val="000000"/>
                            <w:szCs w:val="24"/>
                            <w:lang w:eastAsia="lt-LT"/>
                          </w:rPr>
                          <w:t>376</w:t>
                        </w:r>
                      </w:p>
                    </w:tc>
                    <w:tc>
                      <w:tcPr>
                        <w:tcW w:w="1076" w:type="dxa"/>
                        <w:shd w:val="clear" w:color="auto" w:fill="auto"/>
                        <w:vAlign w:val="center"/>
                        <w:hideMark/>
                      </w:tcPr>
                      <w:p w14:paraId="23D8A8E8" w14:textId="77777777">
                        <w:pPr>
                          <w:jc w:val="right"/>
                          <w:rPr>
                            <w:color w:val="000000"/>
                            <w:szCs w:val="24"/>
                            <w:lang w:eastAsia="lt-LT"/>
                          </w:rPr>
                        </w:pPr>
                        <w:r>
                          <w:rPr>
                            <w:color w:val="000000"/>
                            <w:szCs w:val="24"/>
                            <w:lang w:eastAsia="lt-LT"/>
                          </w:rPr>
                          <w:t>399</w:t>
                        </w:r>
                      </w:p>
                    </w:tc>
                    <w:tc>
                      <w:tcPr>
                        <w:tcW w:w="1077" w:type="dxa"/>
                        <w:shd w:val="clear" w:color="auto" w:fill="auto"/>
                        <w:vAlign w:val="center"/>
                        <w:hideMark/>
                      </w:tcPr>
                      <w:p w14:paraId="49D49B2E" w14:textId="77777777">
                        <w:pPr>
                          <w:jc w:val="right"/>
                          <w:rPr>
                            <w:color w:val="000000"/>
                            <w:szCs w:val="24"/>
                            <w:lang w:eastAsia="lt-LT"/>
                          </w:rPr>
                        </w:pPr>
                        <w:r>
                          <w:rPr>
                            <w:color w:val="000000"/>
                            <w:szCs w:val="24"/>
                            <w:lang w:eastAsia="lt-LT"/>
                          </w:rPr>
                          <w:t>498</w:t>
                        </w:r>
                      </w:p>
                    </w:tc>
                    <w:tc>
                      <w:tcPr>
                        <w:tcW w:w="1076" w:type="dxa"/>
                        <w:shd w:val="clear" w:color="auto" w:fill="auto"/>
                        <w:vAlign w:val="center"/>
                        <w:hideMark/>
                      </w:tcPr>
                      <w:p w14:paraId="7C5217D0" w14:textId="77777777">
                        <w:pPr>
                          <w:jc w:val="right"/>
                          <w:rPr>
                            <w:color w:val="000000"/>
                            <w:szCs w:val="24"/>
                            <w:lang w:eastAsia="lt-LT"/>
                          </w:rPr>
                        </w:pPr>
                        <w:r>
                          <w:rPr>
                            <w:color w:val="000000"/>
                            <w:szCs w:val="24"/>
                            <w:lang w:eastAsia="lt-LT"/>
                          </w:rPr>
                          <w:t>467</w:t>
                        </w:r>
                      </w:p>
                    </w:tc>
                    <w:tc>
                      <w:tcPr>
                        <w:tcW w:w="1230" w:type="dxa"/>
                        <w:shd w:val="clear" w:color="auto" w:fill="auto"/>
                        <w:vAlign w:val="center"/>
                        <w:hideMark/>
                      </w:tcPr>
                      <w:p w14:paraId="74687A2D" w14:textId="77777777">
                        <w:pPr>
                          <w:jc w:val="right"/>
                          <w:rPr>
                            <w:color w:val="000000"/>
                            <w:szCs w:val="24"/>
                            <w:lang w:eastAsia="lt-LT"/>
                          </w:rPr>
                        </w:pPr>
                        <w:r>
                          <w:rPr>
                            <w:color w:val="000000"/>
                            <w:szCs w:val="24"/>
                            <w:lang w:eastAsia="lt-LT"/>
                          </w:rPr>
                          <w:t>513</w:t>
                        </w:r>
                      </w:p>
                    </w:tc>
                    <w:tc>
                      <w:tcPr>
                        <w:tcW w:w="1079" w:type="dxa"/>
                        <w:shd w:val="clear" w:color="auto" w:fill="auto"/>
                        <w:vAlign w:val="center"/>
                        <w:hideMark/>
                      </w:tcPr>
                      <w:p w14:paraId="6723F4AD" w14:textId="77777777">
                        <w:pPr>
                          <w:jc w:val="right"/>
                          <w:rPr>
                            <w:color w:val="000000"/>
                            <w:szCs w:val="24"/>
                            <w:lang w:eastAsia="lt-LT"/>
                          </w:rPr>
                        </w:pPr>
                        <w:r>
                          <w:rPr>
                            <w:color w:val="000000"/>
                            <w:szCs w:val="24"/>
                            <w:lang w:eastAsia="lt-LT"/>
                          </w:rPr>
                          <w:t>544</w:t>
                        </w:r>
                      </w:p>
                    </w:tc>
                    <w:tc>
                      <w:tcPr>
                        <w:tcW w:w="1076" w:type="dxa"/>
                      </w:tcPr>
                      <w:p w14:paraId="4BEF6F8A" w14:textId="24E9C386">
                        <w:pPr>
                          <w:jc w:val="right"/>
                          <w:rPr>
                            <w:color w:val="000000"/>
                            <w:szCs w:val="24"/>
                            <w:lang w:eastAsia="lt-LT"/>
                          </w:rPr>
                        </w:pPr>
                        <w:r>
                          <w:rPr>
                            <w:color w:val="000000"/>
                            <w:szCs w:val="24"/>
                            <w:lang w:eastAsia="lt-LT"/>
                          </w:rPr>
                          <w:t>9 764</w:t>
                        </w:r>
                      </w:p>
                    </w:tc>
                  </w:tr>
                  <w:tr w14:paraId="7657C656" w14:textId="27B97DE3">
                    <w:trPr>
                      <w:trHeight w:val="218"/>
                    </w:trPr>
                    <w:tc>
                      <w:tcPr>
                        <w:tcW w:w="2148" w:type="dxa"/>
                        <w:shd w:val="clear" w:color="auto" w:fill="D9D9D9" w:themeFill="background1" w:themeFillShade="D9"/>
                        <w:vAlign w:val="center"/>
                        <w:hideMark/>
                      </w:tcPr>
                      <w:p w14:paraId="4D41A520" w14:textId="105287AC">
                        <w:pPr>
                          <w:rPr>
                            <w:b/>
                            <w:bCs/>
                            <w:color w:val="000000"/>
                            <w:szCs w:val="24"/>
                            <w:lang w:eastAsia="lt-LT"/>
                          </w:rPr>
                        </w:pPr>
                        <w:r>
                          <w:rPr>
                            <w:b/>
                            <w:bCs/>
                            <w:color w:val="000000"/>
                            <w:szCs w:val="24"/>
                            <w:lang w:eastAsia="lt-LT"/>
                          </w:rPr>
                          <w:t>Šakių rajono</w:t>
                        </w:r>
                      </w:p>
                    </w:tc>
                    <w:tc>
                      <w:tcPr>
                        <w:tcW w:w="1076" w:type="dxa"/>
                        <w:shd w:val="clear" w:color="auto" w:fill="auto"/>
                        <w:vAlign w:val="center"/>
                        <w:hideMark/>
                      </w:tcPr>
                      <w:p w14:paraId="6A6894D0" w14:textId="77777777">
                        <w:pPr>
                          <w:jc w:val="right"/>
                          <w:rPr>
                            <w:color w:val="000000"/>
                            <w:szCs w:val="24"/>
                            <w:lang w:eastAsia="lt-LT"/>
                          </w:rPr>
                        </w:pPr>
                        <w:r>
                          <w:rPr>
                            <w:color w:val="000000"/>
                            <w:szCs w:val="24"/>
                            <w:lang w:eastAsia="lt-LT"/>
                          </w:rPr>
                          <w:t>154</w:t>
                        </w:r>
                      </w:p>
                    </w:tc>
                    <w:tc>
                      <w:tcPr>
                        <w:tcW w:w="1076" w:type="dxa"/>
                        <w:shd w:val="clear" w:color="auto" w:fill="auto"/>
                        <w:vAlign w:val="center"/>
                        <w:hideMark/>
                      </w:tcPr>
                      <w:p w14:paraId="4921E7BF" w14:textId="77777777">
                        <w:pPr>
                          <w:jc w:val="right"/>
                          <w:rPr>
                            <w:color w:val="000000"/>
                            <w:szCs w:val="24"/>
                            <w:lang w:eastAsia="lt-LT"/>
                          </w:rPr>
                        </w:pPr>
                        <w:r>
                          <w:rPr>
                            <w:color w:val="000000"/>
                            <w:szCs w:val="24"/>
                            <w:lang w:eastAsia="lt-LT"/>
                          </w:rPr>
                          <w:t>167</w:t>
                        </w:r>
                      </w:p>
                    </w:tc>
                    <w:tc>
                      <w:tcPr>
                        <w:tcW w:w="1077" w:type="dxa"/>
                        <w:shd w:val="clear" w:color="auto" w:fill="auto"/>
                        <w:vAlign w:val="center"/>
                        <w:hideMark/>
                      </w:tcPr>
                      <w:p w14:paraId="34C471B7" w14:textId="77777777">
                        <w:pPr>
                          <w:jc w:val="right"/>
                          <w:rPr>
                            <w:color w:val="000000"/>
                            <w:szCs w:val="24"/>
                            <w:lang w:eastAsia="lt-LT"/>
                          </w:rPr>
                        </w:pPr>
                        <w:r>
                          <w:rPr>
                            <w:color w:val="000000"/>
                            <w:szCs w:val="24"/>
                            <w:lang w:eastAsia="lt-LT"/>
                          </w:rPr>
                          <w:t>187</w:t>
                        </w:r>
                      </w:p>
                    </w:tc>
                    <w:tc>
                      <w:tcPr>
                        <w:tcW w:w="1076" w:type="dxa"/>
                        <w:shd w:val="clear" w:color="auto" w:fill="auto"/>
                        <w:vAlign w:val="center"/>
                        <w:hideMark/>
                      </w:tcPr>
                      <w:p w14:paraId="6F4B3F76" w14:textId="77777777">
                        <w:pPr>
                          <w:jc w:val="right"/>
                          <w:rPr>
                            <w:color w:val="000000"/>
                            <w:szCs w:val="24"/>
                            <w:lang w:eastAsia="lt-LT"/>
                          </w:rPr>
                        </w:pPr>
                        <w:r>
                          <w:rPr>
                            <w:color w:val="000000"/>
                            <w:szCs w:val="24"/>
                            <w:lang w:eastAsia="lt-LT"/>
                          </w:rPr>
                          <w:t>213</w:t>
                        </w:r>
                      </w:p>
                    </w:tc>
                    <w:tc>
                      <w:tcPr>
                        <w:tcW w:w="1230" w:type="dxa"/>
                        <w:shd w:val="clear" w:color="auto" w:fill="auto"/>
                        <w:vAlign w:val="center"/>
                        <w:hideMark/>
                      </w:tcPr>
                      <w:p w14:paraId="34CE84BC" w14:textId="77777777">
                        <w:pPr>
                          <w:jc w:val="right"/>
                          <w:rPr>
                            <w:color w:val="000000"/>
                            <w:szCs w:val="24"/>
                            <w:lang w:eastAsia="lt-LT"/>
                          </w:rPr>
                        </w:pPr>
                        <w:r>
                          <w:rPr>
                            <w:color w:val="000000"/>
                            <w:szCs w:val="24"/>
                            <w:lang w:eastAsia="lt-LT"/>
                          </w:rPr>
                          <w:t>212</w:t>
                        </w:r>
                      </w:p>
                    </w:tc>
                    <w:tc>
                      <w:tcPr>
                        <w:tcW w:w="1079" w:type="dxa"/>
                        <w:shd w:val="clear" w:color="auto" w:fill="auto"/>
                        <w:vAlign w:val="center"/>
                        <w:hideMark/>
                      </w:tcPr>
                      <w:p w14:paraId="71C6E54E" w14:textId="77777777">
                        <w:pPr>
                          <w:jc w:val="right"/>
                          <w:rPr>
                            <w:color w:val="000000"/>
                            <w:szCs w:val="24"/>
                            <w:lang w:eastAsia="lt-LT"/>
                          </w:rPr>
                        </w:pPr>
                        <w:r>
                          <w:rPr>
                            <w:color w:val="000000"/>
                            <w:szCs w:val="24"/>
                            <w:lang w:eastAsia="lt-LT"/>
                          </w:rPr>
                          <w:t>212</w:t>
                        </w:r>
                      </w:p>
                    </w:tc>
                    <w:tc>
                      <w:tcPr>
                        <w:tcW w:w="1076" w:type="dxa"/>
                      </w:tcPr>
                      <w:p w14:paraId="121F2AE9" w14:textId="36FEA7B3">
                        <w:pPr>
                          <w:jc w:val="right"/>
                          <w:rPr>
                            <w:color w:val="000000"/>
                            <w:szCs w:val="24"/>
                            <w:lang w:eastAsia="lt-LT"/>
                          </w:rPr>
                        </w:pPr>
                        <w:r>
                          <w:rPr>
                            <w:color w:val="000000"/>
                            <w:szCs w:val="24"/>
                            <w:lang w:eastAsia="lt-LT"/>
                          </w:rPr>
                          <w:t>4 371</w:t>
                        </w:r>
                      </w:p>
                    </w:tc>
                  </w:tr>
                  <w:tr w14:paraId="133D43F6" w14:textId="2BCDD347">
                    <w:trPr>
                      <w:trHeight w:val="218"/>
                    </w:trPr>
                    <w:tc>
                      <w:tcPr>
                        <w:tcW w:w="2148" w:type="dxa"/>
                        <w:shd w:val="clear" w:color="auto" w:fill="D9D9D9" w:themeFill="background1" w:themeFillShade="D9"/>
                        <w:vAlign w:val="center"/>
                        <w:hideMark/>
                      </w:tcPr>
                      <w:p w14:paraId="2060CBC1" w14:textId="16EC2E04">
                        <w:pPr>
                          <w:rPr>
                            <w:b/>
                            <w:bCs/>
                            <w:color w:val="000000"/>
                            <w:szCs w:val="24"/>
                            <w:lang w:eastAsia="lt-LT"/>
                          </w:rPr>
                        </w:pPr>
                        <w:r>
                          <w:rPr>
                            <w:b/>
                            <w:bCs/>
                            <w:color w:val="000000"/>
                            <w:szCs w:val="24"/>
                            <w:lang w:eastAsia="lt-LT"/>
                          </w:rPr>
                          <w:t>Vilkaviškio rajono</w:t>
                        </w:r>
                      </w:p>
                    </w:tc>
                    <w:tc>
                      <w:tcPr>
                        <w:tcW w:w="1076" w:type="dxa"/>
                        <w:shd w:val="clear" w:color="auto" w:fill="auto"/>
                        <w:vAlign w:val="center"/>
                        <w:hideMark/>
                      </w:tcPr>
                      <w:p w14:paraId="3C755DFD" w14:textId="77777777">
                        <w:pPr>
                          <w:jc w:val="right"/>
                          <w:rPr>
                            <w:color w:val="000000"/>
                            <w:szCs w:val="24"/>
                            <w:lang w:eastAsia="lt-LT"/>
                          </w:rPr>
                        </w:pPr>
                        <w:r>
                          <w:rPr>
                            <w:color w:val="000000"/>
                            <w:szCs w:val="24"/>
                            <w:lang w:eastAsia="lt-LT"/>
                          </w:rPr>
                          <w:t>260</w:t>
                        </w:r>
                      </w:p>
                    </w:tc>
                    <w:tc>
                      <w:tcPr>
                        <w:tcW w:w="1076" w:type="dxa"/>
                        <w:shd w:val="clear" w:color="auto" w:fill="auto"/>
                        <w:vAlign w:val="center"/>
                        <w:hideMark/>
                      </w:tcPr>
                      <w:p w14:paraId="7DA3998F" w14:textId="77777777">
                        <w:pPr>
                          <w:jc w:val="right"/>
                          <w:rPr>
                            <w:color w:val="000000"/>
                            <w:szCs w:val="24"/>
                            <w:lang w:eastAsia="lt-LT"/>
                          </w:rPr>
                        </w:pPr>
                        <w:r>
                          <w:rPr>
                            <w:color w:val="000000"/>
                            <w:szCs w:val="24"/>
                            <w:lang w:eastAsia="lt-LT"/>
                          </w:rPr>
                          <w:t>225</w:t>
                        </w:r>
                      </w:p>
                    </w:tc>
                    <w:tc>
                      <w:tcPr>
                        <w:tcW w:w="1077" w:type="dxa"/>
                        <w:shd w:val="clear" w:color="auto" w:fill="auto"/>
                        <w:vAlign w:val="center"/>
                        <w:hideMark/>
                      </w:tcPr>
                      <w:p w14:paraId="0846FD50" w14:textId="77777777">
                        <w:pPr>
                          <w:jc w:val="right"/>
                          <w:rPr>
                            <w:color w:val="000000"/>
                            <w:szCs w:val="24"/>
                            <w:lang w:eastAsia="lt-LT"/>
                          </w:rPr>
                        </w:pPr>
                        <w:r>
                          <w:rPr>
                            <w:color w:val="000000"/>
                            <w:szCs w:val="24"/>
                            <w:lang w:eastAsia="lt-LT"/>
                          </w:rPr>
                          <w:t>264</w:t>
                        </w:r>
                      </w:p>
                    </w:tc>
                    <w:tc>
                      <w:tcPr>
                        <w:tcW w:w="1076" w:type="dxa"/>
                        <w:shd w:val="clear" w:color="auto" w:fill="auto"/>
                        <w:vAlign w:val="center"/>
                        <w:hideMark/>
                      </w:tcPr>
                      <w:p w14:paraId="26708B01" w14:textId="77777777">
                        <w:pPr>
                          <w:jc w:val="right"/>
                          <w:rPr>
                            <w:color w:val="000000"/>
                            <w:szCs w:val="24"/>
                            <w:lang w:eastAsia="lt-LT"/>
                          </w:rPr>
                        </w:pPr>
                        <w:r>
                          <w:rPr>
                            <w:color w:val="000000"/>
                            <w:szCs w:val="24"/>
                            <w:lang w:eastAsia="lt-LT"/>
                          </w:rPr>
                          <w:t>283</w:t>
                        </w:r>
                      </w:p>
                    </w:tc>
                    <w:tc>
                      <w:tcPr>
                        <w:tcW w:w="1230" w:type="dxa"/>
                        <w:shd w:val="clear" w:color="auto" w:fill="auto"/>
                        <w:vAlign w:val="center"/>
                        <w:hideMark/>
                      </w:tcPr>
                      <w:p w14:paraId="46916DE5" w14:textId="77777777">
                        <w:pPr>
                          <w:jc w:val="right"/>
                          <w:rPr>
                            <w:color w:val="000000"/>
                            <w:szCs w:val="24"/>
                            <w:lang w:eastAsia="lt-LT"/>
                          </w:rPr>
                        </w:pPr>
                        <w:r>
                          <w:rPr>
                            <w:color w:val="000000"/>
                            <w:szCs w:val="24"/>
                            <w:lang w:eastAsia="lt-LT"/>
                          </w:rPr>
                          <w:t>304</w:t>
                        </w:r>
                      </w:p>
                    </w:tc>
                    <w:tc>
                      <w:tcPr>
                        <w:tcW w:w="1079" w:type="dxa"/>
                        <w:shd w:val="clear" w:color="auto" w:fill="auto"/>
                        <w:vAlign w:val="center"/>
                        <w:hideMark/>
                      </w:tcPr>
                      <w:p w14:paraId="5431BD70" w14:textId="77777777">
                        <w:pPr>
                          <w:jc w:val="right"/>
                          <w:rPr>
                            <w:color w:val="000000"/>
                            <w:szCs w:val="24"/>
                            <w:lang w:eastAsia="lt-LT"/>
                          </w:rPr>
                        </w:pPr>
                        <w:r>
                          <w:rPr>
                            <w:color w:val="000000"/>
                            <w:szCs w:val="24"/>
                            <w:lang w:eastAsia="lt-LT"/>
                          </w:rPr>
                          <w:t>327</w:t>
                        </w:r>
                      </w:p>
                    </w:tc>
                    <w:tc>
                      <w:tcPr>
                        <w:tcW w:w="1076" w:type="dxa"/>
                      </w:tcPr>
                      <w:p w14:paraId="122F0E88" w14:textId="62744475">
                        <w:pPr>
                          <w:jc w:val="right"/>
                          <w:rPr>
                            <w:color w:val="000000"/>
                            <w:szCs w:val="24"/>
                            <w:lang w:eastAsia="lt-LT"/>
                          </w:rPr>
                        </w:pPr>
                        <w:r>
                          <w:rPr>
                            <w:color w:val="000000"/>
                            <w:szCs w:val="24"/>
                            <w:lang w:eastAsia="lt-LT"/>
                          </w:rPr>
                          <w:t>6 167</w:t>
                        </w:r>
                      </w:p>
                    </w:tc>
                  </w:tr>
                </w:tbl>
                <w:p w14:paraId="2D5808C6" w14:textId="77777777">
                  <w:pPr>
                    <w:tabs>
                      <w:tab w:val="left" w:pos="598"/>
                    </w:tabs>
                    <w:ind w:firstLine="567"/>
                    <w:jc w:val="both"/>
                    <w:rPr>
                      <w:iCs/>
                      <w:color w:val="000000"/>
                      <w:sz w:val="22"/>
                      <w:szCs w:val="22"/>
                    </w:rPr>
                  </w:pPr>
                </w:p>
                <w:p w14:paraId="0FABF193" w14:textId="525F4E9F">
                  <w:pPr>
                    <w:tabs>
                      <w:tab w:val="left" w:pos="598"/>
                    </w:tabs>
                    <w:ind w:firstLine="567"/>
                    <w:jc w:val="both"/>
                    <w:rPr>
                      <w:iCs/>
                      <w:color w:val="000000"/>
                      <w:szCs w:val="24"/>
                    </w:rPr>
                  </w:pPr>
                  <w:r>
                    <w:rPr>
                      <w:iCs/>
                      <w:color w:val="000000"/>
                      <w:szCs w:val="24"/>
                    </w:rPr>
                    <w:t>Visgi pažymėtina tai, kad Švietimo įstatymas numato pokyčius – nuo 2025 m. ugdymas pagal ikimokyklinio ugdymo programą yra visuotinis nuo 2 metų amžiaus, kas lems didėjantį ikimokyklinio ugdymo paslaugų poreikį, o siekiamas pokytis – didinti įsitraukimą į ikimokyklinį ugdymą neformaliojo švietimo veiklas, sudaryti sąlygas geresnei neįgaliųjų integracijai, sąlygos didesnį tikslinės grupės dalyvavimą ir įtrauktį. Tai rodo, kad paslaugų, kurias numatoma gerinti, poreikis didės.</w:t>
                  </w:r>
                </w:p>
                <w:p w14:paraId="2F787FFD" w14:textId="77777777">
                  <w:pPr>
                    <w:tabs>
                      <w:tab w:val="left" w:pos="598"/>
                    </w:tabs>
                    <w:ind w:firstLine="567"/>
                    <w:jc w:val="both"/>
                    <w:rPr>
                      <w:iCs/>
                      <w:color w:val="000000"/>
                      <w:sz w:val="12"/>
                      <w:szCs w:val="12"/>
                    </w:rPr>
                  </w:pPr>
                </w:p>
              </w:sdtContent>
            </w:sdt>
            <w:sdt>
              <w:sdtPr>
                <w:alias w:val="poskyris"/>
                <w:tag w:val="part_cebcf54eff6b47349a2efa2e9e5bd8b0"/>
                <w:lock w:val="sdtLocked"/>
                <w:richText/>
              </w:sdtPr>
              <w:sdtContent>
                <w:p w14:paraId="54B7A122" w14:textId="4C86191A">
                  <w:pPr>
                    <w:tabs>
                      <w:tab w:val="left" w:pos="598"/>
                    </w:tabs>
                    <w:jc w:val="both"/>
                    <w:rPr>
                      <w:b/>
                      <w:bCs/>
                      <w:iCs/>
                      <w:color w:val="000000"/>
                      <w:szCs w:val="24"/>
                    </w:rPr>
                  </w:pPr>
                  <w:sdt>
                    <w:sdtPr>
                      <w:alias w:val="Pavadinimas"/>
                      <w:tag w:val="title_cebcf54eff6b47349a2efa2e9e5bd8b0"/>
                      <w:lock w:val="sdtLocked"/>
                      <w:richText/>
                    </w:sdtPr>
                    <w:sdtContent>
                      <w:r>
                        <w:rPr>
                          <w:b/>
                          <w:bCs/>
                          <w:iCs/>
                          <w:color w:val="000000"/>
                          <w:szCs w:val="24"/>
                        </w:rPr>
                        <w:t>Tikslinės grupės dydis – vaikų su negalia skaičius</w:t>
                      </w:r>
                    </w:sdtContent>
                  </w:sdt>
                </w:p>
                <w:tbl>
                  <w:tblPr>
                    <w:tblW w:w="9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3"/>
                    <w:gridCol w:w="1721"/>
                    <w:gridCol w:w="1837"/>
                    <w:gridCol w:w="1842"/>
                    <w:gridCol w:w="1894"/>
                  </w:tblGrid>
                  <w:tr w14:paraId="29107D50" w14:textId="77777777">
                    <w:trPr>
                      <w:trHeight w:val="179"/>
                    </w:trPr>
                    <w:tc>
                      <w:tcPr>
                        <w:tcW w:w="2533" w:type="dxa"/>
                        <w:vMerge w:val="restart"/>
                        <w:shd w:val="clear" w:color="auto" w:fill="D9D9D9" w:themeFill="background1" w:themeFillShade="D9"/>
                        <w:vAlign w:val="center"/>
                        <w:hideMark/>
                      </w:tcPr>
                      <w:p w14:paraId="03414A96" w14:textId="77777777">
                        <w:pPr>
                          <w:jc w:val="center"/>
                          <w:rPr>
                            <w:b/>
                            <w:bCs/>
                            <w:color w:val="000000"/>
                            <w:szCs w:val="24"/>
                            <w:lang w:eastAsia="lt-LT"/>
                          </w:rPr>
                        </w:pPr>
                        <w:r>
                          <w:rPr>
                            <w:b/>
                            <w:bCs/>
                            <w:color w:val="000000"/>
                            <w:szCs w:val="24"/>
                            <w:lang w:eastAsia="lt-LT"/>
                          </w:rPr>
                          <w:t>Savivaldybė</w:t>
                        </w:r>
                      </w:p>
                    </w:tc>
                    <w:tc>
                      <w:tcPr>
                        <w:tcW w:w="7294" w:type="dxa"/>
                        <w:gridSpan w:val="4"/>
                        <w:shd w:val="clear" w:color="auto" w:fill="D9D9D9" w:themeFill="background1" w:themeFillShade="D9"/>
                        <w:vAlign w:val="center"/>
                        <w:hideMark/>
                      </w:tcPr>
                      <w:p w14:paraId="0919CDCE" w14:textId="6E150A3F">
                        <w:pPr>
                          <w:jc w:val="center"/>
                          <w:rPr>
                            <w:b/>
                            <w:bCs/>
                            <w:color w:val="000000"/>
                            <w:szCs w:val="24"/>
                            <w:lang w:eastAsia="lt-LT"/>
                          </w:rPr>
                        </w:pPr>
                        <w:r>
                          <w:rPr>
                            <w:b/>
                            <w:bCs/>
                            <w:color w:val="000000"/>
                            <w:szCs w:val="24"/>
                            <w:lang w:eastAsia="lt-LT"/>
                          </w:rPr>
                          <w:t>Vaikų su negalia skaičius 2021 m.</w:t>
                        </w:r>
                        <w:r>
                          <w:rPr>
                            <w:b/>
                            <w:bCs/>
                            <w:color w:val="000000"/>
                            <w:szCs w:val="24"/>
                            <w:vertAlign w:val="superscript"/>
                            <w:lang w:eastAsia="lt-LT"/>
                          </w:rPr>
                          <w:footnoteReference w:id="13"/>
                        </w:r>
                      </w:p>
                    </w:tc>
                  </w:tr>
                  <w:tr w14:paraId="033293D5" w14:textId="77777777">
                    <w:trPr>
                      <w:trHeight w:val="179"/>
                    </w:trPr>
                    <w:tc>
                      <w:tcPr>
                        <w:tcW w:w="2533" w:type="dxa"/>
                        <w:vMerge/>
                        <w:shd w:val="clear" w:color="auto" w:fill="D9D9D9" w:themeFill="background1" w:themeFillShade="D9"/>
                        <w:vAlign w:val="center"/>
                        <w:hideMark/>
                      </w:tcPr>
                      <w:p w14:paraId="78A41CD5" w14:textId="77777777">
                        <w:pPr>
                          <w:rPr>
                            <w:b/>
                            <w:bCs/>
                            <w:color w:val="000000"/>
                            <w:szCs w:val="24"/>
                            <w:lang w:eastAsia="lt-LT"/>
                          </w:rPr>
                        </w:pPr>
                      </w:p>
                    </w:tc>
                    <w:tc>
                      <w:tcPr>
                        <w:tcW w:w="1721" w:type="dxa"/>
                        <w:shd w:val="clear" w:color="auto" w:fill="D9D9D9" w:themeFill="background1" w:themeFillShade="D9"/>
                        <w:vAlign w:val="center"/>
                      </w:tcPr>
                      <w:p w14:paraId="4AF30F1D" w14:textId="253BB6FE">
                        <w:pPr>
                          <w:jc w:val="center"/>
                          <w:rPr>
                            <w:b/>
                            <w:bCs/>
                            <w:color w:val="000000"/>
                            <w:szCs w:val="24"/>
                            <w:lang w:eastAsia="lt-LT"/>
                          </w:rPr>
                        </w:pPr>
                        <w:r>
                          <w:rPr>
                            <w:b/>
                            <w:bCs/>
                            <w:color w:val="000000"/>
                            <w:szCs w:val="24"/>
                            <w:lang w:eastAsia="lt-LT"/>
                          </w:rPr>
                          <w:t>Lengvas neįgalumas</w:t>
                        </w:r>
                      </w:p>
                    </w:tc>
                    <w:tc>
                      <w:tcPr>
                        <w:tcW w:w="1837" w:type="dxa"/>
                        <w:shd w:val="clear" w:color="auto" w:fill="D9D9D9" w:themeFill="background1" w:themeFillShade="D9"/>
                        <w:vAlign w:val="center"/>
                      </w:tcPr>
                      <w:p w14:paraId="6997AF90" w14:textId="6E07EE6F">
                        <w:pPr>
                          <w:jc w:val="center"/>
                          <w:rPr>
                            <w:b/>
                            <w:bCs/>
                            <w:color w:val="000000"/>
                            <w:szCs w:val="24"/>
                            <w:lang w:eastAsia="lt-LT"/>
                          </w:rPr>
                        </w:pPr>
                        <w:r>
                          <w:rPr>
                            <w:b/>
                            <w:bCs/>
                            <w:color w:val="000000"/>
                            <w:szCs w:val="24"/>
                            <w:lang w:eastAsia="lt-LT"/>
                          </w:rPr>
                          <w:t>Sunkus neįgalumas</w:t>
                        </w:r>
                      </w:p>
                    </w:tc>
                    <w:tc>
                      <w:tcPr>
                        <w:tcW w:w="1842" w:type="dxa"/>
                        <w:shd w:val="clear" w:color="auto" w:fill="D9D9D9" w:themeFill="background1" w:themeFillShade="D9"/>
                        <w:vAlign w:val="center"/>
                      </w:tcPr>
                      <w:p w14:paraId="7B3713F5" w14:textId="22A853B8">
                        <w:pPr>
                          <w:jc w:val="center"/>
                          <w:rPr>
                            <w:b/>
                            <w:bCs/>
                            <w:color w:val="000000"/>
                            <w:szCs w:val="24"/>
                            <w:lang w:eastAsia="lt-LT"/>
                          </w:rPr>
                        </w:pPr>
                        <w:r>
                          <w:rPr>
                            <w:b/>
                            <w:bCs/>
                            <w:color w:val="000000"/>
                            <w:szCs w:val="24"/>
                            <w:lang w:eastAsia="lt-LT"/>
                          </w:rPr>
                          <w:t>Vidutinis neįgalumas</w:t>
                        </w:r>
                      </w:p>
                    </w:tc>
                    <w:tc>
                      <w:tcPr>
                        <w:tcW w:w="1894" w:type="dxa"/>
                        <w:shd w:val="clear" w:color="auto" w:fill="D9D9D9" w:themeFill="background1" w:themeFillShade="D9"/>
                        <w:vAlign w:val="center"/>
                      </w:tcPr>
                      <w:p w14:paraId="0B058662" w14:textId="36215D49">
                        <w:pPr>
                          <w:jc w:val="center"/>
                          <w:rPr>
                            <w:b/>
                            <w:bCs/>
                            <w:color w:val="000000"/>
                            <w:szCs w:val="24"/>
                            <w:lang w:eastAsia="lt-LT"/>
                          </w:rPr>
                        </w:pPr>
                        <w:r>
                          <w:rPr>
                            <w:b/>
                            <w:bCs/>
                            <w:color w:val="000000"/>
                            <w:szCs w:val="24"/>
                            <w:lang w:eastAsia="lt-LT"/>
                          </w:rPr>
                          <w:t>Iš viso</w:t>
                        </w:r>
                      </w:p>
                    </w:tc>
                  </w:tr>
                  <w:tr w14:paraId="0B03BC5A" w14:textId="77777777">
                    <w:trPr>
                      <w:trHeight w:val="179"/>
                    </w:trPr>
                    <w:tc>
                      <w:tcPr>
                        <w:tcW w:w="2533" w:type="dxa"/>
                        <w:shd w:val="clear" w:color="auto" w:fill="D9D9D9" w:themeFill="background1" w:themeFillShade="D9"/>
                        <w:vAlign w:val="center"/>
                        <w:hideMark/>
                      </w:tcPr>
                      <w:p w14:paraId="465E1331" w14:textId="77777777">
                        <w:pPr>
                          <w:rPr>
                            <w:b/>
                            <w:bCs/>
                            <w:color w:val="000000"/>
                            <w:szCs w:val="24"/>
                            <w:lang w:eastAsia="lt-LT"/>
                          </w:rPr>
                        </w:pPr>
                        <w:r>
                          <w:rPr>
                            <w:b/>
                            <w:bCs/>
                            <w:color w:val="000000"/>
                            <w:szCs w:val="24"/>
                            <w:lang w:eastAsia="lt-LT"/>
                          </w:rPr>
                          <w:t>Kalvarijos</w:t>
                        </w:r>
                      </w:p>
                    </w:tc>
                    <w:tc>
                      <w:tcPr>
                        <w:tcW w:w="1721" w:type="dxa"/>
                        <w:shd w:val="clear" w:color="auto" w:fill="auto"/>
                        <w:vAlign w:val="center"/>
                      </w:tcPr>
                      <w:p w14:paraId="22131D37" w14:textId="0F7A267F">
                        <w:pPr>
                          <w:jc w:val="right"/>
                          <w:rPr>
                            <w:color w:val="000000"/>
                            <w:szCs w:val="24"/>
                            <w:lang w:eastAsia="lt-LT"/>
                          </w:rPr>
                        </w:pPr>
                        <w:r>
                          <w:rPr>
                            <w:color w:val="000000"/>
                            <w:szCs w:val="24"/>
                            <w:lang w:eastAsia="lt-LT"/>
                          </w:rPr>
                          <w:t>17</w:t>
                        </w:r>
                      </w:p>
                    </w:tc>
                    <w:tc>
                      <w:tcPr>
                        <w:tcW w:w="1837" w:type="dxa"/>
                        <w:shd w:val="clear" w:color="auto" w:fill="auto"/>
                        <w:vAlign w:val="center"/>
                      </w:tcPr>
                      <w:p w14:paraId="52548C5D" w14:textId="3B2E63E8">
                        <w:pPr>
                          <w:jc w:val="right"/>
                          <w:rPr>
                            <w:color w:val="000000"/>
                            <w:szCs w:val="24"/>
                            <w:lang w:eastAsia="lt-LT"/>
                          </w:rPr>
                        </w:pPr>
                        <w:r>
                          <w:rPr>
                            <w:color w:val="000000"/>
                            <w:szCs w:val="24"/>
                            <w:lang w:eastAsia="lt-LT"/>
                          </w:rPr>
                          <w:t>13</w:t>
                        </w:r>
                      </w:p>
                    </w:tc>
                    <w:tc>
                      <w:tcPr>
                        <w:tcW w:w="1842" w:type="dxa"/>
                        <w:shd w:val="clear" w:color="auto" w:fill="auto"/>
                        <w:vAlign w:val="center"/>
                      </w:tcPr>
                      <w:p w14:paraId="1099AD45" w14:textId="208B357B">
                        <w:pPr>
                          <w:jc w:val="right"/>
                          <w:rPr>
                            <w:color w:val="000000"/>
                            <w:szCs w:val="24"/>
                            <w:lang w:eastAsia="lt-LT"/>
                          </w:rPr>
                        </w:pPr>
                        <w:r>
                          <w:rPr>
                            <w:color w:val="000000"/>
                            <w:szCs w:val="24"/>
                            <w:lang w:eastAsia="lt-LT"/>
                          </w:rPr>
                          <w:t>35</w:t>
                        </w:r>
                      </w:p>
                    </w:tc>
                    <w:tc>
                      <w:tcPr>
                        <w:tcW w:w="1894" w:type="dxa"/>
                        <w:shd w:val="clear" w:color="auto" w:fill="auto"/>
                        <w:vAlign w:val="center"/>
                      </w:tcPr>
                      <w:p w14:paraId="7298EF9A" w14:textId="729130ED">
                        <w:pPr>
                          <w:jc w:val="right"/>
                          <w:rPr>
                            <w:color w:val="000000"/>
                            <w:szCs w:val="24"/>
                            <w:lang w:eastAsia="lt-LT"/>
                          </w:rPr>
                        </w:pPr>
                        <w:r>
                          <w:rPr>
                            <w:color w:val="000000"/>
                            <w:szCs w:val="24"/>
                            <w:lang w:eastAsia="lt-LT"/>
                          </w:rPr>
                          <w:t>65</w:t>
                        </w:r>
                      </w:p>
                    </w:tc>
                  </w:tr>
                  <w:tr w14:paraId="07C0B5E1" w14:textId="77777777">
                    <w:trPr>
                      <w:trHeight w:val="179"/>
                    </w:trPr>
                    <w:tc>
                      <w:tcPr>
                        <w:tcW w:w="2533" w:type="dxa"/>
                        <w:shd w:val="clear" w:color="auto" w:fill="D9D9D9" w:themeFill="background1" w:themeFillShade="D9"/>
                        <w:vAlign w:val="center"/>
                        <w:hideMark/>
                      </w:tcPr>
                      <w:p w14:paraId="295D7EB8" w14:textId="77777777">
                        <w:pPr>
                          <w:rPr>
                            <w:b/>
                            <w:bCs/>
                            <w:color w:val="000000"/>
                            <w:szCs w:val="24"/>
                            <w:lang w:eastAsia="lt-LT"/>
                          </w:rPr>
                        </w:pPr>
                        <w:r>
                          <w:rPr>
                            <w:b/>
                            <w:bCs/>
                            <w:color w:val="000000"/>
                            <w:szCs w:val="24"/>
                            <w:lang w:eastAsia="lt-LT"/>
                          </w:rPr>
                          <w:t>Kazlų Rūdos</w:t>
                        </w:r>
                      </w:p>
                    </w:tc>
                    <w:tc>
                      <w:tcPr>
                        <w:tcW w:w="1721" w:type="dxa"/>
                        <w:shd w:val="clear" w:color="auto" w:fill="auto"/>
                        <w:vAlign w:val="center"/>
                      </w:tcPr>
                      <w:p w14:paraId="02D33143" w14:textId="227D0E35">
                        <w:pPr>
                          <w:jc w:val="right"/>
                          <w:rPr>
                            <w:color w:val="000000"/>
                            <w:szCs w:val="24"/>
                            <w:lang w:eastAsia="lt-LT"/>
                          </w:rPr>
                        </w:pPr>
                        <w:r>
                          <w:rPr>
                            <w:color w:val="000000"/>
                            <w:szCs w:val="24"/>
                            <w:lang w:eastAsia="lt-LT"/>
                          </w:rPr>
                          <w:t>22</w:t>
                        </w:r>
                      </w:p>
                    </w:tc>
                    <w:tc>
                      <w:tcPr>
                        <w:tcW w:w="1837" w:type="dxa"/>
                        <w:shd w:val="clear" w:color="auto" w:fill="auto"/>
                        <w:vAlign w:val="center"/>
                      </w:tcPr>
                      <w:p w14:paraId="7B1597B3" w14:textId="5CAE7C49">
                        <w:pPr>
                          <w:jc w:val="right"/>
                          <w:rPr>
                            <w:color w:val="000000"/>
                            <w:szCs w:val="24"/>
                            <w:lang w:eastAsia="lt-LT"/>
                          </w:rPr>
                        </w:pPr>
                        <w:r>
                          <w:rPr>
                            <w:color w:val="000000"/>
                            <w:szCs w:val="24"/>
                            <w:lang w:eastAsia="lt-LT"/>
                          </w:rPr>
                          <w:t>15</w:t>
                        </w:r>
                      </w:p>
                    </w:tc>
                    <w:tc>
                      <w:tcPr>
                        <w:tcW w:w="1842" w:type="dxa"/>
                        <w:shd w:val="clear" w:color="auto" w:fill="auto"/>
                        <w:vAlign w:val="center"/>
                      </w:tcPr>
                      <w:p w14:paraId="0669AF5C" w14:textId="14D63E24">
                        <w:pPr>
                          <w:jc w:val="right"/>
                          <w:rPr>
                            <w:color w:val="000000"/>
                            <w:szCs w:val="24"/>
                            <w:lang w:eastAsia="lt-LT"/>
                          </w:rPr>
                        </w:pPr>
                        <w:r>
                          <w:rPr>
                            <w:color w:val="000000"/>
                            <w:szCs w:val="24"/>
                            <w:lang w:eastAsia="lt-LT"/>
                          </w:rPr>
                          <w:t>31</w:t>
                        </w:r>
                      </w:p>
                    </w:tc>
                    <w:tc>
                      <w:tcPr>
                        <w:tcW w:w="1894" w:type="dxa"/>
                        <w:shd w:val="clear" w:color="auto" w:fill="auto"/>
                        <w:vAlign w:val="center"/>
                      </w:tcPr>
                      <w:p w14:paraId="1F79143F" w14:textId="6B47137D">
                        <w:pPr>
                          <w:jc w:val="right"/>
                          <w:rPr>
                            <w:color w:val="000000"/>
                            <w:szCs w:val="24"/>
                            <w:lang w:eastAsia="lt-LT"/>
                          </w:rPr>
                        </w:pPr>
                        <w:r>
                          <w:rPr>
                            <w:color w:val="000000"/>
                            <w:szCs w:val="24"/>
                            <w:lang w:eastAsia="lt-LT"/>
                          </w:rPr>
                          <w:t>68</w:t>
                        </w:r>
                      </w:p>
                    </w:tc>
                  </w:tr>
                  <w:tr w14:paraId="09D4E124" w14:textId="77777777">
                    <w:trPr>
                      <w:trHeight w:val="179"/>
                    </w:trPr>
                    <w:tc>
                      <w:tcPr>
                        <w:tcW w:w="2533" w:type="dxa"/>
                        <w:shd w:val="clear" w:color="auto" w:fill="D9D9D9" w:themeFill="background1" w:themeFillShade="D9"/>
                        <w:vAlign w:val="center"/>
                        <w:hideMark/>
                      </w:tcPr>
                      <w:p w14:paraId="070E35CF" w14:textId="77777777">
                        <w:pPr>
                          <w:rPr>
                            <w:b/>
                            <w:bCs/>
                            <w:color w:val="000000"/>
                            <w:szCs w:val="24"/>
                            <w:lang w:eastAsia="lt-LT"/>
                          </w:rPr>
                        </w:pPr>
                        <w:r>
                          <w:rPr>
                            <w:b/>
                            <w:bCs/>
                            <w:color w:val="000000"/>
                            <w:szCs w:val="24"/>
                            <w:lang w:eastAsia="lt-LT"/>
                          </w:rPr>
                          <w:t>Marijampolės</w:t>
                        </w:r>
                      </w:p>
                    </w:tc>
                    <w:tc>
                      <w:tcPr>
                        <w:tcW w:w="1721" w:type="dxa"/>
                        <w:shd w:val="clear" w:color="auto" w:fill="auto"/>
                        <w:vAlign w:val="center"/>
                      </w:tcPr>
                      <w:p w14:paraId="4732FB19" w14:textId="07BEA6C6">
                        <w:pPr>
                          <w:jc w:val="right"/>
                          <w:rPr>
                            <w:color w:val="000000"/>
                            <w:szCs w:val="24"/>
                            <w:lang w:eastAsia="lt-LT"/>
                          </w:rPr>
                        </w:pPr>
                        <w:r>
                          <w:rPr>
                            <w:color w:val="000000"/>
                            <w:szCs w:val="24"/>
                            <w:lang w:eastAsia="lt-LT"/>
                          </w:rPr>
                          <w:t>60</w:t>
                        </w:r>
                      </w:p>
                    </w:tc>
                    <w:tc>
                      <w:tcPr>
                        <w:tcW w:w="1837" w:type="dxa"/>
                        <w:shd w:val="clear" w:color="auto" w:fill="auto"/>
                        <w:vAlign w:val="center"/>
                      </w:tcPr>
                      <w:p w14:paraId="09D7D111" w14:textId="74E1890B">
                        <w:pPr>
                          <w:jc w:val="right"/>
                          <w:rPr>
                            <w:color w:val="000000"/>
                            <w:szCs w:val="24"/>
                            <w:lang w:eastAsia="lt-LT"/>
                          </w:rPr>
                        </w:pPr>
                        <w:r>
                          <w:rPr>
                            <w:color w:val="000000"/>
                            <w:szCs w:val="24"/>
                            <w:lang w:eastAsia="lt-LT"/>
                          </w:rPr>
                          <w:t>59</w:t>
                        </w:r>
                      </w:p>
                    </w:tc>
                    <w:tc>
                      <w:tcPr>
                        <w:tcW w:w="1842" w:type="dxa"/>
                        <w:shd w:val="clear" w:color="auto" w:fill="auto"/>
                        <w:vAlign w:val="center"/>
                      </w:tcPr>
                      <w:p w14:paraId="377C2AA1" w14:textId="6C74BE22">
                        <w:pPr>
                          <w:jc w:val="right"/>
                          <w:rPr>
                            <w:color w:val="000000"/>
                            <w:szCs w:val="24"/>
                            <w:lang w:eastAsia="lt-LT"/>
                          </w:rPr>
                        </w:pPr>
                        <w:r>
                          <w:rPr>
                            <w:color w:val="000000"/>
                            <w:szCs w:val="24"/>
                            <w:lang w:eastAsia="lt-LT"/>
                          </w:rPr>
                          <w:t>156</w:t>
                        </w:r>
                      </w:p>
                    </w:tc>
                    <w:tc>
                      <w:tcPr>
                        <w:tcW w:w="1894" w:type="dxa"/>
                        <w:shd w:val="clear" w:color="auto" w:fill="auto"/>
                        <w:vAlign w:val="center"/>
                      </w:tcPr>
                      <w:p w14:paraId="317C37D5" w14:textId="142B50A1">
                        <w:pPr>
                          <w:jc w:val="right"/>
                          <w:rPr>
                            <w:color w:val="000000"/>
                            <w:szCs w:val="24"/>
                            <w:lang w:eastAsia="lt-LT"/>
                          </w:rPr>
                        </w:pPr>
                        <w:r>
                          <w:rPr>
                            <w:color w:val="000000"/>
                            <w:szCs w:val="24"/>
                            <w:lang w:eastAsia="lt-LT"/>
                          </w:rPr>
                          <w:t>275</w:t>
                        </w:r>
                      </w:p>
                    </w:tc>
                  </w:tr>
                  <w:tr w14:paraId="0101F2AF" w14:textId="77777777">
                    <w:trPr>
                      <w:trHeight w:val="179"/>
                    </w:trPr>
                    <w:tc>
                      <w:tcPr>
                        <w:tcW w:w="2533" w:type="dxa"/>
                        <w:shd w:val="clear" w:color="auto" w:fill="D9D9D9" w:themeFill="background1" w:themeFillShade="D9"/>
                        <w:vAlign w:val="center"/>
                        <w:hideMark/>
                      </w:tcPr>
                      <w:p w14:paraId="46CDD062" w14:textId="77777777">
                        <w:pPr>
                          <w:rPr>
                            <w:b/>
                            <w:bCs/>
                            <w:color w:val="000000"/>
                            <w:szCs w:val="24"/>
                            <w:lang w:eastAsia="lt-LT"/>
                          </w:rPr>
                        </w:pPr>
                        <w:r>
                          <w:rPr>
                            <w:b/>
                            <w:bCs/>
                            <w:color w:val="000000"/>
                            <w:szCs w:val="24"/>
                            <w:lang w:eastAsia="lt-LT"/>
                          </w:rPr>
                          <w:t>Šakių rajono</w:t>
                        </w:r>
                      </w:p>
                    </w:tc>
                    <w:tc>
                      <w:tcPr>
                        <w:tcW w:w="1721" w:type="dxa"/>
                        <w:shd w:val="clear" w:color="auto" w:fill="auto"/>
                        <w:vAlign w:val="center"/>
                      </w:tcPr>
                      <w:p w14:paraId="60C0232E" w14:textId="02B9D3DC">
                        <w:pPr>
                          <w:jc w:val="right"/>
                          <w:rPr>
                            <w:color w:val="000000"/>
                            <w:szCs w:val="24"/>
                            <w:lang w:eastAsia="lt-LT"/>
                          </w:rPr>
                        </w:pPr>
                        <w:r>
                          <w:rPr>
                            <w:color w:val="000000"/>
                            <w:szCs w:val="24"/>
                            <w:lang w:eastAsia="lt-LT"/>
                          </w:rPr>
                          <w:t>32</w:t>
                        </w:r>
                      </w:p>
                    </w:tc>
                    <w:tc>
                      <w:tcPr>
                        <w:tcW w:w="1837" w:type="dxa"/>
                        <w:shd w:val="clear" w:color="auto" w:fill="auto"/>
                        <w:vAlign w:val="center"/>
                      </w:tcPr>
                      <w:p w14:paraId="461284E9" w14:textId="010B4408">
                        <w:pPr>
                          <w:jc w:val="right"/>
                          <w:rPr>
                            <w:color w:val="000000"/>
                            <w:szCs w:val="24"/>
                            <w:lang w:eastAsia="lt-LT"/>
                          </w:rPr>
                        </w:pPr>
                        <w:r>
                          <w:rPr>
                            <w:color w:val="000000"/>
                            <w:szCs w:val="24"/>
                            <w:lang w:eastAsia="lt-LT"/>
                          </w:rPr>
                          <w:t>28</w:t>
                        </w:r>
                      </w:p>
                    </w:tc>
                    <w:tc>
                      <w:tcPr>
                        <w:tcW w:w="1842" w:type="dxa"/>
                        <w:shd w:val="clear" w:color="auto" w:fill="auto"/>
                        <w:vAlign w:val="center"/>
                      </w:tcPr>
                      <w:p w14:paraId="4F81B962" w14:textId="5BF42ED2">
                        <w:pPr>
                          <w:jc w:val="right"/>
                          <w:rPr>
                            <w:color w:val="000000"/>
                            <w:szCs w:val="24"/>
                            <w:lang w:eastAsia="lt-LT"/>
                          </w:rPr>
                        </w:pPr>
                        <w:r>
                          <w:rPr>
                            <w:color w:val="000000"/>
                            <w:szCs w:val="24"/>
                            <w:lang w:eastAsia="lt-LT"/>
                          </w:rPr>
                          <w:t>71</w:t>
                        </w:r>
                      </w:p>
                    </w:tc>
                    <w:tc>
                      <w:tcPr>
                        <w:tcW w:w="1894" w:type="dxa"/>
                        <w:shd w:val="clear" w:color="auto" w:fill="auto"/>
                        <w:vAlign w:val="center"/>
                      </w:tcPr>
                      <w:p w14:paraId="3EB1BD2B" w14:textId="0C60A365">
                        <w:pPr>
                          <w:jc w:val="right"/>
                          <w:rPr>
                            <w:color w:val="000000"/>
                            <w:szCs w:val="24"/>
                            <w:lang w:eastAsia="lt-LT"/>
                          </w:rPr>
                        </w:pPr>
                        <w:r>
                          <w:rPr>
                            <w:color w:val="000000"/>
                            <w:szCs w:val="24"/>
                            <w:lang w:eastAsia="lt-LT"/>
                          </w:rPr>
                          <w:t>131</w:t>
                        </w:r>
                      </w:p>
                    </w:tc>
                  </w:tr>
                  <w:tr w14:paraId="66FFB2AF" w14:textId="77777777">
                    <w:trPr>
                      <w:trHeight w:val="179"/>
                    </w:trPr>
                    <w:tc>
                      <w:tcPr>
                        <w:tcW w:w="2533" w:type="dxa"/>
                        <w:shd w:val="clear" w:color="auto" w:fill="D9D9D9" w:themeFill="background1" w:themeFillShade="D9"/>
                        <w:vAlign w:val="center"/>
                        <w:hideMark/>
                      </w:tcPr>
                      <w:p w14:paraId="42C7CE5C" w14:textId="77777777">
                        <w:pPr>
                          <w:rPr>
                            <w:b/>
                            <w:bCs/>
                            <w:color w:val="000000"/>
                            <w:szCs w:val="24"/>
                            <w:lang w:eastAsia="lt-LT"/>
                          </w:rPr>
                        </w:pPr>
                        <w:r>
                          <w:rPr>
                            <w:b/>
                            <w:bCs/>
                            <w:color w:val="000000"/>
                            <w:szCs w:val="24"/>
                            <w:lang w:eastAsia="lt-LT"/>
                          </w:rPr>
                          <w:t>Vilkaviškio rajono</w:t>
                        </w:r>
                      </w:p>
                    </w:tc>
                    <w:tc>
                      <w:tcPr>
                        <w:tcW w:w="1721" w:type="dxa"/>
                        <w:shd w:val="clear" w:color="auto" w:fill="auto"/>
                        <w:vAlign w:val="center"/>
                      </w:tcPr>
                      <w:p w14:paraId="06446E67" w14:textId="43B7D5F5">
                        <w:pPr>
                          <w:jc w:val="right"/>
                          <w:rPr>
                            <w:color w:val="000000"/>
                            <w:szCs w:val="24"/>
                            <w:lang w:eastAsia="lt-LT"/>
                          </w:rPr>
                        </w:pPr>
                        <w:r>
                          <w:rPr>
                            <w:color w:val="000000"/>
                            <w:szCs w:val="24"/>
                            <w:lang w:eastAsia="lt-LT"/>
                          </w:rPr>
                          <w:t>39</w:t>
                        </w:r>
                      </w:p>
                    </w:tc>
                    <w:tc>
                      <w:tcPr>
                        <w:tcW w:w="1837" w:type="dxa"/>
                        <w:shd w:val="clear" w:color="auto" w:fill="auto"/>
                        <w:vAlign w:val="center"/>
                      </w:tcPr>
                      <w:p w14:paraId="0A4C0F3B" w14:textId="24934F40">
                        <w:pPr>
                          <w:jc w:val="right"/>
                          <w:rPr>
                            <w:color w:val="000000"/>
                            <w:szCs w:val="24"/>
                            <w:lang w:eastAsia="lt-LT"/>
                          </w:rPr>
                        </w:pPr>
                        <w:r>
                          <w:rPr>
                            <w:color w:val="000000"/>
                            <w:szCs w:val="24"/>
                            <w:lang w:eastAsia="lt-LT"/>
                          </w:rPr>
                          <w:t>35</w:t>
                        </w:r>
                      </w:p>
                    </w:tc>
                    <w:tc>
                      <w:tcPr>
                        <w:tcW w:w="1842" w:type="dxa"/>
                        <w:shd w:val="clear" w:color="auto" w:fill="auto"/>
                        <w:vAlign w:val="center"/>
                      </w:tcPr>
                      <w:p w14:paraId="22F10B8C" w14:textId="4045B42A">
                        <w:pPr>
                          <w:jc w:val="right"/>
                          <w:rPr>
                            <w:color w:val="000000"/>
                            <w:szCs w:val="24"/>
                            <w:lang w:eastAsia="lt-LT"/>
                          </w:rPr>
                        </w:pPr>
                        <w:r>
                          <w:rPr>
                            <w:color w:val="000000"/>
                            <w:szCs w:val="24"/>
                            <w:lang w:eastAsia="lt-LT"/>
                          </w:rPr>
                          <w:t>134</w:t>
                        </w:r>
                      </w:p>
                    </w:tc>
                    <w:tc>
                      <w:tcPr>
                        <w:tcW w:w="1894" w:type="dxa"/>
                        <w:shd w:val="clear" w:color="auto" w:fill="auto"/>
                        <w:vAlign w:val="center"/>
                      </w:tcPr>
                      <w:p w14:paraId="1454CDC8" w14:textId="2842A0B4">
                        <w:pPr>
                          <w:jc w:val="right"/>
                          <w:rPr>
                            <w:color w:val="000000"/>
                            <w:szCs w:val="24"/>
                            <w:lang w:eastAsia="lt-LT"/>
                          </w:rPr>
                        </w:pPr>
                        <w:r>
                          <w:rPr>
                            <w:color w:val="000000"/>
                            <w:szCs w:val="24"/>
                            <w:lang w:eastAsia="lt-LT"/>
                          </w:rPr>
                          <w:t>208</w:t>
                        </w:r>
                      </w:p>
                    </w:tc>
                  </w:tr>
                </w:tbl>
                <w:p w14:paraId="347B8F9D" w14:textId="77777777">
                  <w:pPr>
                    <w:tabs>
                      <w:tab w:val="left" w:pos="598"/>
                    </w:tabs>
                    <w:ind w:firstLine="567"/>
                    <w:jc w:val="both"/>
                    <w:rPr>
                      <w:iCs/>
                      <w:color w:val="000000"/>
                      <w:szCs w:val="24"/>
                    </w:rPr>
                  </w:pPr>
                </w:p>
                <w:p w14:paraId="65E15E1E" w14:textId="35D2618A">
                  <w:pPr>
                    <w:tabs>
                      <w:tab w:val="left" w:pos="598"/>
                    </w:tabs>
                    <w:ind w:firstLine="567"/>
                    <w:jc w:val="both"/>
                    <w:rPr>
                      <w:iCs/>
                      <w:color w:val="000000"/>
                      <w:szCs w:val="24"/>
                    </w:rPr>
                  </w:pPr>
                  <w:r>
                    <w:rPr>
                      <w:iCs/>
                      <w:color w:val="000000"/>
                      <w:szCs w:val="24"/>
                    </w:rPr>
                    <w:t>Be vidinių veiksnių, tikslinės grupės dydį lemia ir išoriniai veiksniai – geopolitinė situacija bei pabėgėlių atvykimas į Lietuvą ir Marijampolės regioną, kas ateityje gali lemti tikslinės grupės padidėjimą (remiantis švietimo būklės apžvalgos „Lietuva. Švietimas šalyje ir regionuose. 2022 įtraukusis ugdymas“ duomenimis, Marijampolės regione 2022-06-01 ugdymo įstaigose buvo registruota 335 Ukrainos karo pabėgėliai iki 18 metų amžiaus, iš kurių 75 ugdomi pagal ikimokyklinio ir priešmokyklinio ugdymo programas, 260 – pagal bendrojo ugdymo programas).</w:t>
                  </w:r>
                </w:p>
                <w:p w14:paraId="11E48D6D" w14:textId="77777777">
                  <w:pPr>
                    <w:tabs>
                      <w:tab w:val="left" w:pos="598"/>
                    </w:tabs>
                    <w:ind w:firstLine="567"/>
                    <w:jc w:val="both"/>
                    <w:rPr>
                      <w:iCs/>
                      <w:color w:val="000000"/>
                      <w:szCs w:val="24"/>
                    </w:rPr>
                  </w:pPr>
                  <w:r>
                    <w:rPr>
                      <w:b/>
                      <w:bCs/>
                      <w:iCs/>
                      <w:color w:val="000000"/>
                      <w:szCs w:val="24"/>
                    </w:rPr>
                    <w:t xml:space="preserve">Siekiamas pokytis. </w:t>
                  </w:r>
                  <w:r>
                    <w:rPr>
                      <w:iCs/>
                      <w:color w:val="000000"/>
                      <w:szCs w:val="24"/>
                    </w:rPr>
                    <w:t xml:space="preserve">Kaip rodo aukščiau pateikti šaltiniai, padidinus švietimo paslaugų prieinamumą ir kokybę (didinant įtrauktį ir dalyvavimą ikimokykliniame ugdyme, neformaliajame švietime, sudarant sąlygas dalyvauti visos dienos mokyklos veiklose bei užtikrinant patekimą į patalpas pažeidžiamoms visuomenės grupėms), sudaromos prielaidos akademinių pasiekimų gerėjimui, socialinės atskirties mažėjimui. </w:t>
                  </w:r>
                </w:p>
                <w:p w14:paraId="081250FD" w14:textId="77777777">
                  <w:pPr>
                    <w:ind w:firstLine="567"/>
                    <w:jc w:val="both"/>
                    <w:rPr>
                      <w:color w:val="000000"/>
                      <w:szCs w:val="24"/>
                    </w:rPr>
                  </w:pPr>
                  <w:r>
                    <w:rPr>
                      <w:color w:val="000000"/>
                      <w:szCs w:val="24"/>
                    </w:rPr>
                    <w:t>Tai pagrindžia Lietuvos Respublikos teritorijos bendrojo plano</w:t>
                  </w:r>
                  <w:r>
                    <w:rPr>
                      <w:rFonts w:eastAsia="Calibri"/>
                      <w:color w:val="000000"/>
                      <w:szCs w:val="24"/>
                      <w:vertAlign w:val="superscript"/>
                    </w:rPr>
                    <w:footnoteReference w:id="14"/>
                  </w:r>
                  <w:r>
                    <w:rPr>
                      <w:color w:val="000000"/>
                      <w:szCs w:val="24"/>
                    </w:rPr>
                    <w:t xml:space="preserve"> nuostatos, kad pačios būtiniausios ir dažnai naudojamos viešosios paslaugos turi būti teikiamos visų lygmenų urbanistiniuose centruose</w:t>
                  </w:r>
                  <w:r>
                    <w:rPr>
                      <w:rFonts w:eastAsia="Calibri"/>
                      <w:color w:val="000000"/>
                      <w:szCs w:val="24"/>
                      <w:vertAlign w:val="superscript"/>
                    </w:rPr>
                    <w:footnoteReference w:id="15"/>
                  </w:r>
                  <w:r>
                    <w:rPr>
                      <w:color w:val="000000"/>
                      <w:szCs w:val="24"/>
                    </w:rPr>
                    <w:t>.</w:t>
                  </w:r>
                </w:p>
                <w:p w14:paraId="41B9AAD7" w14:textId="77777777">
                  <w:pPr>
                    <w:tabs>
                      <w:tab w:val="left" w:pos="598"/>
                    </w:tabs>
                    <w:ind w:firstLine="567"/>
                    <w:jc w:val="both"/>
                    <w:rPr>
                      <w:iCs/>
                      <w:color w:val="000000"/>
                      <w:szCs w:val="24"/>
                    </w:rPr>
                  </w:pPr>
                  <w:r>
                    <w:rPr>
                      <w:iCs/>
                      <w:color w:val="000000"/>
                      <w:szCs w:val="24"/>
                    </w:rPr>
                    <w:t xml:space="preserve">Nešalinant problemos priežasties – nepakankamos teikiamų švietimo paslaugų kokybės ir prieinamumo, socialiniai ir ekonominiai skirtumai šalies ir regiono viduje didėtų, regiono patrauklumas mažėtų, o tai ateityje keltų dar didesnių problemų dėl viešųjų paslaugų užtikrinimo. </w:t>
                  </w:r>
                </w:p>
                <w:p w14:paraId="0ADBC50A" w14:textId="77777777">
                  <w:pPr>
                    <w:tabs>
                      <w:tab w:val="left" w:pos="598"/>
                    </w:tabs>
                    <w:ind w:firstLine="567"/>
                    <w:jc w:val="both"/>
                    <w:rPr>
                      <w:iCs/>
                      <w:color w:val="000000"/>
                      <w:szCs w:val="24"/>
                    </w:rPr>
                  </w:pPr>
                  <w:r>
                    <w:rPr>
                      <w:iCs/>
                      <w:color w:val="000000"/>
                      <w:szCs w:val="24"/>
                    </w:rPr>
                    <w:t>Įgyvendinant šią pažangos priemonę Marijampolės regione siekiama:</w:t>
                  </w:r>
                </w:p>
                <w:sdt>
                  <w:sdtPr>
                    <w:alias w:val="a pp."/>
                    <w:tag w:val="part_373efbbff8ce40fdbd295da9d62793dd"/>
                    <w:lock w:val="sdtLocked"/>
                    <w:richText/>
                  </w:sdtPr>
                  <w:sdtContent>
                    <w:p w14:paraId="2C22B653" w14:textId="4BE8248D">
                      <w:pPr>
                        <w:tabs>
                          <w:tab w:val="left" w:pos="598"/>
                        </w:tabs>
                        <w:ind w:left="927" w:hanging="360"/>
                        <w:jc w:val="both"/>
                        <w:rPr>
                          <w:iCs/>
                          <w:color w:val="000000"/>
                          <w:szCs w:val="24"/>
                        </w:rPr>
                      </w:pPr>
                      <w:sdt>
                        <w:sdtPr>
                          <w:alias w:val="Numeris"/>
                          <w:tag w:val="nr_373efbbff8ce40fdbd295da9d62793dd"/>
                          <w:lock w:val="sdtLocked"/>
                          <w:richText/>
                        </w:sdtPr>
                        <w:sdtContent>
                          <w:r>
                            <w:rPr>
                              <w:iCs/>
                              <w:color w:val="000000"/>
                              <w:szCs w:val="24"/>
                            </w:rPr>
                            <w:t>a</w:t>
                          </w:r>
                        </w:sdtContent>
                      </w:sdt>
                      <w:r>
                        <w:rPr>
                          <w:iCs/>
                          <w:color w:val="000000"/>
                          <w:szCs w:val="24"/>
                        </w:rPr>
                        <w:t>)</w:t>
                        <w:tab/>
                        <w:t>padidinti ikimokyklinio ugdymo prieinamumą bei užtikrinti kokybiško visuotinio ikimokyklinio ugdymo paslaugų teikimą Marijampolės regiono gyventojams sukuriant naujas ikimokyklinio ugdymo vietas;</w:t>
                      </w:r>
                    </w:p>
                  </w:sdtContent>
                </w:sdt>
                <w:sdt>
                  <w:sdtPr>
                    <w:alias w:val="b pp."/>
                    <w:tag w:val="part_c9f6ae6237a54d579a7f950b6d6d4a5f"/>
                    <w:lock w:val="sdtLocked"/>
                    <w:richText/>
                  </w:sdtPr>
                  <w:sdtContent>
                    <w:p w14:paraId="4AB94FA4" w14:textId="4D7E832F">
                      <w:pPr>
                        <w:tabs>
                          <w:tab w:val="left" w:pos="598"/>
                        </w:tabs>
                        <w:ind w:left="927" w:hanging="360"/>
                        <w:jc w:val="both"/>
                        <w:rPr>
                          <w:iCs/>
                          <w:color w:val="000000"/>
                          <w:szCs w:val="24"/>
                        </w:rPr>
                      </w:pPr>
                      <w:sdt>
                        <w:sdtPr>
                          <w:alias w:val="Numeris"/>
                          <w:tag w:val="nr_c9f6ae6237a54d579a7f950b6d6d4a5f"/>
                          <w:lock w:val="sdtLocked"/>
                          <w:richText/>
                        </w:sdtPr>
                        <w:sdtContent>
                          <w:r>
                            <w:rPr>
                              <w:iCs/>
                              <w:color w:val="000000"/>
                              <w:szCs w:val="24"/>
                            </w:rPr>
                            <w:t>b</w:t>
                          </w:r>
                        </w:sdtContent>
                      </w:sdt>
                      <w:r>
                        <w:rPr>
                          <w:iCs/>
                          <w:color w:val="000000"/>
                          <w:szCs w:val="24"/>
                        </w:rPr>
                        <w:t>)</w:t>
                        <w:tab/>
                        <w:t>šalinant infrastruktūros trūkumus (fizines kliūtis) patekimui į ugdymo įstaigų teritoriją ir patalpas taip sudaryti sąlygas neįgaliesiems dalyvauti švietime;</w:t>
                      </w:r>
                    </w:p>
                  </w:sdtContent>
                </w:sdt>
                <w:sdt>
                  <w:sdtPr>
                    <w:alias w:val="c pp."/>
                    <w:tag w:val="part_1efb1f3c21144234a3ed19e9e3aef677"/>
                    <w:lock w:val="sdtLocked"/>
                    <w:richText/>
                  </w:sdtPr>
                  <w:sdtContent>
                    <w:p w14:paraId="423116FA" w14:textId="05C7B0C0">
                      <w:pPr>
                        <w:tabs>
                          <w:tab w:val="left" w:pos="598"/>
                        </w:tabs>
                        <w:ind w:left="927" w:hanging="360"/>
                        <w:jc w:val="both"/>
                        <w:rPr>
                          <w:iCs/>
                          <w:color w:val="000000"/>
                          <w:szCs w:val="24"/>
                        </w:rPr>
                      </w:pPr>
                      <w:sdt>
                        <w:sdtPr>
                          <w:alias w:val="Numeris"/>
                          <w:tag w:val="nr_1efb1f3c21144234a3ed19e9e3aef677"/>
                          <w:lock w:val="sdtLocked"/>
                          <w:richText/>
                        </w:sdtPr>
                        <w:sdtContent>
                          <w:r>
                            <w:rPr>
                              <w:iCs/>
                              <w:color w:val="000000"/>
                              <w:szCs w:val="24"/>
                            </w:rPr>
                            <w:t>c</w:t>
                          </w:r>
                        </w:sdtContent>
                      </w:sdt>
                      <w:r>
                        <w:rPr>
                          <w:iCs/>
                          <w:color w:val="000000"/>
                          <w:szCs w:val="24"/>
                        </w:rPr>
                        <w:t>)</w:t>
                        <w:tab/>
                        <w:t>sudaryti sąlygas realizuoti visos dienos mokyklos modelį pritaikant mokyklų lauko ir vidaus erdves visos dienos mokyklos veikloms.</w:t>
                      </w:r>
                    </w:p>
                    <w:p w14:paraId="1382E1AA" w14:textId="12C0FB74">
                      <w:pPr>
                        <w:ind w:firstLine="567"/>
                        <w:jc w:val="both"/>
                        <w:rPr>
                          <w:iCs/>
                          <w:color w:val="000000"/>
                          <w:szCs w:val="24"/>
                        </w:rPr>
                      </w:pPr>
                      <w:r>
                        <w:rPr>
                          <w:iCs/>
                          <w:color w:val="000000"/>
                          <w:szCs w:val="24"/>
                        </w:rPr>
                        <w:t>Sprendžiant aukščiau įvardintas skurdo ir socialinės atskirties problemos priežastis, susijusias su švietimo kokybe ir prieinamumu, numatomos investicijos, kuriomis bus prisidedama prie Regionų plėtros programoje (toliau – RPP)</w:t>
                      </w:r>
                      <w:r>
                        <w:rPr>
                          <w:iCs/>
                          <w:color w:val="000000"/>
                          <w:szCs w:val="24"/>
                          <w:vertAlign w:val="superscript"/>
                        </w:rPr>
                        <w:footnoteReference w:id="16"/>
                      </w:r>
                      <w:r>
                        <w:rPr>
                          <w:iCs/>
                          <w:color w:val="000000"/>
                          <w:szCs w:val="24"/>
                        </w:rPr>
                        <w:t xml:space="preserve"> numatytų poveikio rodiklių pasiekimo.</w:t>
                      </w:r>
                    </w:p>
                    <w:p w14:paraId="1F17FC38" w14:textId="77777777">
                      <w:pPr>
                        <w:ind w:firstLine="567"/>
                        <w:jc w:val="both"/>
                        <w:rPr>
                          <w:iCs/>
                          <w:color w:val="000000"/>
                          <w:sz w:val="12"/>
                          <w:szCs w:val="12"/>
                        </w:rPr>
                      </w:pPr>
                    </w:p>
                  </w:sdtContent>
                </w:sdt>
              </w:sdtContent>
            </w:sdt>
            <w:sdt>
              <w:sdtPr>
                <w:alias w:val="poskyris"/>
                <w:tag w:val="part_468d899860b24749bb270fce25c3bd5c"/>
                <w:lock w:val="sdtLocked"/>
                <w:richText/>
              </w:sdtPr>
              <w:sdtContent>
                <w:p w14:paraId="65ECE896" w14:textId="7C900CBA">
                  <w:pPr>
                    <w:jc w:val="both"/>
                    <w:rPr>
                      <w:b/>
                      <w:bCs/>
                      <w:iCs/>
                      <w:color w:val="000000"/>
                      <w:szCs w:val="24"/>
                    </w:rPr>
                  </w:pPr>
                  <w:sdt>
                    <w:sdtPr>
                      <w:alias w:val="Pavadinimas"/>
                      <w:tag w:val="title_468d899860b24749bb270fce25c3bd5c"/>
                      <w:lock w:val="sdtLocked"/>
                      <w:richText/>
                    </w:sdtPr>
                    <w:sdtContent>
                      <w:r>
                        <w:rPr>
                          <w:b/>
                          <w:bCs/>
                          <w:iCs/>
                          <w:color w:val="000000"/>
                          <w:szCs w:val="24"/>
                        </w:rPr>
                        <w:t>Pažangos priemonėje numatomų investicijų prisidėjimas prie RPP poveikio rodiklių siekimo</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6352"/>
                  </w:tblGrid>
                  <w:tr w14:paraId="17A2DF83" w14:textId="77777777">
                    <w:tc>
                      <w:tcPr>
                        <w:tcW w:w="3397" w:type="dxa"/>
                        <w:shd w:val="clear" w:color="auto" w:fill="D9D9D9" w:themeFill="background1" w:themeFillShade="D9"/>
                        <w:vAlign w:val="center"/>
                      </w:tcPr>
                      <w:p w14:paraId="7633B26D" w14:textId="77777777">
                        <w:pPr>
                          <w:jc w:val="center"/>
                          <w:rPr>
                            <w:b/>
                            <w:bCs/>
                            <w:iCs/>
                            <w:color w:val="000000"/>
                            <w:szCs w:val="24"/>
                          </w:rPr>
                        </w:pPr>
                        <w:r>
                          <w:rPr>
                            <w:b/>
                            <w:bCs/>
                            <w:iCs/>
                            <w:color w:val="000000"/>
                            <w:szCs w:val="24"/>
                          </w:rPr>
                          <w:t>Poveikio rodiklis</w:t>
                        </w:r>
                      </w:p>
                    </w:tc>
                    <w:tc>
                      <w:tcPr>
                        <w:tcW w:w="6352" w:type="dxa"/>
                        <w:shd w:val="clear" w:color="auto" w:fill="D9D9D9" w:themeFill="background1" w:themeFillShade="D9"/>
                        <w:vAlign w:val="center"/>
                      </w:tcPr>
                      <w:p w14:paraId="385107BE" w14:textId="23D9D998">
                        <w:pPr>
                          <w:jc w:val="center"/>
                          <w:rPr>
                            <w:b/>
                            <w:bCs/>
                            <w:iCs/>
                            <w:color w:val="000000"/>
                            <w:szCs w:val="24"/>
                          </w:rPr>
                        </w:pPr>
                        <w:r>
                          <w:rPr>
                            <w:b/>
                            <w:bCs/>
                            <w:iCs/>
                            <w:color w:val="000000"/>
                            <w:szCs w:val="24"/>
                          </w:rPr>
                          <w:t>Numatytos investicijos, kuriomis bus prisidedama prie RPP poveikio rodiklių pasiekimo</w:t>
                        </w:r>
                      </w:p>
                    </w:tc>
                  </w:tr>
                  <w:tr w14:paraId="0B661D62" w14:textId="77777777">
                    <w:tc>
                      <w:tcPr>
                        <w:tcW w:w="3397" w:type="dxa"/>
                        <w:tcBorders>
                          <w:bottom w:val="single" w:sz="4" w:space="0" w:color="auto"/>
                        </w:tcBorders>
                      </w:tcPr>
                      <w:p w14:paraId="5E65761C" w14:textId="77777777">
                        <w:pPr>
                          <w:jc w:val="both"/>
                          <w:rPr>
                            <w:i/>
                            <w:color w:val="000000"/>
                            <w:szCs w:val="24"/>
                          </w:rPr>
                        </w:pPr>
                        <w:r>
                          <w:rPr>
                            <w:iCs/>
                            <w:color w:val="000000"/>
                            <w:szCs w:val="24"/>
                          </w:rPr>
                          <w:t>3–5 metų vaikų, ugdomų švietimo įstaigose, dalis, procentai</w:t>
                        </w:r>
                      </w:p>
                    </w:tc>
                    <w:tc>
                      <w:tcPr>
                        <w:tcW w:w="6352" w:type="dxa"/>
                        <w:tcBorders>
                          <w:bottom w:val="single" w:sz="4" w:space="0" w:color="auto"/>
                        </w:tcBorders>
                      </w:tcPr>
                      <w:p w14:paraId="757101FC" w14:textId="312F24F7">
                        <w:pPr>
                          <w:jc w:val="both"/>
                          <w:rPr>
                            <w:iCs/>
                            <w:color w:val="000000"/>
                            <w:szCs w:val="24"/>
                          </w:rPr>
                        </w:pPr>
                        <w:r>
                          <w:rPr>
                            <w:iCs/>
                            <w:color w:val="000000"/>
                            <w:szCs w:val="24"/>
                          </w:rPr>
                          <w:t>Numatoma įgyvendinti projektus didinant ikimokyklinio ugdymo prieinamumą ir trijose regiono savivaldybėse kurti naujas ikimokyklinio ugdymo vietas (80 naujų vietų) bei įsigyti transporto priemonę pavėžėjimui, taip sudarant sąlygas 3–5 metų vaikų, ugdomų švietimo įstaigose, dalies padidėjimui.</w:t>
                        </w:r>
                      </w:p>
                    </w:tc>
                  </w:tr>
                  <w:tr w14:paraId="1F249A02" w14:textId="77777777">
                    <w:tc>
                      <w:tcPr>
                        <w:tcW w:w="3397" w:type="dxa"/>
                        <w:tcBorders>
                          <w:top w:val="single" w:sz="4" w:space="0" w:color="auto"/>
                          <w:left w:val="single" w:sz="4" w:space="0" w:color="auto"/>
                          <w:bottom w:val="single" w:sz="4" w:space="0" w:color="auto"/>
                          <w:right w:val="single" w:sz="4" w:space="0" w:color="auto"/>
                        </w:tcBorders>
                      </w:tcPr>
                      <w:p w14:paraId="6781DD64" w14:textId="77777777">
                        <w:pPr>
                          <w:jc w:val="both"/>
                          <w:rPr>
                            <w:i/>
                            <w:color w:val="000000"/>
                            <w:szCs w:val="24"/>
                          </w:rPr>
                        </w:pPr>
                        <w:r>
                          <w:rPr>
                            <w:iCs/>
                            <w:color w:val="000000"/>
                            <w:szCs w:val="24"/>
                          </w:rPr>
                          <w:t>Negalią turinčių mokinių, ugdomų įtraukiuoju būdu bendros paskirties švietimo įstaigose (bendrosiose klasėse), dalis, procentai</w:t>
                        </w:r>
                      </w:p>
                    </w:tc>
                    <w:tc>
                      <w:tcPr>
                        <w:tcW w:w="6352" w:type="dxa"/>
                        <w:tcBorders>
                          <w:top w:val="single" w:sz="4" w:space="0" w:color="auto"/>
                          <w:left w:val="single" w:sz="4" w:space="0" w:color="auto"/>
                          <w:bottom w:val="single" w:sz="4" w:space="0" w:color="auto"/>
                          <w:right w:val="single" w:sz="4" w:space="0" w:color="auto"/>
                        </w:tcBorders>
                      </w:tcPr>
                      <w:p w14:paraId="7C172648" w14:textId="10769CEA">
                        <w:pPr>
                          <w:jc w:val="both"/>
                          <w:rPr>
                            <w:iCs/>
                            <w:color w:val="000000"/>
                            <w:szCs w:val="24"/>
                          </w:rPr>
                        </w:pPr>
                        <w:r>
                          <w:rPr>
                            <w:iCs/>
                            <w:color w:val="000000"/>
                            <w:szCs w:val="24"/>
                          </w:rPr>
                          <w:t xml:space="preserve">Numatoma įgyvendinti projektus ugdymo įtraukties didinimui </w:t>
                        </w:r>
                        <w:r>
                          <w:rPr>
                            <w:color w:val="000000"/>
                            <w:szCs w:val="24"/>
                          </w:rPr>
                          <w:t xml:space="preserve">keturiose </w:t>
                        </w:r>
                        <w:r>
                          <w:rPr>
                            <w:iCs/>
                            <w:color w:val="000000"/>
                            <w:szCs w:val="24"/>
                          </w:rPr>
                          <w:t>regiono savivaldybėse, planuojama mokyklų infrastruktūrą pritaikyti žmonių su negalia poreikiams įrengiant universalaus dizaino elementus bei užtikrinti jų pavėžėjimą, taip sudarant sąlygas negalią turinčių mokinių, ugdomų įtraukiuoju būdu bendros paskirties švietimo įstaigose, dalies didėjimui.</w:t>
                        </w:r>
                      </w:p>
                    </w:tc>
                  </w:tr>
                  <w:tr w14:paraId="239563C0" w14:textId="77777777">
                    <w:tc>
                      <w:tcPr>
                        <w:tcW w:w="3397" w:type="dxa"/>
                        <w:tcBorders>
                          <w:top w:val="single" w:sz="4" w:space="0" w:color="auto"/>
                          <w:left w:val="single" w:sz="4" w:space="0" w:color="auto"/>
                          <w:bottom w:val="single" w:sz="4" w:space="0" w:color="auto"/>
                          <w:right w:val="single" w:sz="4" w:space="0" w:color="auto"/>
                        </w:tcBorders>
                      </w:tcPr>
                      <w:p w14:paraId="5A351052" w14:textId="77777777">
                        <w:pPr>
                          <w:jc w:val="both"/>
                          <w:rPr>
                            <w:i/>
                            <w:color w:val="000000"/>
                            <w:szCs w:val="24"/>
                          </w:rPr>
                        </w:pPr>
                        <w:r>
                          <w:rPr>
                            <w:iCs/>
                            <w:color w:val="000000"/>
                            <w:szCs w:val="24"/>
                          </w:rPr>
                          <w:t>Neformaliojo vaikų švietimo galimybėmis pasinaudojusių mokinių dalis (išskyrus ikimokykliniame ir priešmokykliniame ugdyme dalyvaujančius vaikus), procentai</w:t>
                        </w:r>
                      </w:p>
                    </w:tc>
                    <w:tc>
                      <w:tcPr>
                        <w:tcW w:w="6352" w:type="dxa"/>
                        <w:tcBorders>
                          <w:top w:val="single" w:sz="4" w:space="0" w:color="auto"/>
                          <w:left w:val="single" w:sz="4" w:space="0" w:color="auto"/>
                          <w:bottom w:val="single" w:sz="4" w:space="0" w:color="auto"/>
                          <w:right w:val="single" w:sz="4" w:space="0" w:color="auto"/>
                        </w:tcBorders>
                      </w:tcPr>
                      <w:p w14:paraId="40C01293" w14:textId="407A20BD">
                        <w:pPr>
                          <w:jc w:val="both"/>
                          <w:rPr>
                            <w:iCs/>
                            <w:color w:val="000000"/>
                            <w:szCs w:val="24"/>
                          </w:rPr>
                        </w:pPr>
                        <w:r>
                          <w:rPr>
                            <w:iCs/>
                            <w:color w:val="000000"/>
                            <w:szCs w:val="24"/>
                          </w:rPr>
                          <w:t>Numatoma įgyvendinti projektus kuriais visose regiono savivaldybėse planuojama švietimo įstaigų erdves pritaikyti visos dienos mokyklos veikloms, kas sudarytų sąlygas užtikrinti formaliojo ir neformaliojo švietimo dermę ir taip prisidėtų prie neformaliojo vaikų švietimo galimybėmis pasinaudojusių mokinių dalies didėjimo regione.</w:t>
                        </w:r>
                      </w:p>
                    </w:tc>
                  </w:tr>
                </w:tbl>
                <w:p w14:paraId="35208821" w14:textId="77777777">
                  <w:pPr>
                    <w:ind w:firstLine="567"/>
                    <w:jc w:val="both"/>
                    <w:rPr>
                      <w:iCs/>
                      <w:color w:val="000000"/>
                      <w:szCs w:val="24"/>
                    </w:rPr>
                  </w:pPr>
                </w:p>
                <w:p w14:paraId="3C13297D" w14:textId="3C15900C">
                  <w:pPr>
                    <w:ind w:firstLine="567"/>
                    <w:jc w:val="both"/>
                    <w:rPr>
                      <w:iCs/>
                      <w:color w:val="000000"/>
                      <w:szCs w:val="24"/>
                    </w:rPr>
                  </w:pPr>
                  <w:r>
                    <w:rPr>
                      <w:iCs/>
                      <w:color w:val="000000"/>
                      <w:szCs w:val="24"/>
                    </w:rPr>
                    <w:t xml:space="preserve">Siekiant didinti švietimo paslaugų prieinamumą ir kokybę bei mokinių įtrauktį Marijampolės regiono savivaldybių ugdymo įstaigose buvo vykdytos pavienės investicijos, kuriomis nebuvo išspręstos iškeltos problemos. </w:t>
                  </w:r>
                </w:p>
                <w:p w14:paraId="022D054B" w14:textId="77777777">
                  <w:pPr>
                    <w:jc w:val="both"/>
                    <w:rPr>
                      <w:iCs/>
                      <w:color w:val="000000"/>
                      <w:sz w:val="12"/>
                      <w:szCs w:val="12"/>
                    </w:rPr>
                  </w:pPr>
                </w:p>
              </w:sdtContent>
            </w:sdt>
            <w:sdt>
              <w:sdtPr>
                <w:alias w:val="poskyris"/>
                <w:tag w:val="part_7ae68609d3074fecb73d71b4052d51a0"/>
                <w:lock w:val="sdtLocked"/>
                <w:richText/>
              </w:sdtPr>
              <w:sdtContent>
                <w:p w14:paraId="52FE577F" w14:textId="22B79640">
                  <w:pPr>
                    <w:jc w:val="both"/>
                    <w:rPr>
                      <w:b/>
                      <w:bCs/>
                      <w:iCs/>
                      <w:color w:val="000000"/>
                      <w:szCs w:val="24"/>
                    </w:rPr>
                  </w:pPr>
                  <w:sdt>
                    <w:sdtPr>
                      <w:alias w:val="Pavadinimas"/>
                      <w:tag w:val="title_7ae68609d3074fecb73d71b4052d51a0"/>
                      <w:lock w:val="sdtLocked"/>
                      <w:richText/>
                    </w:sdtPr>
                    <w:sdtContent>
                      <w:r>
                        <w:rPr>
                          <w:b/>
                          <w:bCs/>
                          <w:iCs/>
                          <w:color w:val="000000"/>
                          <w:szCs w:val="24"/>
                        </w:rPr>
                        <w:t>Atliktos investicijos ir tolesnis poreikis investuoti</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7769"/>
                  </w:tblGrid>
                  <w:tr w14:paraId="17A7D1DB" w14:textId="77777777">
                    <w:tc>
                      <w:tcPr>
                        <w:tcW w:w="1980" w:type="dxa"/>
                        <w:shd w:val="clear" w:color="auto" w:fill="D9D9D9" w:themeFill="background1" w:themeFillShade="D9"/>
                        <w:vAlign w:val="center"/>
                      </w:tcPr>
                      <w:p w14:paraId="0B62AD6B" w14:textId="1372E919">
                        <w:pPr>
                          <w:jc w:val="center"/>
                          <w:rPr>
                            <w:b/>
                            <w:bCs/>
                            <w:iCs/>
                            <w:color w:val="000000"/>
                            <w:szCs w:val="24"/>
                          </w:rPr>
                        </w:pPr>
                        <w:r>
                          <w:rPr>
                            <w:b/>
                            <w:bCs/>
                            <w:iCs/>
                            <w:color w:val="000000"/>
                            <w:szCs w:val="24"/>
                          </w:rPr>
                          <w:t xml:space="preserve">Sritis </w:t>
                        </w:r>
                      </w:p>
                    </w:tc>
                    <w:tc>
                      <w:tcPr>
                        <w:tcW w:w="7769" w:type="dxa"/>
                        <w:shd w:val="clear" w:color="auto" w:fill="D9D9D9" w:themeFill="background1" w:themeFillShade="D9"/>
                        <w:vAlign w:val="center"/>
                      </w:tcPr>
                      <w:p w14:paraId="63A3A2C2" w14:textId="77777777">
                        <w:pPr>
                          <w:jc w:val="center"/>
                          <w:rPr>
                            <w:b/>
                            <w:bCs/>
                            <w:iCs/>
                            <w:color w:val="000000"/>
                            <w:szCs w:val="24"/>
                          </w:rPr>
                        </w:pPr>
                        <w:r>
                          <w:rPr>
                            <w:b/>
                            <w:bCs/>
                            <w:iCs/>
                            <w:color w:val="000000"/>
                            <w:szCs w:val="24"/>
                          </w:rPr>
                          <w:t>Tolesnis poreikis spręsti problemą</w:t>
                        </w:r>
                      </w:p>
                    </w:tc>
                  </w:tr>
                  <w:tr w14:paraId="1C0EA269" w14:textId="77777777">
                    <w:tc>
                      <w:tcPr>
                        <w:tcW w:w="1980" w:type="dxa"/>
                      </w:tcPr>
                      <w:p w14:paraId="1C2A8F2F" w14:textId="7820A753">
                        <w:pPr>
                          <w:rPr>
                            <w:i/>
                            <w:color w:val="000000"/>
                            <w:szCs w:val="24"/>
                          </w:rPr>
                        </w:pPr>
                        <w:r>
                          <w:rPr>
                            <w:iCs/>
                            <w:color w:val="000000"/>
                            <w:szCs w:val="24"/>
                          </w:rPr>
                          <w:t>Ikimokyklinio ugdymo prieinamumas</w:t>
                        </w:r>
                      </w:p>
                    </w:tc>
                    <w:tc>
                      <w:tcPr>
                        <w:tcW w:w="7769" w:type="dxa"/>
                      </w:tcPr>
                      <w:p w14:paraId="27C3C2A3" w14:textId="3535CA16">
                        <w:pPr>
                          <w:jc w:val="both"/>
                          <w:rPr>
                            <w:iCs/>
                            <w:color w:val="000000"/>
                            <w:szCs w:val="24"/>
                          </w:rPr>
                        </w:pPr>
                        <w:r>
                          <w:rPr>
                            <w:iCs/>
                            <w:color w:val="000000"/>
                            <w:szCs w:val="24"/>
                          </w:rPr>
                          <w:t>Regiono savivaldybėse buvo sprendžiama ikimokyklinio ugdymo pereinamumo problematika – Kazlų Rūdos, Vilkaviškio rajono bei Šakių rajono savivaldybėse įsteigtos naujos ikimokyklinio ugdymo grupės. Naujos vietos per pastaruosius penketą metų buvo kuriamos visose šiose savivaldybėse, tačiau investicijos šiose savivaldybėse nėra pakankamos, nes nėra pilnai tenkinamas ankstyvojo ugdymo poreikis (Kazlų Rūdos ir Šakių rajono savivaldybė), vietų trūksta miesto ikimokyklinio ugdymo įstaigose (Kazlų Rūdos savivaldybė), o įvedus visuotinį privalomą ikimokyklinį ugdymą planuojama, kad ikimokyklinio amžiaus vaikų lankančių ikimokyklinio ugdymo įstaigas padidės, kas sąlygos tinkamos infrastruktūros, pritaikytos vaikų ugdymui, trūkumą ikimokyklinio ugdymo įstaigose (Vilkaviškio rajono savivaldybė).</w:t>
                        </w:r>
                      </w:p>
                    </w:tc>
                  </w:tr>
                  <w:tr w14:paraId="6AE7CDF1" w14:textId="77777777">
                    <w:tc>
                      <w:tcPr>
                        <w:tcW w:w="1980" w:type="dxa"/>
                      </w:tcPr>
                      <w:p w14:paraId="78795CA6" w14:textId="5FF3B034">
                        <w:pPr>
                          <w:rPr>
                            <w:i/>
                            <w:color w:val="000000"/>
                            <w:szCs w:val="24"/>
                          </w:rPr>
                        </w:pPr>
                        <w:r>
                          <w:rPr>
                            <w:iCs/>
                            <w:color w:val="000000"/>
                            <w:szCs w:val="24"/>
                          </w:rPr>
                          <w:t>Universalus dizainas ir neįgaliųjų įtrauktis</w:t>
                        </w:r>
                      </w:p>
                    </w:tc>
                    <w:tc>
                      <w:tcPr>
                        <w:tcW w:w="7769" w:type="dxa"/>
                      </w:tcPr>
                      <w:p w14:paraId="62E44995" w14:textId="77777777">
                        <w:pPr>
                          <w:jc w:val="both"/>
                          <w:rPr>
                            <w:iCs/>
                            <w:color w:val="000000"/>
                            <w:szCs w:val="24"/>
                          </w:rPr>
                        </w:pPr>
                        <w:r>
                          <w:rPr>
                            <w:color w:val="000000"/>
                            <w:szCs w:val="24"/>
                          </w:rPr>
                          <w:t>Sprendžiant įtraukties didinimo problemas, per pastaruosius 5 metus kai kuriose bendrojo ugdymo įstaigose buvo įrengti liftai, keltuvai, pandusai judėjimo negalią turintiems mokiniams. Skirtos investicijos nėra pakankamos, kadangi nėra užtikrintas bendrųjų ugdymo įstaigų pritaikymas neįgaliųjų laisvam judėjimui vidaus patalpose bei patekimui į lauko erdves, tik dalis mokyklų yra pilnai pritaikytos, t. y. asmuo su negalia gali laisvai judėti mokyklos teritorijoje ir patalpų viduje. Trūksta transporto priemonių, pritaikytų neįgaliųjų pavėžėjimui.</w:t>
                        </w:r>
                      </w:p>
                    </w:tc>
                  </w:tr>
                  <w:tr w14:paraId="3644032F" w14:textId="77777777">
                    <w:tc>
                      <w:tcPr>
                        <w:tcW w:w="1980" w:type="dxa"/>
                      </w:tcPr>
                      <w:p w14:paraId="59D47735" w14:textId="40A95C9B">
                        <w:pPr>
                          <w:rPr>
                            <w:i/>
                            <w:color w:val="000000"/>
                            <w:szCs w:val="24"/>
                          </w:rPr>
                        </w:pPr>
                        <w:r>
                          <w:rPr>
                            <w:iCs/>
                            <w:color w:val="000000"/>
                            <w:szCs w:val="24"/>
                          </w:rPr>
                          <w:t>Visos dienos mokykla</w:t>
                        </w:r>
                      </w:p>
                    </w:tc>
                    <w:tc>
                      <w:tcPr>
                        <w:tcW w:w="7769" w:type="dxa"/>
                      </w:tcPr>
                      <w:p w14:paraId="46EE1262" w14:textId="77777777">
                        <w:pPr>
                          <w:jc w:val="both"/>
                          <w:rPr>
                            <w:iCs/>
                            <w:color w:val="000000"/>
                            <w:szCs w:val="24"/>
                          </w:rPr>
                        </w:pPr>
                        <w:r>
                          <w:rPr>
                            <w:iCs/>
                            <w:color w:val="000000"/>
                            <w:szCs w:val="24"/>
                          </w:rPr>
                          <w:t xml:space="preserve">Investuojant į mokyklų infrastruktūrą </w:t>
                        </w:r>
                        <w:r>
                          <w:rPr>
                            <w:color w:val="000000"/>
                            <w:szCs w:val="24"/>
                          </w:rPr>
                          <w:t>daugiau dėmesio buvo skirta toms erdvėms ir patalpoms, kuriose vyksta pagrindinė veikla – formalusis arba (ir) neformalusis švietimas. Marijampolės ir Kazlų Rūdos savivaldybėse ikimokyklinio, priešmokyklinio, pradinio bei pagrindinio ugdymo programas vykdančių švietimo įstaigų vidaus ir lauko infrastruktūrai, kuri būtų reikalinga visos dienos mokyklos veikloms įgyvendinti, investicijų skirta tik iš dalies, vykdomi tik pavieniai remonto darbai, tvarkytos prailgintoms grupėms reikalingos patalpos. Kai kuriose savivaldybėse (Kalvarijos, Šakių ir Vilkaviškio rajonų) investicijų visos dienos mokyklos veiklai nebuvo skirta. Tai nesudaro tinkamų sąlygų kokybiškoms visos dienos mokyklos paslaugoms.</w:t>
                        </w:r>
                      </w:p>
                    </w:tc>
                  </w:tr>
                </w:tbl>
                <w:p w14:paraId="6A3AE3C9" w14:textId="77777777">
                  <w:pPr>
                    <w:tabs>
                      <w:tab w:val="left" w:pos="598"/>
                    </w:tabs>
                    <w:jc w:val="both"/>
                    <w:rPr>
                      <w:iCs/>
                      <w:color w:val="000000"/>
                      <w:szCs w:val="24"/>
                    </w:rPr>
                  </w:pPr>
                </w:p>
                <w:p w14:paraId="70417B52" w14:textId="77777777">
                  <w:pPr>
                    <w:tabs>
                      <w:tab w:val="left" w:pos="598"/>
                    </w:tabs>
                    <w:ind w:firstLine="567"/>
                    <w:jc w:val="both"/>
                    <w:rPr>
                      <w:iCs/>
                      <w:color w:val="000000"/>
                      <w:szCs w:val="24"/>
                    </w:rPr>
                  </w:pPr>
                  <w:r>
                    <w:rPr>
                      <w:iCs/>
                      <w:color w:val="000000"/>
                      <w:szCs w:val="24"/>
                    </w:rPr>
                    <w:t>Galimybes spręsti švietimo kokybės ir prieinamumo problemas lemia resursų trūkumas – finansinės savivaldybių galimybės yra ribotos.</w:t>
                  </w:r>
                </w:p>
                <w:p w14:paraId="1B24E8CF" w14:textId="77777777">
                  <w:pPr>
                    <w:tabs>
                      <w:tab w:val="left" w:pos="598"/>
                    </w:tabs>
                    <w:ind w:firstLine="567"/>
                    <w:jc w:val="both"/>
                    <w:rPr>
                      <w:iCs/>
                      <w:color w:val="000000"/>
                      <w:szCs w:val="24"/>
                    </w:rPr>
                  </w:pPr>
                </w:p>
                <w:p w14:paraId="720415F4" w14:textId="77777777">
                  <w:pPr>
                    <w:tabs>
                      <w:tab w:val="left" w:pos="598"/>
                    </w:tabs>
                    <w:jc w:val="both"/>
                    <w:rPr>
                      <w:iCs/>
                      <w:color w:val="000000"/>
                      <w:szCs w:val="24"/>
                    </w:rPr>
                  </w:pPr>
                </w:p>
              </w:sdtContent>
            </w:sdt>
          </w:sdtContent>
        </w:sdt>
        <w:sdt>
          <w:sdtPr>
            <w:alias w:val="skyrius"/>
            <w:tag w:val="part_d73d0aa6a3764dcb8772aa8c583fe59c"/>
            <w:lock w:val="sdtLocked"/>
            <w:richText/>
          </w:sdtPr>
          <w:sdtContent>
            <w:p w14:paraId="21CB19CB" w14:textId="77777777">
              <w:pPr>
                <w:ind w:firstLine="567"/>
                <w:jc w:val="center"/>
                <w:rPr>
                  <w:b/>
                  <w:bCs/>
                  <w:szCs w:val="24"/>
                </w:rPr>
              </w:pPr>
              <w:sdt>
                <w:sdtPr>
                  <w:alias w:val="Numeris"/>
                  <w:tag w:val="nr_d73d0aa6a3764dcb8772aa8c583fe59c"/>
                  <w:lock w:val="sdtLocked"/>
                  <w:richText/>
                </w:sdtPr>
                <w:sdtContent>
                  <w:r>
                    <w:rPr>
                      <w:b/>
                      <w:bCs/>
                      <w:szCs w:val="24"/>
                    </w:rPr>
                    <w:t>III</w:t>
                  </w:r>
                </w:sdtContent>
              </w:sdt>
              <w:r>
                <w:rPr>
                  <w:b/>
                  <w:bCs/>
                  <w:szCs w:val="24"/>
                </w:rPr>
                <w:t xml:space="preserve"> SKYRIUS</w:t>
              </w:r>
            </w:p>
            <w:p w14:paraId="07A946CF" w14:textId="77777777">
              <w:pPr>
                <w:ind w:firstLine="567"/>
                <w:jc w:val="center"/>
                <w:rPr>
                  <w:b/>
                  <w:bCs/>
                  <w:szCs w:val="24"/>
                </w:rPr>
              </w:pPr>
              <w:sdt>
                <w:sdtPr>
                  <w:alias w:val="Pavadinimas"/>
                  <w:tag w:val="title_d73d0aa6a3764dcb8772aa8c583fe59c"/>
                  <w:lock w:val="sdtLocked"/>
                  <w:richText/>
                </w:sdtPr>
                <w:sdtContent>
                  <w:r>
                    <w:rPr>
                      <w:b/>
                      <w:bCs/>
                      <w:szCs w:val="24"/>
                    </w:rPr>
                    <w:t>PAŽANGOS PRIEMONĖS ĮGYVENDINIMO TERITORIJA</w:t>
                  </w:r>
                </w:sdtContent>
              </w:sdt>
            </w:p>
            <w:p w14:paraId="040E204F" w14:textId="77777777">
              <w:pPr>
                <w:ind w:firstLine="567"/>
                <w:jc w:val="center"/>
                <w:rPr>
                  <w:szCs w:val="24"/>
                </w:rPr>
              </w:pPr>
            </w:p>
            <w:p w14:paraId="2CFA3784" w14:textId="77777777">
              <w:pPr>
                <w:ind w:firstLine="567"/>
                <w:jc w:val="both"/>
                <w:rPr>
                  <w:iCs/>
                  <w:color w:val="000000"/>
                  <w:szCs w:val="24"/>
                </w:rPr>
              </w:pPr>
              <w:r>
                <w:rPr>
                  <w:iCs/>
                  <w:color w:val="000000"/>
                  <w:szCs w:val="24"/>
                </w:rPr>
                <w:t>Priemonė bus įgyvendinama Marijampolės regiono – Kalvarijos, Kazlų Rūdos, Marijampolės, Šakių rajono ir Vilkaviškio rajono – savivaldybėse.</w:t>
              </w:r>
            </w:p>
            <w:p w14:paraId="16307B01" w14:textId="77777777">
              <w:pPr>
                <w:ind w:firstLine="567"/>
                <w:jc w:val="both"/>
                <w:rPr>
                  <w:i/>
                  <w:color w:val="000000"/>
                  <w:szCs w:val="24"/>
                </w:rPr>
              </w:pPr>
            </w:p>
            <w:p w14:paraId="5CEB83BE" w14:textId="77777777">
              <w:pPr>
                <w:ind w:firstLine="567"/>
                <w:jc w:val="both"/>
                <w:rPr>
                  <w:i/>
                  <w:color w:val="000000"/>
                  <w:szCs w:val="24"/>
                </w:rPr>
              </w:pPr>
            </w:p>
          </w:sdtContent>
        </w:sdt>
        <w:sdt>
          <w:sdtPr>
            <w:alias w:val="skyrius"/>
            <w:tag w:val="part_cb93a3e48215401a975b3afe5e9cbeaa"/>
            <w:lock w:val="sdtLocked"/>
            <w:richText/>
          </w:sdtPr>
          <w:sdtContent>
            <w:p w14:paraId="5229FA92" w14:textId="77777777">
              <w:pPr>
                <w:ind w:firstLine="567"/>
                <w:jc w:val="center"/>
                <w:rPr>
                  <w:b/>
                  <w:bCs/>
                  <w:color w:val="000000"/>
                  <w:szCs w:val="24"/>
                </w:rPr>
              </w:pPr>
              <w:sdt>
                <w:sdtPr>
                  <w:alias w:val="Numeris"/>
                  <w:tag w:val="nr_cb93a3e48215401a975b3afe5e9cbeaa"/>
                  <w:lock w:val="sdtLocked"/>
                  <w:richText/>
                </w:sdtPr>
                <w:sdtContent>
                  <w:r>
                    <w:rPr>
                      <w:b/>
                      <w:bCs/>
                      <w:color w:val="000000"/>
                      <w:szCs w:val="24"/>
                    </w:rPr>
                    <w:t>IV</w:t>
                  </w:r>
                </w:sdtContent>
              </w:sdt>
              <w:r>
                <w:rPr>
                  <w:b/>
                  <w:bCs/>
                  <w:color w:val="000000"/>
                  <w:szCs w:val="24"/>
                </w:rPr>
                <w:t xml:space="preserve"> SKYRIUS</w:t>
              </w:r>
            </w:p>
            <w:p w14:paraId="2F7E981E" w14:textId="77777777">
              <w:pPr>
                <w:ind w:firstLine="567"/>
                <w:jc w:val="center"/>
                <w:rPr>
                  <w:b/>
                  <w:bCs/>
                  <w:color w:val="000000"/>
                  <w:szCs w:val="24"/>
                </w:rPr>
              </w:pPr>
              <w:sdt>
                <w:sdtPr>
                  <w:alias w:val="Pavadinimas"/>
                  <w:tag w:val="title_cb93a3e48215401a975b3afe5e9cbeaa"/>
                  <w:lock w:val="sdtLocked"/>
                  <w:richText/>
                </w:sdtPr>
                <w:sdtContent>
                  <w:r>
                    <w:rPr>
                      <w:b/>
                      <w:bCs/>
                      <w:color w:val="000000"/>
                      <w:szCs w:val="24"/>
                    </w:rPr>
                    <w:t>PAŽANGOS PRIEMONĖS VEIKLOS, PROJEKTŲ VYKDYTOJAI IR PARTNERIAI</w:t>
                  </w:r>
                </w:sdtContent>
              </w:sdt>
            </w:p>
            <w:p w14:paraId="269E9203" w14:textId="77777777">
              <w:pPr>
                <w:ind w:firstLine="567"/>
                <w:jc w:val="both"/>
                <w:rPr>
                  <w:color w:val="000000"/>
                  <w:szCs w:val="24"/>
                </w:rPr>
              </w:pPr>
            </w:p>
            <w:p w14:paraId="2C545223" w14:textId="77777777">
              <w:pPr>
                <w:ind w:firstLine="567"/>
                <w:jc w:val="both"/>
                <w:rPr>
                  <w:rFonts w:eastAsia="Calibri"/>
                  <w:iCs/>
                  <w:color w:val="000000"/>
                  <w:szCs w:val="24"/>
                </w:rPr>
              </w:pPr>
              <w:r>
                <w:rPr>
                  <w:rFonts w:eastAsia="Calibri"/>
                  <w:iCs/>
                  <w:color w:val="000000"/>
                  <w:szCs w:val="24"/>
                </w:rPr>
                <w:t xml:space="preserve">Sprendžiant MRPPL identifikuotą socialinės atskirties ir skurdo rizikos problemą numatoma šalinti vieną jos priežasčių – didinti švietimo paslaugų kokybę ir prieinamumą, pirmiausia investuojant į ikimokyklinio ugdymo įtraukties didinimą, visos dienos mokyklos plėtrą ir švietimo paslaugų prieinamumo įvairias negalias turintiems užtikrinimą. </w:t>
              </w:r>
            </w:p>
            <w:p w14:paraId="39DFC269" w14:textId="7892F036">
              <w:pPr>
                <w:ind w:firstLine="567"/>
                <w:jc w:val="both"/>
                <w:rPr>
                  <w:rFonts w:eastAsia="Calibri"/>
                  <w:iCs/>
                  <w:color w:val="000000"/>
                  <w:szCs w:val="24"/>
                </w:rPr>
              </w:pPr>
              <w:r>
                <w:rPr>
                  <w:rFonts w:eastAsia="Calibri"/>
                  <w:iCs/>
                  <w:color w:val="000000"/>
                  <w:szCs w:val="24"/>
                </w:rPr>
                <w:t>Pažangos priemonės įgyvendinimui suformuota viena veikla – „Padidinti ugdymo prieinamumą ir sudaryti sąlygas visos dienos mokyklai“, kurią įgyvendinant numatoma investuoti:</w:t>
              </w:r>
            </w:p>
            <w:p w14:paraId="417A7D54" w14:textId="77777777">
              <w:pPr>
                <w:jc w:val="both"/>
                <w:rPr>
                  <w:rFonts w:eastAsia="Calibri"/>
                  <w:iCs/>
                  <w:color w:val="000000"/>
                  <w:sz w:val="12"/>
                  <w:szCs w:val="12"/>
                </w:rPr>
              </w:pPr>
            </w:p>
            <w:sdt>
              <w:sdtPr>
                <w:alias w:val="poskyris"/>
                <w:tag w:val="part_50467f930f63476699203f1c93e50976"/>
                <w:lock w:val="sdtLocked"/>
                <w:richText/>
              </w:sdtPr>
              <w:sdtContent>
                <w:p w14:paraId="45A75A31" w14:textId="0E85156C">
                  <w:pPr>
                    <w:jc w:val="both"/>
                    <w:rPr>
                      <w:rFonts w:eastAsia="Calibri"/>
                      <w:b/>
                      <w:bCs/>
                      <w:iCs/>
                      <w:color w:val="000000"/>
                      <w:szCs w:val="24"/>
                    </w:rPr>
                  </w:pPr>
                  <w:sdt>
                    <w:sdtPr>
                      <w:alias w:val="Pavadinimas"/>
                      <w:tag w:val="title_50467f930f63476699203f1c93e50976"/>
                      <w:lock w:val="sdtLocked"/>
                      <w:richText/>
                    </w:sdtPr>
                    <w:sdtContent>
                      <w:r>
                        <w:rPr>
                          <w:rFonts w:eastAsia="Calibri"/>
                          <w:b/>
                          <w:bCs/>
                          <w:iCs/>
                          <w:color w:val="000000"/>
                          <w:szCs w:val="24"/>
                        </w:rPr>
                        <w:t xml:space="preserve">Planuojamos investicijos savivaldybėse </w:t>
                      </w:r>
                    </w:sdtContent>
                  </w:sdt>
                </w:p>
                <w:tbl>
                  <w:tblPr>
                    <w:tblW w:w="9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1779"/>
                    <w:gridCol w:w="1550"/>
                    <w:gridCol w:w="1456"/>
                    <w:gridCol w:w="1203"/>
                    <w:gridCol w:w="1617"/>
                  </w:tblGrid>
                  <w:tr w14:paraId="41CDF54B" w14:textId="77777777">
                    <w:trPr>
                      <w:trHeight w:val="499"/>
                    </w:trPr>
                    <w:tc>
                      <w:tcPr>
                        <w:tcW w:w="2122" w:type="dxa"/>
                        <w:shd w:val="clear" w:color="auto" w:fill="D9D9D9" w:themeFill="background1" w:themeFillShade="D9"/>
                        <w:vAlign w:val="center"/>
                      </w:tcPr>
                      <w:p w14:paraId="72CD992F" w14:textId="7C3F6ED7">
                        <w:pPr>
                          <w:jc w:val="center"/>
                          <w:rPr>
                            <w:rFonts w:eastAsia="Calibri"/>
                            <w:iCs/>
                            <w:color w:val="000000"/>
                            <w:szCs w:val="24"/>
                          </w:rPr>
                        </w:pPr>
                        <w:r>
                          <w:rPr>
                            <w:rFonts w:eastAsia="Calibri"/>
                            <w:b/>
                            <w:color w:val="000000"/>
                            <w:szCs w:val="24"/>
                          </w:rPr>
                          <w:t>Savivaldybė</w:t>
                        </w:r>
                      </w:p>
                    </w:tc>
                    <w:tc>
                      <w:tcPr>
                        <w:tcW w:w="1779" w:type="dxa"/>
                        <w:shd w:val="clear" w:color="auto" w:fill="D9D9D9" w:themeFill="background1" w:themeFillShade="D9"/>
                      </w:tcPr>
                      <w:p w14:paraId="547A8A8C" w14:textId="77777777">
                        <w:pPr>
                          <w:jc w:val="center"/>
                          <w:rPr>
                            <w:rFonts w:eastAsia="Calibri"/>
                            <w:b/>
                            <w:bCs/>
                            <w:iCs/>
                            <w:color w:val="000000"/>
                            <w:szCs w:val="24"/>
                          </w:rPr>
                        </w:pPr>
                        <w:r>
                          <w:rPr>
                            <w:rFonts w:eastAsia="Calibri"/>
                            <w:b/>
                            <w:bCs/>
                            <w:iCs/>
                            <w:color w:val="000000"/>
                            <w:szCs w:val="24"/>
                          </w:rPr>
                          <w:t>Naujos ikimokyklinio ugdymo vietos</w:t>
                        </w:r>
                      </w:p>
                    </w:tc>
                    <w:tc>
                      <w:tcPr>
                        <w:tcW w:w="1550" w:type="dxa"/>
                        <w:shd w:val="clear" w:color="auto" w:fill="D9D9D9" w:themeFill="background1" w:themeFillShade="D9"/>
                      </w:tcPr>
                      <w:p w14:paraId="3EA8BB33" w14:textId="77777777">
                        <w:pPr>
                          <w:jc w:val="center"/>
                          <w:rPr>
                            <w:rFonts w:eastAsia="Calibri"/>
                            <w:b/>
                            <w:bCs/>
                            <w:iCs/>
                            <w:color w:val="000000"/>
                            <w:szCs w:val="24"/>
                          </w:rPr>
                        </w:pPr>
                        <w:r>
                          <w:rPr>
                            <w:rFonts w:eastAsia="Calibri"/>
                            <w:b/>
                            <w:bCs/>
                            <w:iCs/>
                            <w:color w:val="000000"/>
                            <w:szCs w:val="24"/>
                          </w:rPr>
                          <w:t>Universalaus dizaino elementai</w:t>
                        </w:r>
                      </w:p>
                    </w:tc>
                    <w:tc>
                      <w:tcPr>
                        <w:tcW w:w="1456" w:type="dxa"/>
                        <w:shd w:val="clear" w:color="auto" w:fill="D9D9D9" w:themeFill="background1" w:themeFillShade="D9"/>
                      </w:tcPr>
                      <w:p w14:paraId="6A226413" w14:textId="0275286B">
                        <w:pPr>
                          <w:jc w:val="center"/>
                          <w:rPr>
                            <w:rFonts w:eastAsia="Calibri"/>
                            <w:b/>
                            <w:bCs/>
                            <w:iCs/>
                            <w:color w:val="000000"/>
                            <w:szCs w:val="24"/>
                          </w:rPr>
                        </w:pPr>
                        <w:r>
                          <w:rPr>
                            <w:rFonts w:eastAsia="Calibri"/>
                            <w:b/>
                            <w:bCs/>
                            <w:iCs/>
                            <w:color w:val="000000"/>
                            <w:szCs w:val="24"/>
                          </w:rPr>
                          <w:t>Transporto priemonės pavėžėjimui</w:t>
                        </w:r>
                      </w:p>
                    </w:tc>
                    <w:tc>
                      <w:tcPr>
                        <w:tcW w:w="1203" w:type="dxa"/>
                        <w:shd w:val="clear" w:color="auto" w:fill="D9D9D9" w:themeFill="background1" w:themeFillShade="D9"/>
                      </w:tcPr>
                      <w:p w14:paraId="446610DB" w14:textId="77777777">
                        <w:pPr>
                          <w:jc w:val="center"/>
                          <w:rPr>
                            <w:rFonts w:eastAsia="Calibri"/>
                            <w:b/>
                            <w:bCs/>
                            <w:iCs/>
                            <w:color w:val="000000"/>
                            <w:szCs w:val="24"/>
                          </w:rPr>
                        </w:pPr>
                        <w:r>
                          <w:rPr>
                            <w:rFonts w:eastAsia="Calibri"/>
                            <w:b/>
                            <w:bCs/>
                            <w:iCs/>
                            <w:color w:val="000000"/>
                            <w:szCs w:val="24"/>
                          </w:rPr>
                          <w:t>VDM: bendrasis ugdymas</w:t>
                        </w:r>
                      </w:p>
                    </w:tc>
                    <w:tc>
                      <w:tcPr>
                        <w:tcW w:w="1617" w:type="dxa"/>
                        <w:shd w:val="clear" w:color="auto" w:fill="D9D9D9" w:themeFill="background1" w:themeFillShade="D9"/>
                      </w:tcPr>
                      <w:p w14:paraId="1AA1873D" w14:textId="77777777">
                        <w:pPr>
                          <w:jc w:val="center"/>
                          <w:rPr>
                            <w:rFonts w:eastAsia="Calibri"/>
                            <w:b/>
                            <w:bCs/>
                            <w:iCs/>
                            <w:color w:val="000000"/>
                            <w:szCs w:val="24"/>
                          </w:rPr>
                        </w:pPr>
                        <w:r>
                          <w:rPr>
                            <w:rFonts w:eastAsia="Calibri"/>
                            <w:b/>
                            <w:bCs/>
                            <w:iCs/>
                            <w:color w:val="000000"/>
                            <w:szCs w:val="24"/>
                          </w:rPr>
                          <w:t>VDM: ikimokyklinis ugdymas</w:t>
                        </w:r>
                      </w:p>
                    </w:tc>
                  </w:tr>
                  <w:tr w14:paraId="41C65898" w14:textId="77777777">
                    <w:trPr>
                      <w:trHeight w:val="52"/>
                    </w:trPr>
                    <w:tc>
                      <w:tcPr>
                        <w:tcW w:w="2122" w:type="dxa"/>
                        <w:shd w:val="clear" w:color="auto" w:fill="D9D9D9" w:themeFill="background1" w:themeFillShade="D9"/>
                      </w:tcPr>
                      <w:p w14:paraId="154818B0" w14:textId="77777777">
                        <w:pPr>
                          <w:jc w:val="both"/>
                          <w:rPr>
                            <w:rFonts w:eastAsia="Calibri"/>
                            <w:b/>
                            <w:bCs/>
                            <w:iCs/>
                            <w:color w:val="000000"/>
                            <w:szCs w:val="24"/>
                          </w:rPr>
                        </w:pPr>
                        <w:r>
                          <w:rPr>
                            <w:rFonts w:eastAsia="Calibri"/>
                            <w:b/>
                            <w:bCs/>
                            <w:iCs/>
                            <w:color w:val="000000"/>
                            <w:szCs w:val="24"/>
                          </w:rPr>
                          <w:t>Kalvarijos</w:t>
                        </w:r>
                      </w:p>
                    </w:tc>
                    <w:tc>
                      <w:tcPr>
                        <w:tcW w:w="1779" w:type="dxa"/>
                      </w:tcPr>
                      <w:p w14:paraId="09E7D4A2" w14:textId="77777777">
                        <w:pPr>
                          <w:jc w:val="center"/>
                          <w:rPr>
                            <w:rFonts w:eastAsia="Calibri"/>
                            <w:b/>
                            <w:bCs/>
                            <w:iCs/>
                            <w:color w:val="000000"/>
                            <w:szCs w:val="24"/>
                          </w:rPr>
                        </w:pPr>
                        <w:r>
                          <w:rPr>
                            <w:rFonts w:eastAsia="Calibri"/>
                            <w:b/>
                            <w:bCs/>
                            <w:iCs/>
                            <w:color w:val="000000"/>
                            <w:szCs w:val="24"/>
                          </w:rPr>
                          <w:t>-</w:t>
                        </w:r>
                      </w:p>
                    </w:tc>
                    <w:tc>
                      <w:tcPr>
                        <w:tcW w:w="1550" w:type="dxa"/>
                      </w:tcPr>
                      <w:p w14:paraId="0FEB65A8" w14:textId="257D3700">
                        <w:pPr>
                          <w:jc w:val="center"/>
                          <w:rPr>
                            <w:rFonts w:eastAsia="Calibri"/>
                            <w:b/>
                            <w:bCs/>
                            <w:iCs/>
                            <w:color w:val="000000"/>
                            <w:szCs w:val="24"/>
                          </w:rPr>
                        </w:pPr>
                        <w:r>
                          <w:rPr>
                            <w:rFonts w:eastAsia="Calibri"/>
                            <w:b/>
                            <w:bCs/>
                            <w:iCs/>
                            <w:color w:val="000000"/>
                            <w:szCs w:val="24"/>
                          </w:rPr>
                          <w:t>+</w:t>
                        </w:r>
                      </w:p>
                    </w:tc>
                    <w:tc>
                      <w:tcPr>
                        <w:tcW w:w="1456" w:type="dxa"/>
                      </w:tcPr>
                      <w:p w14:paraId="54A78D9C" w14:textId="77777777">
                        <w:pPr>
                          <w:jc w:val="center"/>
                          <w:rPr>
                            <w:rFonts w:eastAsia="Calibri"/>
                            <w:b/>
                            <w:bCs/>
                            <w:iCs/>
                            <w:color w:val="000000"/>
                            <w:szCs w:val="24"/>
                          </w:rPr>
                        </w:pPr>
                        <w:r>
                          <w:rPr>
                            <w:rFonts w:eastAsia="Calibri"/>
                            <w:b/>
                            <w:bCs/>
                            <w:iCs/>
                            <w:color w:val="000000"/>
                            <w:szCs w:val="24"/>
                          </w:rPr>
                          <w:t>-</w:t>
                        </w:r>
                      </w:p>
                    </w:tc>
                    <w:tc>
                      <w:tcPr>
                        <w:tcW w:w="1203" w:type="dxa"/>
                      </w:tcPr>
                      <w:p w14:paraId="3AF080A0" w14:textId="77777777">
                        <w:pPr>
                          <w:jc w:val="center"/>
                          <w:rPr>
                            <w:rFonts w:eastAsia="Calibri"/>
                            <w:b/>
                            <w:bCs/>
                            <w:iCs/>
                            <w:color w:val="000000"/>
                            <w:szCs w:val="24"/>
                          </w:rPr>
                        </w:pPr>
                        <w:r>
                          <w:rPr>
                            <w:rFonts w:eastAsia="Calibri"/>
                            <w:b/>
                            <w:bCs/>
                            <w:iCs/>
                            <w:color w:val="000000"/>
                            <w:szCs w:val="24"/>
                          </w:rPr>
                          <w:t>+</w:t>
                        </w:r>
                      </w:p>
                    </w:tc>
                    <w:tc>
                      <w:tcPr>
                        <w:tcW w:w="1617" w:type="dxa"/>
                      </w:tcPr>
                      <w:p w14:paraId="378343A1" w14:textId="77777777">
                        <w:pPr>
                          <w:jc w:val="center"/>
                          <w:rPr>
                            <w:rFonts w:eastAsia="Calibri"/>
                            <w:b/>
                            <w:bCs/>
                            <w:iCs/>
                            <w:color w:val="000000"/>
                            <w:szCs w:val="24"/>
                          </w:rPr>
                        </w:pPr>
                        <w:r>
                          <w:rPr>
                            <w:rFonts w:eastAsia="Calibri"/>
                            <w:b/>
                            <w:bCs/>
                            <w:iCs/>
                            <w:color w:val="000000"/>
                            <w:szCs w:val="24"/>
                          </w:rPr>
                          <w:t>-</w:t>
                        </w:r>
                      </w:p>
                    </w:tc>
                  </w:tr>
                  <w:tr w14:paraId="653739D3" w14:textId="77777777">
                    <w:trPr>
                      <w:trHeight w:val="166"/>
                    </w:trPr>
                    <w:tc>
                      <w:tcPr>
                        <w:tcW w:w="2122" w:type="dxa"/>
                        <w:shd w:val="clear" w:color="auto" w:fill="D9D9D9" w:themeFill="background1" w:themeFillShade="D9"/>
                      </w:tcPr>
                      <w:p w14:paraId="7141A8A4" w14:textId="77777777">
                        <w:pPr>
                          <w:jc w:val="both"/>
                          <w:rPr>
                            <w:rFonts w:eastAsia="Calibri"/>
                            <w:b/>
                            <w:bCs/>
                            <w:iCs/>
                            <w:color w:val="000000"/>
                            <w:szCs w:val="24"/>
                          </w:rPr>
                        </w:pPr>
                        <w:r>
                          <w:rPr>
                            <w:rFonts w:eastAsia="Calibri"/>
                            <w:b/>
                            <w:bCs/>
                            <w:iCs/>
                            <w:color w:val="000000"/>
                            <w:szCs w:val="24"/>
                          </w:rPr>
                          <w:t>Kazlų Rūdos</w:t>
                        </w:r>
                      </w:p>
                    </w:tc>
                    <w:tc>
                      <w:tcPr>
                        <w:tcW w:w="1779" w:type="dxa"/>
                      </w:tcPr>
                      <w:p w14:paraId="7EEF8B38" w14:textId="77777777">
                        <w:pPr>
                          <w:jc w:val="center"/>
                          <w:rPr>
                            <w:rFonts w:eastAsia="Calibri"/>
                            <w:b/>
                            <w:bCs/>
                            <w:iCs/>
                            <w:color w:val="000000"/>
                            <w:szCs w:val="24"/>
                          </w:rPr>
                        </w:pPr>
                        <w:r>
                          <w:rPr>
                            <w:rFonts w:eastAsia="Calibri"/>
                            <w:b/>
                            <w:bCs/>
                            <w:iCs/>
                            <w:color w:val="000000"/>
                            <w:szCs w:val="24"/>
                          </w:rPr>
                          <w:t>+</w:t>
                        </w:r>
                      </w:p>
                    </w:tc>
                    <w:tc>
                      <w:tcPr>
                        <w:tcW w:w="1550" w:type="dxa"/>
                      </w:tcPr>
                      <w:p w14:paraId="556CDAE2" w14:textId="77777777">
                        <w:pPr>
                          <w:jc w:val="center"/>
                          <w:rPr>
                            <w:rFonts w:eastAsia="Calibri"/>
                            <w:b/>
                            <w:bCs/>
                            <w:iCs/>
                            <w:color w:val="000000"/>
                            <w:szCs w:val="24"/>
                          </w:rPr>
                        </w:pPr>
                        <w:r>
                          <w:rPr>
                            <w:rFonts w:eastAsia="Calibri"/>
                            <w:b/>
                            <w:bCs/>
                            <w:iCs/>
                            <w:color w:val="000000"/>
                            <w:szCs w:val="24"/>
                          </w:rPr>
                          <w:t>-</w:t>
                        </w:r>
                      </w:p>
                    </w:tc>
                    <w:tc>
                      <w:tcPr>
                        <w:tcW w:w="1456" w:type="dxa"/>
                      </w:tcPr>
                      <w:p w14:paraId="4C15FD59" w14:textId="77777777">
                        <w:pPr>
                          <w:jc w:val="center"/>
                          <w:rPr>
                            <w:rFonts w:eastAsia="Calibri"/>
                            <w:b/>
                            <w:bCs/>
                            <w:iCs/>
                            <w:color w:val="000000"/>
                            <w:szCs w:val="24"/>
                          </w:rPr>
                        </w:pPr>
                        <w:r>
                          <w:rPr>
                            <w:rFonts w:eastAsia="Calibri"/>
                            <w:b/>
                            <w:bCs/>
                            <w:iCs/>
                            <w:color w:val="000000"/>
                            <w:szCs w:val="24"/>
                          </w:rPr>
                          <w:t>-</w:t>
                        </w:r>
                      </w:p>
                    </w:tc>
                    <w:tc>
                      <w:tcPr>
                        <w:tcW w:w="1203" w:type="dxa"/>
                      </w:tcPr>
                      <w:p w14:paraId="02A512BB" w14:textId="77777777">
                        <w:pPr>
                          <w:jc w:val="center"/>
                          <w:rPr>
                            <w:rFonts w:eastAsia="Calibri"/>
                            <w:b/>
                            <w:bCs/>
                            <w:iCs/>
                            <w:color w:val="000000"/>
                            <w:szCs w:val="24"/>
                          </w:rPr>
                        </w:pPr>
                        <w:r>
                          <w:rPr>
                            <w:rFonts w:eastAsia="Calibri"/>
                            <w:b/>
                            <w:bCs/>
                            <w:iCs/>
                            <w:color w:val="000000"/>
                            <w:szCs w:val="24"/>
                          </w:rPr>
                          <w:t>+</w:t>
                        </w:r>
                      </w:p>
                    </w:tc>
                    <w:tc>
                      <w:tcPr>
                        <w:tcW w:w="1617" w:type="dxa"/>
                      </w:tcPr>
                      <w:p w14:paraId="11CC49C8" w14:textId="77777777">
                        <w:pPr>
                          <w:jc w:val="center"/>
                          <w:rPr>
                            <w:rFonts w:eastAsia="Calibri"/>
                            <w:b/>
                            <w:bCs/>
                            <w:iCs/>
                            <w:color w:val="000000"/>
                            <w:szCs w:val="24"/>
                          </w:rPr>
                        </w:pPr>
                        <w:r>
                          <w:rPr>
                            <w:rFonts w:eastAsia="Calibri"/>
                            <w:b/>
                            <w:bCs/>
                            <w:iCs/>
                            <w:color w:val="000000"/>
                            <w:szCs w:val="24"/>
                          </w:rPr>
                          <w:t>-</w:t>
                        </w:r>
                      </w:p>
                    </w:tc>
                  </w:tr>
                  <w:tr w14:paraId="67EBDABF" w14:textId="77777777">
                    <w:trPr>
                      <w:trHeight w:val="166"/>
                    </w:trPr>
                    <w:tc>
                      <w:tcPr>
                        <w:tcW w:w="2122" w:type="dxa"/>
                        <w:shd w:val="clear" w:color="auto" w:fill="D9D9D9" w:themeFill="background1" w:themeFillShade="D9"/>
                      </w:tcPr>
                      <w:p w14:paraId="12B23F07" w14:textId="77777777">
                        <w:pPr>
                          <w:jc w:val="both"/>
                          <w:rPr>
                            <w:rFonts w:eastAsia="Calibri"/>
                            <w:b/>
                            <w:bCs/>
                            <w:iCs/>
                            <w:color w:val="000000"/>
                            <w:szCs w:val="24"/>
                          </w:rPr>
                        </w:pPr>
                        <w:r>
                          <w:rPr>
                            <w:rFonts w:eastAsia="Calibri"/>
                            <w:b/>
                            <w:bCs/>
                            <w:iCs/>
                            <w:color w:val="000000"/>
                            <w:szCs w:val="24"/>
                          </w:rPr>
                          <w:t>Marijampolės</w:t>
                        </w:r>
                      </w:p>
                    </w:tc>
                    <w:tc>
                      <w:tcPr>
                        <w:tcW w:w="1779" w:type="dxa"/>
                      </w:tcPr>
                      <w:p w14:paraId="5B28AE2F" w14:textId="77777777">
                        <w:pPr>
                          <w:jc w:val="center"/>
                          <w:rPr>
                            <w:rFonts w:eastAsia="Calibri"/>
                            <w:b/>
                            <w:bCs/>
                            <w:iCs/>
                            <w:color w:val="000000"/>
                            <w:szCs w:val="24"/>
                          </w:rPr>
                        </w:pPr>
                        <w:r>
                          <w:rPr>
                            <w:rFonts w:eastAsia="Calibri"/>
                            <w:b/>
                            <w:bCs/>
                            <w:iCs/>
                            <w:color w:val="000000"/>
                            <w:szCs w:val="24"/>
                          </w:rPr>
                          <w:t>-</w:t>
                        </w:r>
                      </w:p>
                    </w:tc>
                    <w:tc>
                      <w:tcPr>
                        <w:tcW w:w="1550" w:type="dxa"/>
                      </w:tcPr>
                      <w:p w14:paraId="51CDDE82" w14:textId="77777777">
                        <w:pPr>
                          <w:jc w:val="center"/>
                          <w:rPr>
                            <w:rFonts w:eastAsia="Calibri"/>
                            <w:b/>
                            <w:bCs/>
                            <w:iCs/>
                            <w:color w:val="000000"/>
                            <w:szCs w:val="24"/>
                          </w:rPr>
                        </w:pPr>
                        <w:r>
                          <w:rPr>
                            <w:rFonts w:eastAsia="Calibri"/>
                            <w:b/>
                            <w:bCs/>
                            <w:iCs/>
                            <w:color w:val="000000"/>
                            <w:szCs w:val="24"/>
                          </w:rPr>
                          <w:t>+</w:t>
                        </w:r>
                      </w:p>
                    </w:tc>
                    <w:tc>
                      <w:tcPr>
                        <w:tcW w:w="1456" w:type="dxa"/>
                      </w:tcPr>
                      <w:p w14:paraId="61DE00E9" w14:textId="77777777">
                        <w:pPr>
                          <w:jc w:val="center"/>
                          <w:rPr>
                            <w:rFonts w:eastAsia="Calibri"/>
                            <w:b/>
                            <w:bCs/>
                            <w:iCs/>
                            <w:color w:val="000000"/>
                            <w:szCs w:val="24"/>
                          </w:rPr>
                        </w:pPr>
                        <w:r>
                          <w:rPr>
                            <w:rFonts w:eastAsia="Calibri"/>
                            <w:b/>
                            <w:bCs/>
                            <w:iCs/>
                            <w:color w:val="000000"/>
                            <w:szCs w:val="24"/>
                          </w:rPr>
                          <w:t>-</w:t>
                        </w:r>
                      </w:p>
                    </w:tc>
                    <w:tc>
                      <w:tcPr>
                        <w:tcW w:w="1203" w:type="dxa"/>
                      </w:tcPr>
                      <w:p w14:paraId="1CD5C2C3" w14:textId="77777777">
                        <w:pPr>
                          <w:jc w:val="center"/>
                          <w:rPr>
                            <w:rFonts w:eastAsia="Calibri"/>
                            <w:b/>
                            <w:bCs/>
                            <w:iCs/>
                            <w:color w:val="000000"/>
                            <w:szCs w:val="24"/>
                          </w:rPr>
                        </w:pPr>
                        <w:r>
                          <w:rPr>
                            <w:rFonts w:eastAsia="Calibri"/>
                            <w:b/>
                            <w:bCs/>
                            <w:iCs/>
                            <w:color w:val="000000"/>
                            <w:szCs w:val="24"/>
                          </w:rPr>
                          <w:t>+</w:t>
                        </w:r>
                      </w:p>
                    </w:tc>
                    <w:tc>
                      <w:tcPr>
                        <w:tcW w:w="1617" w:type="dxa"/>
                      </w:tcPr>
                      <w:p w14:paraId="4F9D7DB1" w14:textId="77777777">
                        <w:pPr>
                          <w:jc w:val="center"/>
                          <w:rPr>
                            <w:rFonts w:eastAsia="Calibri"/>
                            <w:b/>
                            <w:bCs/>
                            <w:iCs/>
                            <w:color w:val="000000"/>
                            <w:szCs w:val="24"/>
                          </w:rPr>
                        </w:pPr>
                        <w:r>
                          <w:rPr>
                            <w:rFonts w:eastAsia="Calibri"/>
                            <w:b/>
                            <w:bCs/>
                            <w:iCs/>
                            <w:color w:val="000000"/>
                            <w:szCs w:val="24"/>
                          </w:rPr>
                          <w:t>+</w:t>
                        </w:r>
                      </w:p>
                    </w:tc>
                  </w:tr>
                  <w:tr w14:paraId="59CBE120" w14:textId="77777777">
                    <w:trPr>
                      <w:trHeight w:val="166"/>
                    </w:trPr>
                    <w:tc>
                      <w:tcPr>
                        <w:tcW w:w="2122" w:type="dxa"/>
                        <w:shd w:val="clear" w:color="auto" w:fill="D9D9D9" w:themeFill="background1" w:themeFillShade="D9"/>
                      </w:tcPr>
                      <w:p w14:paraId="5E33BD5B" w14:textId="77777777">
                        <w:pPr>
                          <w:jc w:val="both"/>
                          <w:rPr>
                            <w:rFonts w:eastAsia="Calibri"/>
                            <w:b/>
                            <w:bCs/>
                            <w:iCs/>
                            <w:color w:val="000000"/>
                            <w:szCs w:val="24"/>
                          </w:rPr>
                        </w:pPr>
                        <w:r>
                          <w:rPr>
                            <w:rFonts w:eastAsia="Calibri"/>
                            <w:b/>
                            <w:bCs/>
                            <w:iCs/>
                            <w:color w:val="000000"/>
                            <w:szCs w:val="24"/>
                          </w:rPr>
                          <w:t>Šakių rajono</w:t>
                        </w:r>
                      </w:p>
                    </w:tc>
                    <w:tc>
                      <w:tcPr>
                        <w:tcW w:w="1779" w:type="dxa"/>
                      </w:tcPr>
                      <w:p w14:paraId="01F44273" w14:textId="77777777">
                        <w:pPr>
                          <w:jc w:val="center"/>
                          <w:rPr>
                            <w:rFonts w:eastAsia="Calibri"/>
                            <w:b/>
                            <w:bCs/>
                            <w:iCs/>
                            <w:color w:val="000000"/>
                            <w:szCs w:val="24"/>
                          </w:rPr>
                        </w:pPr>
                        <w:r>
                          <w:rPr>
                            <w:rFonts w:eastAsia="Calibri"/>
                            <w:b/>
                            <w:bCs/>
                            <w:iCs/>
                            <w:color w:val="000000"/>
                            <w:szCs w:val="24"/>
                          </w:rPr>
                          <w:t>+</w:t>
                        </w:r>
                      </w:p>
                    </w:tc>
                    <w:tc>
                      <w:tcPr>
                        <w:tcW w:w="1550" w:type="dxa"/>
                        <w:shd w:val="clear" w:color="auto" w:fill="auto"/>
                      </w:tcPr>
                      <w:p w14:paraId="01E6B4CF" w14:textId="77777777">
                        <w:pPr>
                          <w:jc w:val="center"/>
                          <w:rPr>
                            <w:rFonts w:eastAsia="Calibri"/>
                            <w:b/>
                            <w:bCs/>
                            <w:iCs/>
                            <w:color w:val="000000"/>
                            <w:szCs w:val="24"/>
                          </w:rPr>
                        </w:pPr>
                        <w:r>
                          <w:rPr>
                            <w:rFonts w:eastAsia="Calibri"/>
                            <w:b/>
                            <w:bCs/>
                            <w:iCs/>
                            <w:color w:val="000000"/>
                            <w:szCs w:val="24"/>
                          </w:rPr>
                          <w:t>-</w:t>
                        </w:r>
                      </w:p>
                    </w:tc>
                    <w:tc>
                      <w:tcPr>
                        <w:tcW w:w="1456" w:type="dxa"/>
                        <w:shd w:val="clear" w:color="auto" w:fill="auto"/>
                      </w:tcPr>
                      <w:p w14:paraId="0AB31D5A" w14:textId="77777777">
                        <w:pPr>
                          <w:jc w:val="center"/>
                          <w:rPr>
                            <w:rFonts w:eastAsia="Calibri"/>
                            <w:b/>
                            <w:bCs/>
                            <w:iCs/>
                            <w:color w:val="000000"/>
                            <w:szCs w:val="24"/>
                          </w:rPr>
                        </w:pPr>
                        <w:r>
                          <w:rPr>
                            <w:rFonts w:eastAsia="Calibri"/>
                            <w:b/>
                            <w:bCs/>
                            <w:iCs/>
                            <w:color w:val="000000"/>
                            <w:szCs w:val="24"/>
                          </w:rPr>
                          <w:t>+</w:t>
                        </w:r>
                      </w:p>
                    </w:tc>
                    <w:tc>
                      <w:tcPr>
                        <w:tcW w:w="1203" w:type="dxa"/>
                      </w:tcPr>
                      <w:p w14:paraId="1479C95C" w14:textId="77777777">
                        <w:pPr>
                          <w:jc w:val="center"/>
                          <w:rPr>
                            <w:rFonts w:eastAsia="Calibri"/>
                            <w:b/>
                            <w:bCs/>
                            <w:iCs/>
                            <w:color w:val="000000"/>
                            <w:szCs w:val="24"/>
                          </w:rPr>
                        </w:pPr>
                        <w:r>
                          <w:rPr>
                            <w:rFonts w:eastAsia="Calibri"/>
                            <w:b/>
                            <w:bCs/>
                            <w:iCs/>
                            <w:color w:val="000000"/>
                            <w:szCs w:val="24"/>
                          </w:rPr>
                          <w:t>+</w:t>
                        </w:r>
                      </w:p>
                    </w:tc>
                    <w:tc>
                      <w:tcPr>
                        <w:tcW w:w="1617" w:type="dxa"/>
                      </w:tcPr>
                      <w:p w14:paraId="1F2E99B8" w14:textId="77777777">
                        <w:pPr>
                          <w:jc w:val="center"/>
                          <w:rPr>
                            <w:rFonts w:eastAsia="Calibri"/>
                            <w:b/>
                            <w:bCs/>
                            <w:iCs/>
                            <w:color w:val="000000"/>
                            <w:szCs w:val="24"/>
                          </w:rPr>
                        </w:pPr>
                        <w:r>
                          <w:rPr>
                            <w:rFonts w:eastAsia="Calibri"/>
                            <w:b/>
                            <w:bCs/>
                            <w:iCs/>
                            <w:color w:val="000000"/>
                            <w:szCs w:val="24"/>
                          </w:rPr>
                          <w:t>-</w:t>
                        </w:r>
                      </w:p>
                    </w:tc>
                  </w:tr>
                  <w:tr w14:paraId="5343E9BA" w14:textId="77777777">
                    <w:trPr>
                      <w:trHeight w:val="166"/>
                    </w:trPr>
                    <w:tc>
                      <w:tcPr>
                        <w:tcW w:w="2122" w:type="dxa"/>
                        <w:shd w:val="clear" w:color="auto" w:fill="D9D9D9" w:themeFill="background1" w:themeFillShade="D9"/>
                      </w:tcPr>
                      <w:p w14:paraId="7D88706F" w14:textId="77777777">
                        <w:pPr>
                          <w:jc w:val="both"/>
                          <w:rPr>
                            <w:rFonts w:eastAsia="Calibri"/>
                            <w:b/>
                            <w:bCs/>
                            <w:iCs/>
                            <w:color w:val="000000"/>
                            <w:szCs w:val="24"/>
                          </w:rPr>
                        </w:pPr>
                        <w:r>
                          <w:rPr>
                            <w:rFonts w:eastAsia="Calibri"/>
                            <w:b/>
                            <w:bCs/>
                            <w:iCs/>
                            <w:color w:val="000000"/>
                            <w:szCs w:val="24"/>
                          </w:rPr>
                          <w:t>Vilkaviškio rajono</w:t>
                        </w:r>
                      </w:p>
                    </w:tc>
                    <w:tc>
                      <w:tcPr>
                        <w:tcW w:w="1779" w:type="dxa"/>
                      </w:tcPr>
                      <w:p w14:paraId="764E58BE" w14:textId="77777777">
                        <w:pPr>
                          <w:jc w:val="center"/>
                          <w:rPr>
                            <w:rFonts w:eastAsia="Calibri"/>
                            <w:b/>
                            <w:bCs/>
                            <w:iCs/>
                            <w:color w:val="000000"/>
                            <w:szCs w:val="24"/>
                          </w:rPr>
                        </w:pPr>
                        <w:r>
                          <w:rPr>
                            <w:rFonts w:eastAsia="Calibri"/>
                            <w:b/>
                            <w:bCs/>
                            <w:iCs/>
                            <w:color w:val="000000"/>
                            <w:szCs w:val="24"/>
                          </w:rPr>
                          <w:t>+</w:t>
                        </w:r>
                      </w:p>
                    </w:tc>
                    <w:tc>
                      <w:tcPr>
                        <w:tcW w:w="1550" w:type="dxa"/>
                      </w:tcPr>
                      <w:p w14:paraId="02D4189E" w14:textId="77777777">
                        <w:pPr>
                          <w:jc w:val="center"/>
                          <w:rPr>
                            <w:rFonts w:eastAsia="Calibri"/>
                            <w:b/>
                            <w:bCs/>
                            <w:iCs/>
                            <w:color w:val="000000"/>
                            <w:szCs w:val="24"/>
                          </w:rPr>
                        </w:pPr>
                        <w:r>
                          <w:rPr>
                            <w:rFonts w:eastAsia="Calibri"/>
                            <w:b/>
                            <w:bCs/>
                            <w:iCs/>
                            <w:color w:val="000000"/>
                            <w:szCs w:val="24"/>
                          </w:rPr>
                          <w:t>+</w:t>
                        </w:r>
                      </w:p>
                    </w:tc>
                    <w:tc>
                      <w:tcPr>
                        <w:tcW w:w="1456" w:type="dxa"/>
                      </w:tcPr>
                      <w:p w14:paraId="1DC104B9" w14:textId="77777777">
                        <w:pPr>
                          <w:jc w:val="center"/>
                          <w:rPr>
                            <w:rFonts w:eastAsia="Calibri"/>
                            <w:b/>
                            <w:bCs/>
                            <w:iCs/>
                            <w:color w:val="000000"/>
                            <w:szCs w:val="24"/>
                          </w:rPr>
                        </w:pPr>
                        <w:r>
                          <w:rPr>
                            <w:rFonts w:eastAsia="Calibri"/>
                            <w:b/>
                            <w:bCs/>
                            <w:iCs/>
                            <w:color w:val="000000"/>
                            <w:szCs w:val="24"/>
                          </w:rPr>
                          <w:t>+</w:t>
                        </w:r>
                      </w:p>
                    </w:tc>
                    <w:tc>
                      <w:tcPr>
                        <w:tcW w:w="1203" w:type="dxa"/>
                      </w:tcPr>
                      <w:p w14:paraId="10DEDDD7" w14:textId="77777777">
                        <w:pPr>
                          <w:jc w:val="center"/>
                          <w:rPr>
                            <w:rFonts w:eastAsia="Calibri"/>
                            <w:b/>
                            <w:bCs/>
                            <w:iCs/>
                            <w:color w:val="000000"/>
                            <w:szCs w:val="24"/>
                          </w:rPr>
                        </w:pPr>
                        <w:r>
                          <w:rPr>
                            <w:rFonts w:eastAsia="Calibri"/>
                            <w:b/>
                            <w:bCs/>
                            <w:iCs/>
                            <w:color w:val="000000"/>
                            <w:szCs w:val="24"/>
                          </w:rPr>
                          <w:t>+</w:t>
                        </w:r>
                      </w:p>
                    </w:tc>
                    <w:tc>
                      <w:tcPr>
                        <w:tcW w:w="1617" w:type="dxa"/>
                      </w:tcPr>
                      <w:p w14:paraId="50F1472A" w14:textId="77777777">
                        <w:pPr>
                          <w:jc w:val="center"/>
                          <w:rPr>
                            <w:rFonts w:eastAsia="Calibri"/>
                            <w:b/>
                            <w:bCs/>
                            <w:iCs/>
                            <w:color w:val="000000"/>
                            <w:szCs w:val="24"/>
                          </w:rPr>
                        </w:pPr>
                        <w:r>
                          <w:rPr>
                            <w:rFonts w:eastAsia="Calibri"/>
                            <w:b/>
                            <w:bCs/>
                            <w:iCs/>
                            <w:color w:val="000000"/>
                            <w:szCs w:val="24"/>
                          </w:rPr>
                          <w:t>+</w:t>
                        </w:r>
                      </w:p>
                    </w:tc>
                  </w:tr>
                </w:tbl>
                <w:p w14:paraId="6F6A6BBE" w14:textId="77777777">
                  <w:pPr>
                    <w:jc w:val="both"/>
                    <w:rPr>
                      <w:rFonts w:eastAsia="Calibri"/>
                      <w:iCs/>
                      <w:color w:val="000000"/>
                      <w:szCs w:val="24"/>
                    </w:rPr>
                  </w:pPr>
                </w:p>
                <w:p w14:paraId="60B45CCB" w14:textId="573CE058">
                  <w:pPr>
                    <w:ind w:firstLine="567"/>
                    <w:jc w:val="both"/>
                    <w:rPr>
                      <w:rFonts w:eastAsia="Calibri"/>
                      <w:iCs/>
                      <w:color w:val="000000"/>
                      <w:szCs w:val="24"/>
                    </w:rPr>
                  </w:pPr>
                  <w:r>
                    <w:rPr>
                      <w:rFonts w:eastAsia="Calibri"/>
                      <w:iCs/>
                      <w:color w:val="000000"/>
                      <w:szCs w:val="24"/>
                    </w:rPr>
                    <w:t xml:space="preserve">Naujas ikimokyklinio ugdymo vietas numatoma kurti 4-iose regiono ikimokyklinio ugdymo įstaigose, 3 iš jų yra įtrauktos į Mokyklų, įgyvendinančių ikimokyklinio ugdymo programas, žemėlapį, jame numatomas naujų vietų kūrimas. </w:t>
                  </w:r>
                </w:p>
                <w:p w14:paraId="28C6CF55" w14:textId="59267075">
                  <w:pPr>
                    <w:ind w:firstLine="567"/>
                    <w:jc w:val="both"/>
                    <w:rPr>
                      <w:rFonts w:eastAsia="Calibri"/>
                      <w:iCs/>
                      <w:color w:val="000000"/>
                      <w:szCs w:val="24"/>
                    </w:rPr>
                  </w:pPr>
                  <w:r>
                    <w:rPr>
                      <w:rFonts w:eastAsia="Calibri"/>
                      <w:iCs/>
                      <w:color w:val="000000"/>
                      <w:szCs w:val="24"/>
                    </w:rPr>
                    <w:t>Numatoma viso sukurti 80 naujų vietų:</w:t>
                  </w:r>
                </w:p>
                <w:p w14:paraId="23504C8D" w14:textId="77777777">
                  <w:pPr>
                    <w:ind w:firstLine="567"/>
                    <w:jc w:val="both"/>
                    <w:rPr>
                      <w:rFonts w:eastAsia="Calibri"/>
                      <w:iCs/>
                      <w:color w:val="000000"/>
                      <w:szCs w:val="24"/>
                    </w:rPr>
                  </w:pPr>
                  <w:r>
                    <w:rPr>
                      <w:rFonts w:eastAsia="Calibri"/>
                      <w:iCs/>
                      <w:color w:val="000000"/>
                      <w:szCs w:val="24"/>
                    </w:rPr>
                    <w:t xml:space="preserve">Kazlų Rūdos savivaldybė – 3 grupės, 40 vietų (1-2 metų 10 vaikų; 2-3 metų 30 vaikų); </w:t>
                  </w:r>
                </w:p>
                <w:p w14:paraId="33E8BF7E" w14:textId="77777777">
                  <w:pPr>
                    <w:ind w:firstLine="567"/>
                    <w:jc w:val="both"/>
                    <w:rPr>
                      <w:rFonts w:eastAsia="Calibri"/>
                      <w:iCs/>
                      <w:color w:val="000000"/>
                      <w:szCs w:val="24"/>
                    </w:rPr>
                  </w:pPr>
                  <w:r>
                    <w:rPr>
                      <w:rFonts w:eastAsia="Calibri"/>
                      <w:iCs/>
                      <w:color w:val="000000"/>
                      <w:szCs w:val="24"/>
                    </w:rPr>
                    <w:t xml:space="preserve">Šakių rajono – 1 grupė, 10 vietų (2-3 metų 10 vaikų); </w:t>
                  </w:r>
                </w:p>
                <w:p w14:paraId="3A07ADE3" w14:textId="3EA2AEE0">
                  <w:pPr>
                    <w:ind w:firstLine="567"/>
                    <w:jc w:val="both"/>
                    <w:rPr>
                      <w:rFonts w:eastAsia="Calibri"/>
                      <w:iCs/>
                      <w:color w:val="000000"/>
                      <w:szCs w:val="24"/>
                    </w:rPr>
                  </w:pPr>
                  <w:r>
                    <w:rPr>
                      <w:rFonts w:eastAsia="Calibri"/>
                      <w:iCs/>
                      <w:color w:val="000000"/>
                      <w:szCs w:val="24"/>
                    </w:rPr>
                    <w:t>Vilkaviškio rajono – 2 grupės, 30 vietų (1,5-2 metų 15 vaikų; 4-5 metų 15 vaikų).</w:t>
                  </w:r>
                </w:p>
                <w:p w14:paraId="0258D2DB" w14:textId="3AAC24BD">
                  <w:pPr>
                    <w:ind w:firstLine="567"/>
                    <w:jc w:val="both"/>
                    <w:rPr>
                      <w:color w:val="000000"/>
                      <w:szCs w:val="24"/>
                    </w:rPr>
                  </w:pPr>
                  <w:r>
                    <w:rPr>
                      <w:rFonts w:eastAsia="Calibri"/>
                      <w:iCs/>
                      <w:color w:val="000000"/>
                      <w:szCs w:val="24"/>
                    </w:rPr>
                    <w:t>9</w:t>
                  </w:r>
                  <w:r>
                    <w:rPr>
                      <w:rFonts w:eastAsia="Calibri"/>
                      <w:color w:val="000000"/>
                      <w:szCs w:val="24"/>
                    </w:rPr>
                    <w:t>-iose mokyklose n</w:t>
                  </w:r>
                  <w:r>
                    <w:rPr>
                      <w:rFonts w:eastAsia="Calibri"/>
                      <w:iCs/>
                      <w:color w:val="000000"/>
                      <w:szCs w:val="24"/>
                    </w:rPr>
                    <w:t>umatoma įrengti universalaus dizaino elementus ir kitas inžinerines priemones ir (arba) įsigyti transporto priemones, pritaikytas neįgaliųjų pavėžėjimui. Nė vienos iš šių mokyklų savivaldybių tinklo pertvarkos planuose nėra numatoma likviduoti ar uždaryti, 8</w:t>
                  </w:r>
                  <w:r>
                    <w:rPr>
                      <w:rFonts w:eastAsia="Calibri"/>
                      <w:color w:val="000000"/>
                      <w:szCs w:val="24"/>
                    </w:rPr>
                    <w:t xml:space="preserve"> mokyklose </w:t>
                  </w:r>
                  <w:r>
                    <w:rPr>
                      <w:rFonts w:eastAsia="Calibri"/>
                      <w:iCs/>
                      <w:color w:val="000000"/>
                      <w:szCs w:val="24"/>
                    </w:rPr>
                    <w:t xml:space="preserve">yra daugiau nei 200 mokinių, 1 mokykloje–daugiafunkciame centre mokinių skaičius nesiekia 200 mokinių, tačiau šioje mokykloje–daugiafunkciame centre būtinas veiklų įgyvendinimas dėl jos specifikos – tai </w:t>
                  </w:r>
                  <w:r>
                    <w:rPr>
                      <w:color w:val="000000"/>
                      <w:szCs w:val="24"/>
                    </w:rPr>
                    <w:t>mokykla–daugiafunkcis centras, kurio pagrindinė paskirtis – pagrindinės mokyklos tipo mokykla-daugiafunkcis centras, kita (ne pagrindinė) paskirtis – ikimokyklinio ugdymo grupės įstaiga lopšelis-darželis, pagrindinės mokyklos tipo specialioji mokykla-daugiafunkcis centras, kuriame sudarytos sąlygos mokytis mokiniams, dėl įgimtų ar įgytų sutrikimų turintiems didelių ar labai didelių specialiųjų ugdymosi poreikių (vykdomos švietimo programos: ikimokyklinio ugdymo programa, pritaikyta ikimokyklinio ugdymo programa, priešmokyklinio ugdymo programa, pritaikyta priešmokyklinio ugdymo programa, pradinio ugdymo programa, pritaikyta pradinio ugdymo programa, pradinio ugdymo individualizuota programa, pagrindinio ugdymo individualizuota programa, neformaliojo vaikų švietimo programos).</w:t>
                  </w:r>
                </w:p>
                <w:p w14:paraId="49CC3BDF" w14:textId="792707AC">
                  <w:pPr>
                    <w:ind w:firstLine="567"/>
                    <w:jc w:val="both"/>
                    <w:rPr>
                      <w:color w:val="000000"/>
                      <w:szCs w:val="24"/>
                    </w:rPr>
                  </w:pPr>
                  <w:r>
                    <w:rPr>
                      <w:color w:val="000000"/>
                      <w:szCs w:val="24"/>
                    </w:rPr>
                    <w:t>Marijampolės regione pasirinkta pažangos priemonės lėšomis įrengti universalaus dizaino ir kitas inžinerines priemones, pritaikant patalpas ir mokyklų teritoriją neįgaliųjų poreikiams, taip pat įsigyti 5 ugdymo įstaigose 5 transporto priemones pavėžėjimui, kurios bus lengvai pritaikomos neįgaliųjų poreikiams, atsižvelgiant į jau pritaikytų mokyklų skaičių bei mokyklų mokinių skaičių ir jų ilgalaikės veiklos perspektyvas.</w:t>
                  </w:r>
                </w:p>
                <w:p w14:paraId="6E97670F" w14:textId="77777777">
                  <w:pPr>
                    <w:jc w:val="both"/>
                    <w:rPr>
                      <w:b/>
                      <w:bCs/>
                      <w:color w:val="000000"/>
                      <w:sz w:val="12"/>
                      <w:szCs w:val="12"/>
                    </w:rPr>
                  </w:pPr>
                </w:p>
              </w:sdtContent>
            </w:sdt>
            <w:sdt>
              <w:sdtPr>
                <w:alias w:val="poskyris"/>
                <w:tag w:val="part_b2737d07a8494b1685adc06058749196"/>
                <w:lock w:val="sdtLocked"/>
                <w:richText/>
              </w:sdtPr>
              <w:sdtContent>
                <w:p w14:paraId="3B21B6EC" w14:textId="00700AC1">
                  <w:pPr>
                    <w:jc w:val="both"/>
                    <w:rPr>
                      <w:b/>
                      <w:bCs/>
                      <w:color w:val="000000"/>
                      <w:szCs w:val="24"/>
                    </w:rPr>
                  </w:pPr>
                  <w:sdt>
                    <w:sdtPr>
                      <w:alias w:val="Pavadinimas"/>
                      <w:tag w:val="title_b2737d07a8494b1685adc06058749196"/>
                      <w:lock w:val="sdtLocked"/>
                      <w:richText/>
                    </w:sdtPr>
                    <w:sdtContent>
                      <w:r>
                        <w:rPr>
                          <w:b/>
                          <w:bCs/>
                          <w:color w:val="000000"/>
                          <w:szCs w:val="24"/>
                        </w:rPr>
                        <w:t xml:space="preserve">Planuojamos investicijos pažangos priemonės lėšomis savivaldybėse diegiant universalaus dizaino priemones ir užtikrinant pavėžėjimą </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276"/>
                    <w:gridCol w:w="1985"/>
                    <w:gridCol w:w="2268"/>
                    <w:gridCol w:w="2524"/>
                  </w:tblGrid>
                  <w:tr w14:paraId="32D37EDE" w14:textId="77777777">
                    <w:tc>
                      <w:tcPr>
                        <w:tcW w:w="1696" w:type="dxa"/>
                        <w:shd w:val="clear" w:color="auto" w:fill="D9D9D9" w:themeFill="background1" w:themeFillShade="D9"/>
                        <w:vAlign w:val="center"/>
                      </w:tcPr>
                      <w:p w14:paraId="17735E91" w14:textId="77777777">
                        <w:pPr>
                          <w:jc w:val="center"/>
                          <w:rPr>
                            <w:b/>
                            <w:bCs/>
                            <w:color w:val="000000"/>
                            <w:sz w:val="22"/>
                            <w:szCs w:val="22"/>
                          </w:rPr>
                        </w:pPr>
                        <w:r>
                          <w:rPr>
                            <w:b/>
                            <w:bCs/>
                            <w:color w:val="000000"/>
                            <w:sz w:val="22"/>
                            <w:szCs w:val="22"/>
                          </w:rPr>
                          <w:t>Savivaldybė</w:t>
                        </w:r>
                      </w:p>
                    </w:tc>
                    <w:tc>
                      <w:tcPr>
                        <w:tcW w:w="1276" w:type="dxa"/>
                        <w:shd w:val="clear" w:color="auto" w:fill="D9D9D9" w:themeFill="background1" w:themeFillShade="D9"/>
                        <w:vAlign w:val="center"/>
                      </w:tcPr>
                      <w:p w14:paraId="3FFFAA8E" w14:textId="28B67671">
                        <w:pPr>
                          <w:jc w:val="center"/>
                          <w:rPr>
                            <w:b/>
                            <w:bCs/>
                            <w:color w:val="000000"/>
                            <w:sz w:val="22"/>
                            <w:szCs w:val="22"/>
                          </w:rPr>
                        </w:pPr>
                        <w:r>
                          <w:rPr>
                            <w:b/>
                            <w:bCs/>
                            <w:color w:val="000000"/>
                            <w:sz w:val="22"/>
                            <w:szCs w:val="22"/>
                          </w:rPr>
                          <w:t>Pritaikytų mokyklų skaičius</w:t>
                        </w:r>
                        <w:r>
                          <w:rPr>
                            <w:b/>
                            <w:bCs/>
                            <w:color w:val="000000"/>
                            <w:sz w:val="22"/>
                            <w:szCs w:val="22"/>
                            <w:vertAlign w:val="superscript"/>
                          </w:rPr>
                          <w:t>9</w:t>
                        </w:r>
                      </w:p>
                    </w:tc>
                    <w:tc>
                      <w:tcPr>
                        <w:tcW w:w="1985" w:type="dxa"/>
                        <w:shd w:val="clear" w:color="auto" w:fill="D9D9D9" w:themeFill="background1" w:themeFillShade="D9"/>
                        <w:vAlign w:val="center"/>
                      </w:tcPr>
                      <w:p w14:paraId="4E3EE72C" w14:textId="7DB920C6">
                        <w:pPr>
                          <w:jc w:val="center"/>
                          <w:rPr>
                            <w:b/>
                            <w:bCs/>
                            <w:color w:val="000000"/>
                            <w:sz w:val="22"/>
                            <w:szCs w:val="22"/>
                          </w:rPr>
                        </w:pPr>
                        <w:r>
                          <w:rPr>
                            <w:b/>
                            <w:bCs/>
                            <w:color w:val="000000"/>
                            <w:sz w:val="22"/>
                            <w:szCs w:val="22"/>
                          </w:rPr>
                          <w:t>Mokyklų, kurias numatoma pritaikyti, skaičius</w:t>
                        </w:r>
                      </w:p>
                    </w:tc>
                    <w:tc>
                      <w:tcPr>
                        <w:tcW w:w="2268" w:type="dxa"/>
                        <w:shd w:val="clear" w:color="auto" w:fill="D9D9D9" w:themeFill="background1" w:themeFillShade="D9"/>
                        <w:vAlign w:val="center"/>
                      </w:tcPr>
                      <w:p w14:paraId="5E3757CD" w14:textId="3FFBA959">
                        <w:pPr>
                          <w:jc w:val="center"/>
                          <w:rPr>
                            <w:b/>
                            <w:bCs/>
                            <w:color w:val="000000"/>
                            <w:sz w:val="22"/>
                            <w:szCs w:val="22"/>
                          </w:rPr>
                        </w:pPr>
                        <w:r>
                          <w:rPr>
                            <w:b/>
                            <w:bCs/>
                            <w:color w:val="000000"/>
                            <w:sz w:val="22"/>
                            <w:szCs w:val="22"/>
                          </w:rPr>
                          <w:t xml:space="preserve">Mokinių skaičius mokyklose, kuriose numatomos investicijos </w:t>
                        </w:r>
                      </w:p>
                    </w:tc>
                    <w:tc>
                      <w:tcPr>
                        <w:tcW w:w="2524" w:type="dxa"/>
                        <w:shd w:val="clear" w:color="auto" w:fill="D9D9D9" w:themeFill="background1" w:themeFillShade="D9"/>
                        <w:vAlign w:val="center"/>
                      </w:tcPr>
                      <w:p w14:paraId="0C3044FE" w14:textId="2E460094">
                        <w:pPr>
                          <w:jc w:val="center"/>
                          <w:rPr>
                            <w:b/>
                            <w:bCs/>
                            <w:color w:val="000000"/>
                            <w:sz w:val="22"/>
                            <w:szCs w:val="22"/>
                          </w:rPr>
                        </w:pPr>
                        <w:r>
                          <w:rPr>
                            <w:b/>
                            <w:bCs/>
                            <w:color w:val="000000"/>
                            <w:sz w:val="22"/>
                            <w:szCs w:val="22"/>
                          </w:rPr>
                          <w:t xml:space="preserve">Transporto priemonės pavėžėjimui, kurias numatoma įsigyti </w:t>
                        </w:r>
                      </w:p>
                    </w:tc>
                  </w:tr>
                  <w:tr w14:paraId="573EC869" w14:textId="77777777">
                    <w:tc>
                      <w:tcPr>
                        <w:tcW w:w="1696" w:type="dxa"/>
                        <w:shd w:val="clear" w:color="auto" w:fill="D9D9D9" w:themeFill="background1" w:themeFillShade="D9"/>
                      </w:tcPr>
                      <w:p w14:paraId="76B6E622" w14:textId="77777777">
                        <w:pPr>
                          <w:jc w:val="both"/>
                          <w:rPr>
                            <w:b/>
                            <w:bCs/>
                            <w:color w:val="000000"/>
                            <w:sz w:val="22"/>
                            <w:szCs w:val="22"/>
                          </w:rPr>
                        </w:pPr>
                        <w:r>
                          <w:rPr>
                            <w:b/>
                            <w:bCs/>
                            <w:color w:val="000000"/>
                            <w:sz w:val="22"/>
                            <w:szCs w:val="22"/>
                          </w:rPr>
                          <w:t xml:space="preserve">Kalvarijos </w:t>
                        </w:r>
                      </w:p>
                    </w:tc>
                    <w:tc>
                      <w:tcPr>
                        <w:tcW w:w="1276" w:type="dxa"/>
                      </w:tcPr>
                      <w:p w14:paraId="61A79E3C" w14:textId="77777777">
                        <w:pPr>
                          <w:rPr>
                            <w:color w:val="000000"/>
                            <w:sz w:val="22"/>
                            <w:szCs w:val="22"/>
                          </w:rPr>
                        </w:pPr>
                        <w:r>
                          <w:rPr>
                            <w:color w:val="000000"/>
                            <w:sz w:val="22"/>
                            <w:szCs w:val="22"/>
                          </w:rPr>
                          <w:t>0</w:t>
                        </w:r>
                      </w:p>
                    </w:tc>
                    <w:tc>
                      <w:tcPr>
                        <w:tcW w:w="1985" w:type="dxa"/>
                      </w:tcPr>
                      <w:p w14:paraId="766E559C" w14:textId="77777777">
                        <w:pPr>
                          <w:rPr>
                            <w:color w:val="000000"/>
                            <w:sz w:val="22"/>
                            <w:szCs w:val="22"/>
                          </w:rPr>
                        </w:pPr>
                        <w:r>
                          <w:rPr>
                            <w:color w:val="000000"/>
                            <w:sz w:val="22"/>
                            <w:szCs w:val="22"/>
                          </w:rPr>
                          <w:t>1</w:t>
                        </w:r>
                      </w:p>
                    </w:tc>
                    <w:tc>
                      <w:tcPr>
                        <w:tcW w:w="2268" w:type="dxa"/>
                      </w:tcPr>
                      <w:p w14:paraId="01D73E82" w14:textId="77777777">
                        <w:pPr>
                          <w:rPr>
                            <w:color w:val="000000"/>
                            <w:sz w:val="22"/>
                            <w:szCs w:val="22"/>
                          </w:rPr>
                        </w:pPr>
                        <w:r>
                          <w:rPr>
                            <w:color w:val="000000"/>
                            <w:sz w:val="22"/>
                            <w:szCs w:val="22"/>
                          </w:rPr>
                          <w:t>718</w:t>
                        </w:r>
                      </w:p>
                    </w:tc>
                    <w:tc>
                      <w:tcPr>
                        <w:tcW w:w="2524" w:type="dxa"/>
                      </w:tcPr>
                      <w:p w14:paraId="3985A604" w14:textId="2BDABA2C">
                        <w:pPr>
                          <w:rPr>
                            <w:color w:val="000000"/>
                            <w:sz w:val="22"/>
                            <w:szCs w:val="22"/>
                          </w:rPr>
                        </w:pPr>
                        <w:r>
                          <w:rPr>
                            <w:color w:val="000000"/>
                            <w:sz w:val="22"/>
                            <w:szCs w:val="22"/>
                          </w:rPr>
                          <w:t>nenumatoma</w:t>
                        </w:r>
                      </w:p>
                    </w:tc>
                  </w:tr>
                  <w:tr w14:paraId="47C35969" w14:textId="77777777">
                    <w:tc>
                      <w:tcPr>
                        <w:tcW w:w="1696" w:type="dxa"/>
                        <w:shd w:val="clear" w:color="auto" w:fill="D9D9D9" w:themeFill="background1" w:themeFillShade="D9"/>
                      </w:tcPr>
                      <w:p w14:paraId="2BC31EAC" w14:textId="5C1AB0D5">
                        <w:pPr>
                          <w:jc w:val="both"/>
                          <w:rPr>
                            <w:b/>
                            <w:bCs/>
                            <w:color w:val="000000"/>
                            <w:sz w:val="22"/>
                            <w:szCs w:val="22"/>
                          </w:rPr>
                        </w:pPr>
                        <w:r>
                          <w:rPr>
                            <w:b/>
                            <w:bCs/>
                            <w:color w:val="000000"/>
                            <w:sz w:val="22"/>
                            <w:szCs w:val="22"/>
                          </w:rPr>
                          <w:t>Kazlų Rūdos</w:t>
                        </w:r>
                      </w:p>
                    </w:tc>
                    <w:tc>
                      <w:tcPr>
                        <w:tcW w:w="1276" w:type="dxa"/>
                      </w:tcPr>
                      <w:p w14:paraId="777C7623" w14:textId="06FEB958">
                        <w:pPr>
                          <w:rPr>
                            <w:color w:val="000000"/>
                            <w:sz w:val="22"/>
                            <w:szCs w:val="22"/>
                          </w:rPr>
                        </w:pPr>
                        <w:r>
                          <w:rPr>
                            <w:color w:val="000000"/>
                            <w:sz w:val="22"/>
                            <w:szCs w:val="22"/>
                          </w:rPr>
                          <w:t>1</w:t>
                        </w:r>
                      </w:p>
                    </w:tc>
                    <w:tc>
                      <w:tcPr>
                        <w:tcW w:w="1985" w:type="dxa"/>
                      </w:tcPr>
                      <w:p w14:paraId="7CCD0BC1" w14:textId="54F6C1CB">
                        <w:pPr>
                          <w:rPr>
                            <w:color w:val="000000"/>
                            <w:sz w:val="22"/>
                            <w:szCs w:val="22"/>
                          </w:rPr>
                        </w:pPr>
                        <w:r>
                          <w:rPr>
                            <w:color w:val="000000"/>
                            <w:sz w:val="22"/>
                            <w:szCs w:val="22"/>
                          </w:rPr>
                          <w:t>nenumatoma</w:t>
                        </w:r>
                      </w:p>
                    </w:tc>
                    <w:tc>
                      <w:tcPr>
                        <w:tcW w:w="2268" w:type="dxa"/>
                      </w:tcPr>
                      <w:p w14:paraId="6148F2CF" w14:textId="5D83EDD4">
                        <w:pPr>
                          <w:rPr>
                            <w:color w:val="000000"/>
                            <w:sz w:val="22"/>
                            <w:szCs w:val="22"/>
                          </w:rPr>
                        </w:pPr>
                        <w:r>
                          <w:rPr>
                            <w:color w:val="000000"/>
                            <w:sz w:val="22"/>
                            <w:szCs w:val="22"/>
                          </w:rPr>
                          <w:t>-</w:t>
                        </w:r>
                      </w:p>
                    </w:tc>
                    <w:tc>
                      <w:tcPr>
                        <w:tcW w:w="2524" w:type="dxa"/>
                      </w:tcPr>
                      <w:p w14:paraId="4697C73D" w14:textId="01A96301">
                        <w:pPr>
                          <w:rPr>
                            <w:color w:val="000000"/>
                            <w:sz w:val="22"/>
                            <w:szCs w:val="22"/>
                          </w:rPr>
                        </w:pPr>
                        <w:r>
                          <w:rPr>
                            <w:color w:val="000000"/>
                            <w:sz w:val="22"/>
                            <w:szCs w:val="22"/>
                          </w:rPr>
                          <w:t>nenumatoma</w:t>
                        </w:r>
                      </w:p>
                    </w:tc>
                  </w:tr>
                  <w:tr w14:paraId="5D4D6385" w14:textId="77777777">
                    <w:tc>
                      <w:tcPr>
                        <w:tcW w:w="1696" w:type="dxa"/>
                        <w:shd w:val="clear" w:color="auto" w:fill="D9D9D9" w:themeFill="background1" w:themeFillShade="D9"/>
                      </w:tcPr>
                      <w:p w14:paraId="1E9B56A3" w14:textId="77777777">
                        <w:pPr>
                          <w:jc w:val="both"/>
                          <w:rPr>
                            <w:b/>
                            <w:bCs/>
                            <w:color w:val="000000"/>
                            <w:sz w:val="22"/>
                            <w:szCs w:val="22"/>
                          </w:rPr>
                        </w:pPr>
                        <w:r>
                          <w:rPr>
                            <w:b/>
                            <w:bCs/>
                            <w:color w:val="000000"/>
                            <w:sz w:val="22"/>
                            <w:szCs w:val="22"/>
                          </w:rPr>
                          <w:t xml:space="preserve">Marijampolės </w:t>
                        </w:r>
                      </w:p>
                    </w:tc>
                    <w:tc>
                      <w:tcPr>
                        <w:tcW w:w="1276" w:type="dxa"/>
                      </w:tcPr>
                      <w:p w14:paraId="485773AC" w14:textId="77777777">
                        <w:pPr>
                          <w:rPr>
                            <w:color w:val="000000"/>
                            <w:sz w:val="22"/>
                            <w:szCs w:val="22"/>
                          </w:rPr>
                        </w:pPr>
                        <w:r>
                          <w:rPr>
                            <w:color w:val="000000"/>
                            <w:sz w:val="22"/>
                            <w:szCs w:val="22"/>
                          </w:rPr>
                          <w:t>1</w:t>
                        </w:r>
                      </w:p>
                    </w:tc>
                    <w:tc>
                      <w:tcPr>
                        <w:tcW w:w="1985" w:type="dxa"/>
                      </w:tcPr>
                      <w:p w14:paraId="5DFD59C3" w14:textId="77777777">
                        <w:pPr>
                          <w:rPr>
                            <w:color w:val="000000"/>
                            <w:sz w:val="22"/>
                            <w:szCs w:val="22"/>
                          </w:rPr>
                        </w:pPr>
                        <w:r>
                          <w:rPr>
                            <w:color w:val="000000"/>
                            <w:sz w:val="22"/>
                            <w:szCs w:val="22"/>
                          </w:rPr>
                          <w:t>3</w:t>
                        </w:r>
                      </w:p>
                    </w:tc>
                    <w:tc>
                      <w:tcPr>
                        <w:tcW w:w="2268" w:type="dxa"/>
                      </w:tcPr>
                      <w:p w14:paraId="5B69643B" w14:textId="2F7DAF8A">
                        <w:pPr>
                          <w:rPr>
                            <w:color w:val="000000"/>
                            <w:sz w:val="22"/>
                            <w:szCs w:val="22"/>
                          </w:rPr>
                        </w:pPr>
                        <w:r>
                          <w:rPr>
                            <w:color w:val="000000"/>
                            <w:sz w:val="22"/>
                            <w:szCs w:val="22"/>
                          </w:rPr>
                          <w:t>804; 624; 192 (mokykla–daugiafunkcis centras)</w:t>
                        </w:r>
                      </w:p>
                    </w:tc>
                    <w:tc>
                      <w:tcPr>
                        <w:tcW w:w="2524" w:type="dxa"/>
                      </w:tcPr>
                      <w:p w14:paraId="753715D4" w14:textId="100126D5">
                        <w:pPr>
                          <w:rPr>
                            <w:color w:val="000000"/>
                            <w:sz w:val="22"/>
                            <w:szCs w:val="22"/>
                          </w:rPr>
                        </w:pPr>
                        <w:r>
                          <w:rPr>
                            <w:color w:val="000000"/>
                            <w:sz w:val="22"/>
                            <w:szCs w:val="22"/>
                          </w:rPr>
                          <w:t>nenumatoma</w:t>
                        </w:r>
                      </w:p>
                    </w:tc>
                  </w:tr>
                  <w:tr w14:paraId="66A12135" w14:textId="77777777">
                    <w:tc>
                      <w:tcPr>
                        <w:tcW w:w="1696" w:type="dxa"/>
                        <w:shd w:val="clear" w:color="auto" w:fill="D9D9D9" w:themeFill="background1" w:themeFillShade="D9"/>
                      </w:tcPr>
                      <w:p w14:paraId="7CEFC8BE" w14:textId="77777777">
                        <w:pPr>
                          <w:jc w:val="both"/>
                          <w:rPr>
                            <w:b/>
                            <w:bCs/>
                            <w:color w:val="000000"/>
                            <w:sz w:val="22"/>
                            <w:szCs w:val="22"/>
                          </w:rPr>
                        </w:pPr>
                        <w:r>
                          <w:rPr>
                            <w:b/>
                            <w:bCs/>
                            <w:color w:val="000000"/>
                            <w:sz w:val="22"/>
                            <w:szCs w:val="22"/>
                          </w:rPr>
                          <w:t>Šakių rajono</w:t>
                        </w:r>
                      </w:p>
                    </w:tc>
                    <w:tc>
                      <w:tcPr>
                        <w:tcW w:w="1276" w:type="dxa"/>
                      </w:tcPr>
                      <w:p w14:paraId="15F522A7" w14:textId="77777777">
                        <w:pPr>
                          <w:rPr>
                            <w:color w:val="000000"/>
                            <w:sz w:val="22"/>
                            <w:szCs w:val="22"/>
                          </w:rPr>
                        </w:pPr>
                        <w:r>
                          <w:rPr>
                            <w:color w:val="000000"/>
                            <w:sz w:val="22"/>
                            <w:szCs w:val="22"/>
                          </w:rPr>
                          <w:t>0</w:t>
                        </w:r>
                      </w:p>
                    </w:tc>
                    <w:tc>
                      <w:tcPr>
                        <w:tcW w:w="1985" w:type="dxa"/>
                      </w:tcPr>
                      <w:p w14:paraId="783F1D6F" w14:textId="4AA67768">
                        <w:pPr>
                          <w:rPr>
                            <w:color w:val="000000"/>
                            <w:sz w:val="22"/>
                            <w:szCs w:val="22"/>
                          </w:rPr>
                        </w:pPr>
                        <w:r>
                          <w:rPr>
                            <w:color w:val="000000"/>
                            <w:sz w:val="22"/>
                            <w:szCs w:val="22"/>
                          </w:rPr>
                          <w:t>nenumatoma</w:t>
                        </w:r>
                      </w:p>
                    </w:tc>
                    <w:tc>
                      <w:tcPr>
                        <w:tcW w:w="2268" w:type="dxa"/>
                      </w:tcPr>
                      <w:p w14:paraId="28591114" w14:textId="77777777">
                        <w:pPr>
                          <w:rPr>
                            <w:color w:val="000000"/>
                            <w:sz w:val="22"/>
                            <w:szCs w:val="22"/>
                          </w:rPr>
                        </w:pPr>
                        <w:r>
                          <w:rPr>
                            <w:color w:val="000000"/>
                            <w:sz w:val="22"/>
                            <w:szCs w:val="22"/>
                          </w:rPr>
                          <w:t>253; 282; 264</w:t>
                        </w:r>
                      </w:p>
                    </w:tc>
                    <w:tc>
                      <w:tcPr>
                        <w:tcW w:w="2524" w:type="dxa"/>
                      </w:tcPr>
                      <w:p w14:paraId="11C4EF4A" w14:textId="77777777">
                        <w:pPr>
                          <w:rPr>
                            <w:color w:val="000000"/>
                            <w:sz w:val="22"/>
                            <w:szCs w:val="22"/>
                          </w:rPr>
                        </w:pPr>
                        <w:r>
                          <w:rPr>
                            <w:color w:val="000000"/>
                            <w:sz w:val="22"/>
                            <w:szCs w:val="22"/>
                          </w:rPr>
                          <w:t>4 transporto priemonės</w:t>
                        </w:r>
                      </w:p>
                      <w:p w14:paraId="7BF0F983" w14:textId="4B1C9AD0">
                        <w:pPr>
                          <w:rPr>
                            <w:color w:val="000000"/>
                            <w:sz w:val="22"/>
                            <w:szCs w:val="22"/>
                          </w:rPr>
                        </w:pPr>
                        <w:r>
                          <w:rPr>
                            <w:color w:val="000000"/>
                            <w:sz w:val="22"/>
                            <w:szCs w:val="22"/>
                          </w:rPr>
                          <w:t>(3 mokyklos ir 1 darželis)</w:t>
                        </w:r>
                      </w:p>
                    </w:tc>
                  </w:tr>
                  <w:tr w14:paraId="149B0D5B" w14:textId="77777777">
                    <w:tc>
                      <w:tcPr>
                        <w:tcW w:w="1696" w:type="dxa"/>
                        <w:shd w:val="clear" w:color="auto" w:fill="D9D9D9" w:themeFill="background1" w:themeFillShade="D9"/>
                      </w:tcPr>
                      <w:p w14:paraId="4E83C997" w14:textId="77777777">
                        <w:pPr>
                          <w:jc w:val="both"/>
                          <w:rPr>
                            <w:b/>
                            <w:bCs/>
                            <w:color w:val="000000"/>
                            <w:sz w:val="22"/>
                            <w:szCs w:val="22"/>
                          </w:rPr>
                        </w:pPr>
                        <w:r>
                          <w:rPr>
                            <w:b/>
                            <w:bCs/>
                            <w:color w:val="000000"/>
                            <w:sz w:val="22"/>
                            <w:szCs w:val="22"/>
                          </w:rPr>
                          <w:t>Vilkaviškio rajono</w:t>
                        </w:r>
                      </w:p>
                    </w:tc>
                    <w:tc>
                      <w:tcPr>
                        <w:tcW w:w="1276" w:type="dxa"/>
                      </w:tcPr>
                      <w:p w14:paraId="30D98FCE" w14:textId="77777777">
                        <w:pPr>
                          <w:rPr>
                            <w:color w:val="000000"/>
                            <w:sz w:val="22"/>
                            <w:szCs w:val="22"/>
                          </w:rPr>
                        </w:pPr>
                        <w:r>
                          <w:rPr>
                            <w:color w:val="000000"/>
                            <w:sz w:val="22"/>
                            <w:szCs w:val="22"/>
                          </w:rPr>
                          <w:t>1</w:t>
                        </w:r>
                      </w:p>
                    </w:tc>
                    <w:tc>
                      <w:tcPr>
                        <w:tcW w:w="1985" w:type="dxa"/>
                      </w:tcPr>
                      <w:p w14:paraId="256EA588" w14:textId="77777777">
                        <w:pPr>
                          <w:rPr>
                            <w:color w:val="000000"/>
                            <w:sz w:val="22"/>
                            <w:szCs w:val="22"/>
                          </w:rPr>
                        </w:pPr>
                        <w:r>
                          <w:rPr>
                            <w:color w:val="000000"/>
                            <w:sz w:val="22"/>
                            <w:szCs w:val="22"/>
                          </w:rPr>
                          <w:t>2</w:t>
                        </w:r>
                      </w:p>
                    </w:tc>
                    <w:tc>
                      <w:tcPr>
                        <w:tcW w:w="2268" w:type="dxa"/>
                      </w:tcPr>
                      <w:p w14:paraId="20D12820" w14:textId="77777777">
                        <w:pPr>
                          <w:rPr>
                            <w:color w:val="000000"/>
                            <w:sz w:val="22"/>
                            <w:szCs w:val="22"/>
                          </w:rPr>
                        </w:pPr>
                        <w:r>
                          <w:rPr>
                            <w:color w:val="000000"/>
                            <w:sz w:val="22"/>
                            <w:szCs w:val="22"/>
                          </w:rPr>
                          <w:t>506; 597</w:t>
                        </w:r>
                      </w:p>
                    </w:tc>
                    <w:tc>
                      <w:tcPr>
                        <w:tcW w:w="2524" w:type="dxa"/>
                      </w:tcPr>
                      <w:p w14:paraId="7DC2F5D2" w14:textId="77777777">
                        <w:pPr>
                          <w:rPr>
                            <w:color w:val="000000"/>
                            <w:sz w:val="22"/>
                            <w:szCs w:val="22"/>
                          </w:rPr>
                        </w:pPr>
                        <w:r>
                          <w:rPr>
                            <w:color w:val="000000"/>
                            <w:sz w:val="22"/>
                            <w:szCs w:val="22"/>
                          </w:rPr>
                          <w:t xml:space="preserve">1 transporto priemonė </w:t>
                        </w:r>
                      </w:p>
                      <w:p w14:paraId="12FD25AD" w14:textId="236BE87E">
                        <w:pPr>
                          <w:rPr>
                            <w:color w:val="000000"/>
                            <w:sz w:val="22"/>
                            <w:szCs w:val="22"/>
                          </w:rPr>
                        </w:pPr>
                        <w:r>
                          <w:rPr>
                            <w:color w:val="000000"/>
                            <w:sz w:val="22"/>
                            <w:szCs w:val="22"/>
                          </w:rPr>
                          <w:t>(1 mokykla)</w:t>
                        </w:r>
                      </w:p>
                    </w:tc>
                  </w:tr>
                </w:tbl>
                <w:p w14:paraId="5064E5AF" w14:textId="77777777">
                  <w:pPr>
                    <w:ind w:firstLine="567"/>
                    <w:jc w:val="both"/>
                    <w:rPr>
                      <w:rFonts w:eastAsia="Calibri"/>
                      <w:iCs/>
                      <w:color w:val="000000"/>
                      <w:szCs w:val="24"/>
                    </w:rPr>
                  </w:pPr>
                </w:p>
                <w:p w14:paraId="249DDFBF" w14:textId="5E974FBA">
                  <w:pPr>
                    <w:ind w:firstLine="567"/>
                    <w:jc w:val="both"/>
                    <w:rPr>
                      <w:rFonts w:eastAsia="Calibri"/>
                      <w:iCs/>
                      <w:color w:val="000000"/>
                      <w:szCs w:val="24"/>
                    </w:rPr>
                  </w:pPr>
                  <w:r>
                    <w:rPr>
                      <w:rFonts w:eastAsia="Calibri"/>
                      <w:iCs/>
                      <w:color w:val="000000"/>
                      <w:szCs w:val="24"/>
                    </w:rPr>
                    <w:t xml:space="preserve">Įgyvendinant projektus, skirtus visos dienos mokyklos modelio plėtrai, numatoma </w:t>
                  </w:r>
                  <w:r>
                    <w:rPr>
                      <w:rFonts w:eastAsia="Calibri"/>
                      <w:color w:val="000000"/>
                      <w:szCs w:val="24"/>
                    </w:rPr>
                    <w:t xml:space="preserve">19 </w:t>
                  </w:r>
                  <w:r>
                    <w:rPr>
                      <w:rFonts w:eastAsia="Calibri"/>
                      <w:iCs/>
                      <w:color w:val="000000"/>
                      <w:szCs w:val="24"/>
                    </w:rPr>
                    <w:t>Marijampolės regiono mokyklų pritaikyti visos dienos mokyklos veikloms, nė vienos iš šių mokyklų savivaldybių mokyklų tinklo pertvarkos planuose nenumatoma uždaryti ar likviduoti; taip pat numatoma 10 ikimokyklinio ugdymo įstaigų pritaikyti visos dienos mokyklos veikloms.</w:t>
                  </w:r>
                </w:p>
                <w:p w14:paraId="579D611A" w14:textId="77777777">
                  <w:pPr>
                    <w:ind w:firstLine="567"/>
                    <w:jc w:val="both"/>
                    <w:rPr>
                      <w:rFonts w:eastAsia="Calibri"/>
                      <w:iCs/>
                      <w:color w:val="000000"/>
                      <w:szCs w:val="24"/>
                    </w:rPr>
                  </w:pPr>
                  <w:r>
                    <w:rPr>
                      <w:rFonts w:eastAsia="Calibri"/>
                      <w:iCs/>
                      <w:color w:val="000000"/>
                      <w:szCs w:val="24"/>
                    </w:rPr>
                    <w:t xml:space="preserve">Projektai pagal šią priemonę bus atrenkami regioninio planavimo būdu. </w:t>
                  </w:r>
                </w:p>
                <w:p w14:paraId="4BA31490" w14:textId="2772DAFA">
                  <w:pPr>
                    <w:ind w:firstLine="567"/>
                    <w:jc w:val="both"/>
                    <w:rPr>
                      <w:rFonts w:eastAsia="Calibri"/>
                      <w:iCs/>
                      <w:color w:val="000000"/>
                      <w:szCs w:val="24"/>
                    </w:rPr>
                  </w:pPr>
                  <w:r>
                    <w:rPr>
                      <w:rFonts w:eastAsia="Calibri"/>
                      <w:iCs/>
                      <w:color w:val="000000"/>
                      <w:szCs w:val="24"/>
                    </w:rPr>
                    <w:t xml:space="preserve">Galimi projektų pagal šią priemonę pareiškėjai – savivaldybių administracijos ir (arba) ugdymo įstaigos, vykdančios ikimokyklinio ir (ar) bendrojo ugdymo programas (remiantis Vietos savivaldos įstatymo 6 straipsnio 5, 8 punktais, </w:t>
                  </w:r>
                  <w:r>
                    <w:rPr>
                      <w:color w:val="000000"/>
                      <w:szCs w:val="24"/>
                    </w:rPr>
                    <w:t xml:space="preserve">savivaldybės teritorijoje gyvenančių vaikų iki 16 metų mokymosi pagal privalomojo švietimo programas užtikrinimas bei ikimokyklinio ugdymo, vaikų ir suaugusiųjų neformaliojo švietimo organizavimas, vaikų ir jaunimo užimtumo organizavimas yra savarankiškos savivaldybės funkcijos </w:t>
                  </w:r>
                  <w:r>
                    <w:rPr>
                      <w:rFonts w:eastAsia="Calibri"/>
                      <w:iCs/>
                      <w:color w:val="000000"/>
                      <w:szCs w:val="24"/>
                    </w:rPr>
                    <w:t>bei Vietos savivaldos įstatymo 7 straipsnio 7 punktu, priešmokyklinio ugdymo, bendrojo lavinimo, profesinio mokymo ir profesinio orientavimo organizavimas yra valstybės perduota savivaldybės funkcija).</w:t>
                  </w:r>
                </w:p>
                <w:p w14:paraId="4A58A44A" w14:textId="655ABF53">
                  <w:pPr>
                    <w:ind w:firstLine="567"/>
                    <w:jc w:val="both"/>
                    <w:rPr>
                      <w:rFonts w:eastAsia="Calibri"/>
                      <w:iCs/>
                      <w:color w:val="000000"/>
                      <w:szCs w:val="24"/>
                    </w:rPr>
                  </w:pPr>
                  <w:r>
                    <w:rPr>
                      <w:rFonts w:eastAsia="Calibri"/>
                      <w:iCs/>
                      <w:color w:val="000000"/>
                      <w:szCs w:val="24"/>
                    </w:rPr>
                    <w:t>Partneriais projektuose gali būti savivaldybių administracijos ir (arba) ugdymo įstaigos, vykdančios ikimokyklinio ir (ar) bendrojo ugdymo programas.</w:t>
                  </w:r>
                </w:p>
                <w:p w14:paraId="45A38BC4" w14:textId="77777777">
                  <w:pPr>
                    <w:ind w:firstLine="567"/>
                    <w:jc w:val="both"/>
                    <w:rPr>
                      <w:rFonts w:eastAsia="Calibri"/>
                      <w:iCs/>
                      <w:color w:val="000000"/>
                      <w:szCs w:val="24"/>
                    </w:rPr>
                  </w:pPr>
                </w:p>
              </w:sdtContent>
            </w:sdt>
          </w:sdtContent>
        </w:sdt>
        <w:sdt>
          <w:sdtPr>
            <w:alias w:val="skyrius"/>
            <w:tag w:val="part_462fa8d3cf5047f0821ae8147498e1c6"/>
            <w:lock w:val="sdtLocked"/>
            <w:richText/>
          </w:sdtPr>
          <w:sdtContent>
            <w:p w14:paraId="5D1638D9" w14:textId="77777777">
              <w:pPr>
                <w:ind w:firstLine="567"/>
                <w:jc w:val="center"/>
                <w:rPr>
                  <w:b/>
                  <w:bCs/>
                  <w:szCs w:val="24"/>
                </w:rPr>
              </w:pPr>
              <w:sdt>
                <w:sdtPr>
                  <w:alias w:val="Numeris"/>
                  <w:tag w:val="nr_462fa8d3cf5047f0821ae8147498e1c6"/>
                  <w:lock w:val="sdtLocked"/>
                  <w:richText/>
                </w:sdtPr>
                <w:sdtContent>
                  <w:r>
                    <w:rPr>
                      <w:b/>
                      <w:bCs/>
                      <w:szCs w:val="24"/>
                    </w:rPr>
                    <w:t>V</w:t>
                  </w:r>
                </w:sdtContent>
              </w:sdt>
              <w:r>
                <w:rPr>
                  <w:b/>
                  <w:bCs/>
                  <w:szCs w:val="24"/>
                </w:rPr>
                <w:t xml:space="preserve"> SKYRIUS</w:t>
              </w:r>
            </w:p>
            <w:p w14:paraId="388FCE46" w14:textId="77777777">
              <w:pPr>
                <w:ind w:firstLine="567"/>
                <w:jc w:val="center"/>
                <w:rPr>
                  <w:b/>
                  <w:bCs/>
                  <w:szCs w:val="24"/>
                </w:rPr>
              </w:pPr>
              <w:sdt>
                <w:sdtPr>
                  <w:alias w:val="Pavadinimas"/>
                  <w:tag w:val="title_462fa8d3cf5047f0821ae8147498e1c6"/>
                  <w:lock w:val="sdtLocked"/>
                  <w:richText/>
                </w:sdtPr>
                <w:sdtContent>
                  <w:r>
                    <w:rPr>
                      <w:b/>
                      <w:bCs/>
                      <w:szCs w:val="24"/>
                    </w:rPr>
                    <w:t>PAŽANGOS PRIEMONĖS PROJEKTŲ ATRANKA</w:t>
                  </w:r>
                </w:sdtContent>
              </w:sdt>
            </w:p>
            <w:p w14:paraId="7FE92D6A" w14:textId="77777777">
              <w:pPr>
                <w:ind w:firstLine="567"/>
                <w:jc w:val="both"/>
                <w:rPr>
                  <w:szCs w:val="24"/>
                </w:rPr>
              </w:pPr>
            </w:p>
            <w:p w14:paraId="095F15AB" w14:textId="1D4D1759">
              <w:pPr>
                <w:tabs>
                  <w:tab w:val="left" w:pos="598"/>
                </w:tabs>
                <w:ind w:firstLine="567"/>
                <w:jc w:val="both"/>
                <w:rPr>
                  <w:iCs/>
                  <w:color w:val="000000"/>
                  <w:szCs w:val="24"/>
                </w:rPr>
              </w:pPr>
              <w:r>
                <w:rPr>
                  <w:iCs/>
                  <w:color w:val="000000"/>
                  <w:szCs w:val="24"/>
                </w:rPr>
                <w:t>Numatomas projektų planavimas visai pažangos priemonei ir jos veiklai. Tai atitinka Strateginio valdymo metodikos</w:t>
              </w:r>
              <w:r>
                <w:rPr>
                  <w:iCs/>
                  <w:color w:val="000000"/>
                  <w:szCs w:val="24"/>
                  <w:vertAlign w:val="superscript"/>
                </w:rPr>
                <w:footnoteReference w:id="17"/>
              </w:r>
              <w:r>
                <w:rPr>
                  <w:iCs/>
                  <w:color w:val="000000"/>
                  <w:szCs w:val="24"/>
                </w:rPr>
                <w:t xml:space="preserve"> 135.2 papunkčio nuostatas – projektais numatoma prisidėti vykdant Vietos savivaldos įstatyme savivaldybių savarankiškąsias ir valstybės perduotas funkcijas (žr. IV skyrių „Pažangos priemonės veiklos, projektų vykdytojai ir partneriai“). </w:t>
              </w:r>
            </w:p>
            <w:p w14:paraId="1FCEE444" w14:textId="159AE544">
              <w:pPr>
                <w:ind w:firstLine="567"/>
                <w:jc w:val="both"/>
                <w:rPr>
                  <w:rFonts w:eastAsia="Calibri"/>
                  <w:color w:val="000000"/>
                  <w:szCs w:val="24"/>
                </w:rPr>
              </w:pPr>
              <w:r>
                <w:rPr>
                  <w:rFonts w:eastAsia="Calibri"/>
                  <w:color w:val="000000"/>
                  <w:szCs w:val="24"/>
                </w:rPr>
                <w:t>Visais atvejais projektai turi atitikti:</w:t>
              </w:r>
            </w:p>
            <w:sdt>
              <w:sdtPr>
                <w:alias w:val="1 pp."/>
                <w:tag w:val="part_278044d5aadf4d53b9233225e14337ee"/>
                <w:lock w:val="sdtLocked"/>
                <w:richText/>
              </w:sdtPr>
              <w:sdtContent>
                <w:p w14:paraId="5F17BF72" w14:textId="07E1872D">
                  <w:pPr>
                    <w:ind w:firstLine="567"/>
                    <w:jc w:val="both"/>
                    <w:rPr>
                      <w:rFonts w:eastAsia="Calibri"/>
                      <w:color w:val="000000"/>
                      <w:szCs w:val="24"/>
                    </w:rPr>
                  </w:pPr>
                  <w:sdt>
                    <w:sdtPr>
                      <w:alias w:val="Numeris"/>
                      <w:tag w:val="nr_278044d5aadf4d53b9233225e14337ee"/>
                      <w:lock w:val="sdtLocked"/>
                      <w:richText/>
                    </w:sdtPr>
                    <w:sdtContent>
                      <w:r>
                        <w:rPr>
                          <w:rFonts w:eastAsia="Calibri"/>
                          <w:color w:val="000000"/>
                          <w:szCs w:val="24"/>
                        </w:rPr>
                        <w:t>1</w:t>
                      </w:r>
                    </w:sdtContent>
                  </w:sdt>
                  <w:r>
                    <w:rPr>
                      <w:rFonts w:eastAsia="Calibri"/>
                      <w:color w:val="000000"/>
                      <w:szCs w:val="24"/>
                    </w:rPr>
                    <w:t>) Regioninės pažangos priemonės Nr. 12-003-03-01-23 (RE) „Padidinti ugdymo prieinamumą atskirtį patiriantiems vaikams“ finansavimo gairių (toliau – Prieinamumo gairės)</w:t>
                  </w:r>
                  <w:r>
                    <w:rPr>
                      <w:rFonts w:eastAsia="Calibri"/>
                      <w:color w:val="000000"/>
                      <w:szCs w:val="24"/>
                      <w:vertAlign w:val="superscript"/>
                    </w:rPr>
                    <w:footnoteReference w:id="18"/>
                  </w:r>
                  <w:r>
                    <w:rPr>
                      <w:rFonts w:eastAsia="Calibri"/>
                      <w:color w:val="000000"/>
                      <w:szCs w:val="24"/>
                    </w:rPr>
                    <w:t xml:space="preserve"> reikalavimus;</w:t>
                  </w:r>
                </w:p>
              </w:sdtContent>
            </w:sdt>
            <w:sdt>
              <w:sdtPr>
                <w:alias w:val="2 pp."/>
                <w:tag w:val="part_fa441e5267f740d5867c6941a80128e2"/>
                <w:lock w:val="sdtLocked"/>
                <w:richText/>
              </w:sdtPr>
              <w:sdtContent>
                <w:p w14:paraId="7186AFB5" w14:textId="18F3F1B2">
                  <w:pPr>
                    <w:tabs>
                      <w:tab w:val="left" w:pos="598"/>
                    </w:tabs>
                    <w:ind w:firstLine="567"/>
                    <w:jc w:val="both"/>
                    <w:rPr>
                      <w:iCs/>
                      <w:color w:val="000000"/>
                      <w:szCs w:val="24"/>
                    </w:rPr>
                  </w:pPr>
                  <w:sdt>
                    <w:sdtPr>
                      <w:alias w:val="Numeris"/>
                      <w:tag w:val="nr_fa441e5267f740d5867c6941a80128e2"/>
                      <w:lock w:val="sdtLocked"/>
                      <w:richText/>
                    </w:sdtPr>
                    <w:sdtContent>
                      <w:r>
                        <w:rPr>
                          <w:rFonts w:eastAsia="Calibri"/>
                          <w:color w:val="000000"/>
                          <w:szCs w:val="24"/>
                        </w:rPr>
                        <w:t>2</w:t>
                      </w:r>
                    </w:sdtContent>
                  </w:sdt>
                  <w:r>
                    <w:rPr>
                      <w:rFonts w:eastAsia="Calibri"/>
                      <w:color w:val="000000"/>
                      <w:szCs w:val="24"/>
                    </w:rPr>
                    <w:t>)</w:t>
                  </w:r>
                  <w:r>
                    <w:rPr>
                      <w:rFonts w:eastAsia="Calibri"/>
                      <w:b/>
                      <w:bCs/>
                      <w:i/>
                      <w:color w:val="000000"/>
                      <w:szCs w:val="24"/>
                    </w:rPr>
                    <w:t xml:space="preserve"> </w:t>
                  </w:r>
                  <w:r>
                    <w:rPr>
                      <w:rFonts w:eastAsia="Calibri"/>
                      <w:color w:val="000000"/>
                      <w:szCs w:val="24"/>
                    </w:rPr>
                    <w:t>Regioninės pažangos priemonės Nr. 12-003-03-02-17 (RE) „Plėtoti įvairialypį švietimą vykdant visos dienos mokyklų veiklą“ finansavimo gairių (toliau – VDM gairės)</w:t>
                  </w:r>
                  <w:r>
                    <w:rPr>
                      <w:rFonts w:eastAsia="Calibri"/>
                      <w:color w:val="000000"/>
                      <w:szCs w:val="24"/>
                      <w:vertAlign w:val="superscript"/>
                    </w:rPr>
                    <w:footnoteReference w:id="19"/>
                  </w:r>
                  <w:r>
                    <w:rPr>
                      <w:rFonts w:eastAsia="Calibri"/>
                      <w:color w:val="000000"/>
                      <w:szCs w:val="24"/>
                    </w:rPr>
                    <w:t xml:space="preserve"> reikalavimus.</w:t>
                  </w:r>
                </w:p>
                <w:p w14:paraId="7D8E4846" w14:textId="5677AED9">
                  <w:pPr>
                    <w:jc w:val="center"/>
                    <w:rPr>
                      <w:color w:val="000000"/>
                      <w:szCs w:val="24"/>
                    </w:rPr>
                  </w:pPr>
                </w:p>
                <w:p w14:paraId="211107A1" w14:textId="77777777">
                  <w:pPr>
                    <w:jc w:val="center"/>
                    <w:rPr>
                      <w:b/>
                      <w:bCs/>
                      <w:color w:val="000000"/>
                      <w:szCs w:val="24"/>
                    </w:rPr>
                  </w:pPr>
                </w:p>
              </w:sdtContent>
            </w:sdt>
          </w:sdtContent>
        </w:sdt>
        <w:sdt>
          <w:sdtPr>
            <w:alias w:val="skyrius"/>
            <w:tag w:val="part_d0c0cff606e34c1496ae48713d874de2"/>
            <w:lock w:val="sdtLocked"/>
            <w:richText/>
          </w:sdtPr>
          <w:sdtContent>
            <w:p w14:paraId="2F4AB5C5" w14:textId="70B29895">
              <w:pPr>
                <w:jc w:val="center"/>
                <w:rPr>
                  <w:b/>
                  <w:bCs/>
                  <w:color w:val="000000"/>
                  <w:szCs w:val="24"/>
                </w:rPr>
              </w:pPr>
              <w:sdt>
                <w:sdtPr>
                  <w:alias w:val="Numeris"/>
                  <w:tag w:val="nr_d0c0cff606e34c1496ae48713d874de2"/>
                  <w:lock w:val="sdtLocked"/>
                  <w:richText/>
                </w:sdtPr>
                <w:sdtContent>
                  <w:r>
                    <w:rPr>
                      <w:b/>
                      <w:bCs/>
                      <w:color w:val="000000"/>
                      <w:szCs w:val="24"/>
                    </w:rPr>
                    <w:t>VI</w:t>
                  </w:r>
                </w:sdtContent>
              </w:sdt>
              <w:r>
                <w:rPr>
                  <w:b/>
                  <w:bCs/>
                  <w:color w:val="000000"/>
                  <w:szCs w:val="24"/>
                </w:rPr>
                <w:t xml:space="preserve"> SKYRIUS</w:t>
              </w:r>
            </w:p>
            <w:p w14:paraId="602C0FB2" w14:textId="77777777">
              <w:pPr>
                <w:jc w:val="center"/>
                <w:rPr>
                  <w:b/>
                  <w:bCs/>
                  <w:szCs w:val="24"/>
                </w:rPr>
              </w:pPr>
              <w:sdt>
                <w:sdtPr>
                  <w:alias w:val="Pavadinimas"/>
                  <w:tag w:val="title_d0c0cff606e34c1496ae48713d874de2"/>
                  <w:lock w:val="sdtLocked"/>
                  <w:richText/>
                </w:sdtPr>
                <w:sdtContent>
                  <w:r>
                    <w:rPr>
                      <w:b/>
                      <w:bCs/>
                      <w:color w:val="000000"/>
                      <w:szCs w:val="24"/>
                    </w:rPr>
                    <w:t xml:space="preserve">PAŽANGOS </w:t>
                  </w:r>
                  <w:r>
                    <w:rPr>
                      <w:b/>
                      <w:bCs/>
                      <w:szCs w:val="24"/>
                    </w:rPr>
                    <w:t>PRIEMONĖS PRISIDĖJIMAS PRIE HORIZONTALIŲJŲ PRINCIPŲ ĮGYVENDINIMO</w:t>
                  </w:r>
                </w:sdtContent>
              </w:sdt>
            </w:p>
            <w:p w14:paraId="1563044C" w14:textId="77777777">
              <w:pPr>
                <w:ind w:firstLine="567"/>
                <w:jc w:val="both"/>
                <w:rPr>
                  <w:szCs w:val="24"/>
                </w:rPr>
              </w:pPr>
            </w:p>
            <w:p w14:paraId="12A888EA" w14:textId="2C354E7C">
              <w:pPr>
                <w:ind w:firstLine="567"/>
                <w:jc w:val="right"/>
                <w:rPr>
                  <w:color w:val="000000"/>
                  <w:szCs w:val="24"/>
                </w:rPr>
              </w:pPr>
              <w:r>
                <w:rPr>
                  <w:color w:val="000000"/>
                  <w:szCs w:val="24"/>
                </w:rPr>
                <w:t>Lentelė Nr. 1</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977"/>
                <w:gridCol w:w="7229"/>
              </w:tblGrid>
              <w:tr w14:paraId="54E74C16" w14:textId="77777777">
                <w:trPr>
                  <w:trHeight w:val="520"/>
                </w:trPr>
                <w:tc>
                  <w:tcPr>
                    <w:tcW w:w="570" w:type="dxa"/>
                    <w:shd w:val="pct10" w:color="auto" w:fill="auto"/>
                  </w:tcPr>
                  <w:p w14:paraId="6699406A" w14:textId="77777777">
                    <w:pPr>
                      <w:jc w:val="center"/>
                      <w:rPr>
                        <w:b/>
                        <w:color w:val="000000"/>
                        <w:szCs w:val="24"/>
                      </w:rPr>
                    </w:pPr>
                    <w:r>
                      <w:rPr>
                        <w:b/>
                        <w:color w:val="000000"/>
                        <w:szCs w:val="24"/>
                      </w:rPr>
                      <w:t>Eil. Nr.</w:t>
                    </w:r>
                  </w:p>
                </w:tc>
                <w:tc>
                  <w:tcPr>
                    <w:tcW w:w="1977" w:type="dxa"/>
                    <w:shd w:val="pct10" w:color="auto" w:fill="auto"/>
                  </w:tcPr>
                  <w:p w14:paraId="15847978" w14:textId="77777777">
                    <w:pPr>
                      <w:jc w:val="center"/>
                      <w:rPr>
                        <w:b/>
                        <w:color w:val="000000"/>
                        <w:szCs w:val="24"/>
                      </w:rPr>
                    </w:pPr>
                    <w:r>
                      <w:rPr>
                        <w:b/>
                        <w:color w:val="000000"/>
                        <w:szCs w:val="24"/>
                      </w:rPr>
                      <w:t xml:space="preserve">Horizontalieji principai </w:t>
                    </w:r>
                  </w:p>
                  <w:p w14:paraId="20490052" w14:textId="4AC8D447">
                    <w:pPr>
                      <w:jc w:val="center"/>
                      <w:rPr>
                        <w:b/>
                        <w:color w:val="000000"/>
                        <w:szCs w:val="24"/>
                      </w:rPr>
                    </w:pPr>
                    <w:r>
                      <w:rPr>
                        <w:b/>
                        <w:color w:val="000000"/>
                        <w:szCs w:val="24"/>
                      </w:rPr>
                      <w:t>(toliau – HP)</w:t>
                    </w:r>
                  </w:p>
                </w:tc>
                <w:tc>
                  <w:tcPr>
                    <w:tcW w:w="7229" w:type="dxa"/>
                    <w:shd w:val="pct10" w:color="auto" w:fill="auto"/>
                    <w:vAlign w:val="center"/>
                  </w:tcPr>
                  <w:p w14:paraId="696B4FF5" w14:textId="4437A3CE">
                    <w:pPr>
                      <w:jc w:val="center"/>
                      <w:rPr>
                        <w:b/>
                        <w:color w:val="000000"/>
                        <w:szCs w:val="24"/>
                      </w:rPr>
                    </w:pPr>
                    <w:r>
                      <w:rPr>
                        <w:b/>
                        <w:color w:val="000000"/>
                        <w:szCs w:val="24"/>
                      </w:rPr>
                      <w:t>Informacija apie pažangos priemonės prisidėjimą prie HP</w:t>
                    </w:r>
                  </w:p>
                </w:tc>
              </w:tr>
              <w:tr w14:paraId="148BEFB4" w14:textId="77777777">
                <w:tc>
                  <w:tcPr>
                    <w:tcW w:w="570" w:type="dxa"/>
                  </w:tcPr>
                  <w:p w14:paraId="485EB8EA" w14:textId="77777777">
                    <w:pPr>
                      <w:jc w:val="both"/>
                      <w:rPr>
                        <w:color w:val="000000"/>
                        <w:szCs w:val="24"/>
                      </w:rPr>
                    </w:pPr>
                    <w:r>
                      <w:rPr>
                        <w:color w:val="000000"/>
                        <w:szCs w:val="24"/>
                      </w:rPr>
                      <w:t>1.</w:t>
                    </w:r>
                  </w:p>
                </w:tc>
                <w:tc>
                  <w:tcPr>
                    <w:tcW w:w="1977" w:type="dxa"/>
                  </w:tcPr>
                  <w:p w14:paraId="74E8C970" w14:textId="77777777">
                    <w:pPr>
                      <w:jc w:val="both"/>
                      <w:rPr>
                        <w:color w:val="000000"/>
                        <w:szCs w:val="24"/>
                      </w:rPr>
                    </w:pPr>
                    <w:r>
                      <w:rPr>
                        <w:color w:val="000000"/>
                        <w:szCs w:val="24"/>
                      </w:rPr>
                      <w:t>Darnaus vystymosi</w:t>
                    </w:r>
                  </w:p>
                </w:tc>
                <w:tc>
                  <w:tcPr>
                    <w:tcW w:w="7229" w:type="dxa"/>
                  </w:tcPr>
                  <w:p w14:paraId="2184C520" w14:textId="77777777">
                    <w:pPr>
                      <w:jc w:val="both"/>
                      <w:rPr>
                        <w:rFonts w:eastAsia="Calibri"/>
                        <w:color w:val="000000"/>
                        <w:szCs w:val="24"/>
                      </w:rPr>
                    </w:pPr>
                    <w:r>
                      <w:rPr>
                        <w:rFonts w:eastAsia="Calibri"/>
                        <w:color w:val="000000"/>
                        <w:szCs w:val="24"/>
                      </w:rPr>
                      <w:t>2021–2030 m. plėtros programos valdytojos Lietuvos Respublikos švietimo, mokslo ir sporto ministerijos Švietimo plėtros programoje</w:t>
                    </w:r>
                    <w:r>
                      <w:rPr>
                        <w:rFonts w:eastAsia="Calibri"/>
                        <w:color w:val="000000"/>
                        <w:szCs w:val="24"/>
                        <w:vertAlign w:val="superscript"/>
                      </w:rPr>
                      <w:footnoteReference w:id="20"/>
                    </w:r>
                    <w:r>
                      <w:rPr>
                        <w:rFonts w:eastAsia="Calibri"/>
                        <w:color w:val="000000"/>
                        <w:szCs w:val="24"/>
                      </w:rPr>
                      <w:t xml:space="preserve"> suplanuotomis pažangos priemonėmis 12-003-03-01-23 (RE) „Padidinti ugdymo prieinamumą atskirtį patiriantiems vaikams“ ir 12-003-03-02-17 (RE) „Plėtoti įvairialypį švietimą vykdant visos dienos mokyklų veiklą“ bus prisidedama prie Darnaus vystymosi horizontaliojo principo įgyvendinimo.</w:t>
                    </w:r>
                  </w:p>
                  <w:p w14:paraId="7D8B24C7" w14:textId="77777777">
                    <w:pPr>
                      <w:jc w:val="both"/>
                      <w:rPr>
                        <w:rFonts w:eastAsia="Calibri"/>
                        <w:color w:val="000000"/>
                        <w:szCs w:val="24"/>
                      </w:rPr>
                    </w:pPr>
                    <w:r>
                      <w:rPr>
                        <w:rFonts w:eastAsia="Calibri"/>
                        <w:color w:val="000000"/>
                        <w:szCs w:val="24"/>
                      </w:rPr>
                      <w:t>Įgyvendinant projektus regione pagal šią pažangos priemonę ir didinant ikimokyklinio ugdymo prieinamumą, švietimo paslaugų prieinamumą neįgaliesiems bei sudarant galimybes naudotis kokybiškomis visos dienos mokyklos paslaugomis bus tiesiogiai prisidedama prie 4-ojo Darnaus vystymosi tikslo – „Užtikrinti visa apimantį ir lygiavertį kokybišką švietimą ir skatinti visą gyvenimą trunkantį mokymąsi“; taip pat netiesiogiai prie 1-ojo tikslo „Panaikinti visų formų skurdą visose šalyse“ bei 10-ojo tikslo „Mažinti nelygybę tarp šalių ir pačiose šalyse“.</w:t>
                    </w:r>
                  </w:p>
                  <w:p w14:paraId="36AF913A" w14:textId="3A3FB4C4">
                    <w:pPr>
                      <w:jc w:val="both"/>
                      <w:rPr>
                        <w:rFonts w:eastAsia="Calibri"/>
                        <w:color w:val="000000"/>
                        <w:szCs w:val="24"/>
                      </w:rPr>
                    </w:pPr>
                    <w:r>
                      <w:rPr>
                        <w:rFonts w:eastAsia="Calibri"/>
                        <w:color w:val="000000"/>
                        <w:szCs w:val="24"/>
                      </w:rPr>
                      <w:t>Projektai turės atitikti:</w:t>
                    </w:r>
                  </w:p>
                  <w:p w14:paraId="0863409B" w14:textId="77777777">
                    <w:pPr>
                      <w:jc w:val="both"/>
                      <w:rPr>
                        <w:rFonts w:eastAsia="Calibri"/>
                        <w:color w:val="000000"/>
                        <w:szCs w:val="24"/>
                      </w:rPr>
                    </w:pPr>
                    <w:r>
                      <w:rPr>
                        <w:rFonts w:eastAsia="Calibri"/>
                        <w:color w:val="000000"/>
                        <w:szCs w:val="24"/>
                      </w:rPr>
                      <w:t>1) Prieinamumo gairių 3 dalyje „Horizontaliųjų principų laikymosi reikalavimai“ nustatytus reikalavimus;</w:t>
                    </w:r>
                  </w:p>
                  <w:p w14:paraId="7A3313CF" w14:textId="62B22850">
                    <w:pPr>
                      <w:jc w:val="both"/>
                      <w:rPr>
                        <w:i/>
                        <w:color w:val="000000"/>
                        <w:szCs w:val="24"/>
                      </w:rPr>
                    </w:pPr>
                    <w:r>
                      <w:rPr>
                        <w:rFonts w:eastAsia="Calibri"/>
                        <w:color w:val="000000"/>
                        <w:szCs w:val="24"/>
                      </w:rPr>
                      <w:t>2)</w:t>
                    </w:r>
                    <w:r>
                      <w:rPr>
                        <w:rFonts w:eastAsia="Calibri"/>
                        <w:b/>
                        <w:bCs/>
                        <w:i/>
                        <w:color w:val="000000"/>
                        <w:szCs w:val="24"/>
                      </w:rPr>
                      <w:t xml:space="preserve"> </w:t>
                    </w:r>
                    <w:r>
                      <w:rPr>
                        <w:rFonts w:eastAsia="Calibri"/>
                        <w:color w:val="000000"/>
                        <w:szCs w:val="24"/>
                      </w:rPr>
                      <w:t>VDM gairių 3 dalyje „Horizontaliųjų principų laikymosi reikalavimai“ nustatytus reikalavimus.</w:t>
                    </w:r>
                  </w:p>
                </w:tc>
              </w:tr>
              <w:tr w14:paraId="41FF143A" w14:textId="77777777">
                <w:tc>
                  <w:tcPr>
                    <w:tcW w:w="570" w:type="dxa"/>
                  </w:tcPr>
                  <w:p w14:paraId="57777779" w14:textId="77777777">
                    <w:pPr>
                      <w:jc w:val="both"/>
                      <w:rPr>
                        <w:color w:val="000000"/>
                        <w:szCs w:val="24"/>
                      </w:rPr>
                    </w:pPr>
                    <w:r>
                      <w:rPr>
                        <w:color w:val="000000"/>
                        <w:szCs w:val="24"/>
                      </w:rPr>
                      <w:t>2.</w:t>
                    </w:r>
                  </w:p>
                </w:tc>
                <w:tc>
                  <w:tcPr>
                    <w:tcW w:w="1977" w:type="dxa"/>
                  </w:tcPr>
                  <w:p w14:paraId="1D2F47CF" w14:textId="77777777">
                    <w:pPr>
                      <w:rPr>
                        <w:color w:val="000000"/>
                        <w:szCs w:val="24"/>
                      </w:rPr>
                    </w:pPr>
                    <w:r>
                      <w:rPr>
                        <w:color w:val="000000"/>
                        <w:szCs w:val="24"/>
                      </w:rPr>
                      <w:t>Inovatyvumo (kūrybingumo)</w:t>
                    </w:r>
                  </w:p>
                </w:tc>
                <w:tc>
                  <w:tcPr>
                    <w:tcW w:w="7229" w:type="dxa"/>
                  </w:tcPr>
                  <w:p w14:paraId="39E2846D" w14:textId="77777777">
                    <w:pPr>
                      <w:jc w:val="both"/>
                      <w:rPr>
                        <w:i/>
                        <w:color w:val="000000"/>
                        <w:szCs w:val="24"/>
                      </w:rPr>
                    </w:pPr>
                    <w:r>
                      <w:rPr>
                        <w:rFonts w:eastAsia="Calibri"/>
                        <w:color w:val="000000"/>
                        <w:szCs w:val="24"/>
                      </w:rPr>
                      <w:t>Įgyvendinant projektus pagal šią pažangos priemonę ir didinant ikimokyklinio ugdymo prieinamumą, švietimo paslaugų prieinamumą neįgaliesiems bei sudarant galimybes naudotis kokybiškomis visos dienos mokyklos paslaugomis bus netiesiogiai prisidedama prie šio horizontaliojo principo įgyvendinimo – laikomasi Prieinamumo gairių ir VDM gairių 3 dalyje „Horizontaliųjų principų laikymosi reikalavimai“ nustatytų reikalavimų dėl pastatų energinio efektyvumo, pastatų projektų ir statybos metodų, reikalavimų įsigyjamiems automobiliams dėl efektyvumo, tvarumo, ilgaamžiškumo ir kt.</w:t>
                    </w:r>
                  </w:p>
                </w:tc>
              </w:tr>
              <w:tr w14:paraId="756B89AA" w14:textId="77777777">
                <w:tc>
                  <w:tcPr>
                    <w:tcW w:w="570" w:type="dxa"/>
                  </w:tcPr>
                  <w:p w14:paraId="71B7CB9C" w14:textId="77777777">
                    <w:pPr>
                      <w:jc w:val="both"/>
                      <w:rPr>
                        <w:color w:val="000000"/>
                        <w:szCs w:val="24"/>
                      </w:rPr>
                    </w:pPr>
                    <w:r>
                      <w:rPr>
                        <w:color w:val="000000"/>
                        <w:szCs w:val="24"/>
                      </w:rPr>
                      <w:t>3.</w:t>
                    </w:r>
                  </w:p>
                </w:tc>
                <w:tc>
                  <w:tcPr>
                    <w:tcW w:w="1977" w:type="dxa"/>
                  </w:tcPr>
                  <w:p w14:paraId="330B1802" w14:textId="77777777">
                    <w:pPr>
                      <w:rPr>
                        <w:color w:val="000000"/>
                        <w:szCs w:val="24"/>
                      </w:rPr>
                    </w:pPr>
                    <w:r>
                      <w:rPr>
                        <w:color w:val="000000"/>
                        <w:szCs w:val="24"/>
                      </w:rPr>
                      <w:t xml:space="preserve">Lygių galimybių visiems </w:t>
                    </w:r>
                  </w:p>
                </w:tc>
                <w:tc>
                  <w:tcPr>
                    <w:tcW w:w="7229" w:type="dxa"/>
                  </w:tcPr>
                  <w:p w14:paraId="4BA4D3C7" w14:textId="77777777">
                    <w:pPr>
                      <w:jc w:val="both"/>
                      <w:rPr>
                        <w:rFonts w:eastAsia="Calibri"/>
                        <w:color w:val="000000"/>
                        <w:szCs w:val="24"/>
                      </w:rPr>
                    </w:pPr>
                    <w:r>
                      <w:rPr>
                        <w:rFonts w:eastAsia="Calibri"/>
                        <w:color w:val="000000"/>
                        <w:szCs w:val="24"/>
                      </w:rPr>
                      <w:t>Švietimo plėtros programoje suplanuotomis pažangos priemonėmis 12-003-03-01-23 (RE) „Padidinti ugdymo prieinamumą atskirtį patiriantiems vaikams“ ir 12-003-03-02-17 (RE) „Plėtoti įvairialypį švietimą vykdant visos dienos mokyklų veiklą“ bus prisidedama prie Lygių galimybių visiems horizontaliojo principo įgyvendinimo.</w:t>
                    </w:r>
                  </w:p>
                  <w:p w14:paraId="0D5D44F9" w14:textId="77777777">
                    <w:pPr>
                      <w:jc w:val="both"/>
                      <w:rPr>
                        <w:color w:val="000000"/>
                        <w:szCs w:val="24"/>
                        <w:lang w:eastAsia="en-GB"/>
                      </w:rPr>
                    </w:pPr>
                    <w:r>
                      <w:rPr>
                        <w:color w:val="000000"/>
                        <w:szCs w:val="24"/>
                        <w:lang w:eastAsia="en-GB"/>
                      </w:rPr>
                      <w:t xml:space="preserve">Įgyvendinant projektus pagal šią pažangos priemonę, kuriais numatoma universalaus dizaino elementų ir kitų inžinerinių priemonių įrengimas bendrojo lavinimo mokyklose, bus tiesiogiai prisidedama prie geresnių sąlygų ir galimybių gauti kokybiškas švietimo paslaugas bei dalyvauti visuomeniniame gyvenime sudarymo neįgaliesiems. </w:t>
                    </w:r>
                  </w:p>
                  <w:p w14:paraId="4E2BC977" w14:textId="77777777">
                    <w:pPr>
                      <w:jc w:val="both"/>
                      <w:rPr>
                        <w:i/>
                        <w:color w:val="000000"/>
                        <w:szCs w:val="24"/>
                        <w:lang w:eastAsia="en-GB"/>
                      </w:rPr>
                    </w:pPr>
                    <w:r>
                      <w:rPr>
                        <w:rFonts w:eastAsia="Calibri"/>
                        <w:color w:val="000000"/>
                        <w:szCs w:val="24"/>
                      </w:rPr>
                      <w:t xml:space="preserve">Įgyvendinant projektus nebus sudaroma apribojimų ar diskriminavimo </w:t>
                    </w:r>
                    <w:r>
                      <w:rPr>
                        <w:color w:val="000000"/>
                        <w:szCs w:val="24"/>
                        <w:lang w:eastAsia="en-GB"/>
                      </w:rPr>
                      <w:t>dėl lyties, rasės, tautybės, pilietybės, kalbos, kilmės, socialinės padėties, tikėjimo, įsitikinimų ar pažiūrų, amžiaus, lytinės orientacijos, etninės priklausomybės, religijos, negalios ar kt.</w:t>
                    </w:r>
                  </w:p>
                  <w:p w14:paraId="00DCBF3D" w14:textId="674B4730">
                    <w:pPr>
                      <w:jc w:val="both"/>
                      <w:rPr>
                        <w:rFonts w:eastAsia="Calibri"/>
                        <w:color w:val="000000"/>
                        <w:szCs w:val="24"/>
                      </w:rPr>
                    </w:pPr>
                    <w:r>
                      <w:rPr>
                        <w:rFonts w:eastAsia="Calibri"/>
                        <w:color w:val="000000"/>
                        <w:szCs w:val="24"/>
                      </w:rPr>
                      <w:t>Projektai turės atitikti:</w:t>
                    </w:r>
                  </w:p>
                  <w:p w14:paraId="2FA134F1" w14:textId="3F7288CC">
                    <w:pPr>
                      <w:jc w:val="both"/>
                      <w:rPr>
                        <w:rFonts w:eastAsia="Calibri"/>
                        <w:color w:val="000000"/>
                        <w:szCs w:val="24"/>
                      </w:rPr>
                    </w:pPr>
                    <w:r>
                      <w:rPr>
                        <w:rFonts w:eastAsia="Calibri"/>
                        <w:color w:val="000000"/>
                        <w:szCs w:val="24"/>
                      </w:rPr>
                      <w:t>1) Prieinamumo gairių 3 dalyje „Horizontaliųjų principų laikymosi reikalavimai“ nustatytus reikalavimus;</w:t>
                    </w:r>
                  </w:p>
                  <w:p w14:paraId="5678DAB7" w14:textId="77777777">
                    <w:pPr>
                      <w:jc w:val="both"/>
                      <w:rPr>
                        <w:i/>
                        <w:color w:val="000000"/>
                        <w:szCs w:val="24"/>
                      </w:rPr>
                    </w:pPr>
                    <w:r>
                      <w:rPr>
                        <w:rFonts w:eastAsia="Calibri"/>
                        <w:color w:val="000000"/>
                        <w:szCs w:val="24"/>
                      </w:rPr>
                      <w:t>2)</w:t>
                    </w:r>
                    <w:r>
                      <w:rPr>
                        <w:rFonts w:eastAsia="Calibri"/>
                        <w:b/>
                        <w:bCs/>
                        <w:i/>
                        <w:color w:val="000000"/>
                        <w:szCs w:val="24"/>
                      </w:rPr>
                      <w:t xml:space="preserve"> </w:t>
                    </w:r>
                    <w:r>
                      <w:rPr>
                        <w:rFonts w:eastAsia="Calibri"/>
                        <w:color w:val="000000"/>
                        <w:szCs w:val="24"/>
                      </w:rPr>
                      <w:t>VDM gairių 3 dalyje „Horizontaliųjų principų laikymosi reikalavimai“ nustatytus reikalavimus.</w:t>
                    </w:r>
                  </w:p>
                </w:tc>
              </w:tr>
            </w:tbl>
            <w:p w14:paraId="398D258F" w14:textId="5CB442AC">
              <w:pPr>
                <w:jc w:val="center"/>
                <w:rPr>
                  <w:szCs w:val="24"/>
                </w:rPr>
              </w:pPr>
            </w:p>
            <w:p w14:paraId="0A6E9E99" w14:textId="77777777">
              <w:pPr>
                <w:jc w:val="center"/>
                <w:rPr>
                  <w:szCs w:val="24"/>
                </w:rPr>
              </w:pPr>
            </w:p>
          </w:sdtContent>
        </w:sdt>
        <w:sdt>
          <w:sdtPr>
            <w:alias w:val="skyrius"/>
            <w:tag w:val="part_a3af2aa4aeba4d6cb6a28f50a921a543"/>
            <w:lock w:val="sdtLocked"/>
            <w:richText/>
          </w:sdtPr>
          <w:sdtContent>
            <w:p w14:paraId="0D826117" w14:textId="0A869238">
              <w:pPr>
                <w:jc w:val="center"/>
                <w:rPr>
                  <w:b/>
                  <w:bCs/>
                  <w:szCs w:val="24"/>
                </w:rPr>
              </w:pPr>
              <w:sdt>
                <w:sdtPr>
                  <w:alias w:val="Numeris"/>
                  <w:tag w:val="nr_a3af2aa4aeba4d6cb6a28f50a921a543"/>
                  <w:lock w:val="sdtLocked"/>
                  <w:richText/>
                </w:sdtPr>
                <w:sdtContent>
                  <w:r>
                    <w:rPr>
                      <w:b/>
                      <w:bCs/>
                      <w:szCs w:val="24"/>
                    </w:rPr>
                    <w:t>VII</w:t>
                  </w:r>
                </w:sdtContent>
              </w:sdt>
              <w:r>
                <w:rPr>
                  <w:b/>
                  <w:bCs/>
                  <w:szCs w:val="24"/>
                </w:rPr>
                <w:t xml:space="preserve"> SKYRIUS</w:t>
              </w:r>
            </w:p>
            <w:p w14:paraId="5DD371D1" w14:textId="77777777">
              <w:pPr>
                <w:jc w:val="center"/>
                <w:rPr>
                  <w:b/>
                  <w:bCs/>
                  <w:szCs w:val="24"/>
                </w:rPr>
              </w:pPr>
              <w:sdt>
                <w:sdtPr>
                  <w:alias w:val="Pavadinimas"/>
                  <w:tag w:val="title_a3af2aa4aeba4d6cb6a28f50a921a543"/>
                  <w:lock w:val="sdtLocked"/>
                  <w:richText/>
                </w:sdtPr>
                <w:sdtContent>
                  <w:r>
                    <w:rPr>
                      <w:b/>
                      <w:bCs/>
                      <w:szCs w:val="24"/>
                    </w:rPr>
                    <w:t>IŠANKSTINĖS SĄLYGOS</w:t>
                  </w:r>
                </w:sdtContent>
              </w:sdt>
            </w:p>
            <w:p w14:paraId="13C23D30" w14:textId="77777777">
              <w:pPr>
                <w:ind w:firstLine="567"/>
                <w:jc w:val="both"/>
                <w:rPr>
                  <w:i/>
                  <w:color w:val="000000"/>
                  <w:szCs w:val="24"/>
                </w:rPr>
              </w:pPr>
            </w:p>
            <w:p w14:paraId="7E0D8F9C" w14:textId="77777777">
              <w:pPr>
                <w:ind w:firstLine="567"/>
                <w:jc w:val="both"/>
                <w:rPr>
                  <w:iCs/>
                  <w:color w:val="000000"/>
                  <w:szCs w:val="24"/>
                </w:rPr>
              </w:pPr>
              <w:r>
                <w:rPr>
                  <w:iCs/>
                  <w:color w:val="000000"/>
                  <w:szCs w:val="24"/>
                </w:rPr>
                <w:t xml:space="preserve">Pažangos priemonė prisidės prie RPP nustatytų pažangos priemonių 12-003-03-01-23 (RE) „Padidinti ugdymo prieinamumą atskirtį patiriantiems vaikams“ ir 12-003-03-02-17 (RE) „Plėtoti įvairialypį švietimą vykdant visos dienos mokyklų veiklą“ įgyvendinimo. </w:t>
              </w:r>
            </w:p>
            <w:p w14:paraId="1DB2213F" w14:textId="570BE2ED">
              <w:pPr>
                <w:ind w:firstLine="567"/>
                <w:jc w:val="both"/>
                <w:rPr>
                  <w:i/>
                  <w:color w:val="000000"/>
                  <w:szCs w:val="24"/>
                </w:rPr>
                <w:sectPr>
                  <w:headerReference w:type="even" r:id="rId10"/>
                  <w:headerReference w:type="default" r:id="rId11"/>
                  <w:footerReference w:type="even" r:id="rId12"/>
                  <w:footerReference w:type="default" r:id="rId13"/>
                  <w:headerReference w:type="first" r:id="rId14"/>
                  <w:footerReference w:type="first" r:id="rId15"/>
                  <w:pgSz w:w="11906" w:h="16838"/>
                  <w:pgMar w:top="851" w:right="707" w:bottom="426" w:left="1440" w:header="567" w:footer="255" w:gutter="0"/>
                  <w:pgNumType w:start="1"/>
                  <w:cols w:space="1296"/>
                  <w:titlePg/>
                  <w:docGrid w:linePitch="360"/>
                </w:sectPr>
              </w:pPr>
              <w:r>
                <w:rPr>
                  <w:iCs/>
                  <w:color w:val="000000"/>
                  <w:szCs w:val="24"/>
                </w:rPr>
                <w:t>RPP išankstinės sąlygos šioms pažangos priemonėms nėra nustatytos.</w:t>
              </w:r>
            </w:p>
          </w:sdtContent>
        </w:sdt>
        <w:sdt>
          <w:sdtPr>
            <w:alias w:val="skyrius"/>
            <w:tag w:val="part_1dc89ac893a3411cbdb47f88ac41fcb7"/>
            <w:lock w:val="sdtLocked"/>
            <w:richText/>
          </w:sdtPr>
          <w:sdtContent>
            <w:p w14:paraId="55B23A50" w14:textId="77777777">
              <w:pPr>
                <w:ind w:firstLine="567"/>
                <w:jc w:val="center"/>
                <w:rPr>
                  <w:b/>
                  <w:bCs/>
                  <w:szCs w:val="24"/>
                </w:rPr>
              </w:pPr>
              <w:sdt>
                <w:sdtPr>
                  <w:alias w:val="Numeris"/>
                  <w:tag w:val="nr_1dc89ac893a3411cbdb47f88ac41fcb7"/>
                  <w:lock w:val="sdtLocked"/>
                  <w:richText/>
                </w:sdtPr>
                <w:sdtContent>
                  <w:r>
                    <w:rPr>
                      <w:b/>
                      <w:bCs/>
                      <w:szCs w:val="24"/>
                    </w:rPr>
                    <w:t>VIII</w:t>
                  </w:r>
                </w:sdtContent>
              </w:sdt>
              <w:r>
                <w:rPr>
                  <w:b/>
                  <w:bCs/>
                  <w:szCs w:val="24"/>
                </w:rPr>
                <w:t xml:space="preserve"> SKYRIUS</w:t>
              </w:r>
            </w:p>
            <w:p w14:paraId="3173F365" w14:textId="77777777">
              <w:pPr>
                <w:ind w:firstLine="567"/>
                <w:jc w:val="center"/>
                <w:rPr>
                  <w:b/>
                  <w:bCs/>
                  <w:szCs w:val="24"/>
                </w:rPr>
              </w:pPr>
              <w:sdt>
                <w:sdtPr>
                  <w:alias w:val="Pavadinimas"/>
                  <w:tag w:val="title_1dc89ac893a3411cbdb47f88ac41fcb7"/>
                  <w:lock w:val="sdtLocked"/>
                  <w:richText/>
                </w:sdtPr>
                <w:sdtContent>
                  <w:r>
                    <w:rPr>
                      <w:b/>
                      <w:bCs/>
                      <w:szCs w:val="24"/>
                    </w:rPr>
                    <w:t>PAŽANGOS PRIEMONĖS STEBĖSENOS RODIKLIAI</w:t>
                  </w:r>
                </w:sdtContent>
              </w:sdt>
            </w:p>
            <w:p w14:paraId="484D257C" w14:textId="77777777">
              <w:pPr>
                <w:ind w:firstLine="567"/>
                <w:jc w:val="both"/>
                <w:rPr>
                  <w:b/>
                  <w:bCs/>
                  <w:szCs w:val="24"/>
                </w:rPr>
              </w:pPr>
            </w:p>
            <w:p w14:paraId="73861C7F" w14:textId="35D9751E">
              <w:pPr>
                <w:ind w:firstLine="567"/>
                <w:jc w:val="both"/>
                <w:rPr>
                  <w:iCs/>
                  <w:color w:val="000000"/>
                  <w:szCs w:val="24"/>
                </w:rPr>
              </w:pPr>
              <w:r>
                <w:rPr>
                  <w:iCs/>
                  <w:color w:val="000000"/>
                  <w:szCs w:val="24"/>
                </w:rPr>
                <w:t xml:space="preserve">Produkto ir rezultato rodikliai pažangos priemonei ir jos veikloms pasirinkti vadovaujantis Prieinamumo gairių ir VDM gairių 2.1. dalyse „Finansuojamos veiklos ir siekiami stebėsenos rodikliai“ pateikta informacija.  Rodiklių reikšmės preliminarios, jos bus patikslintos, kai bus patvirtinta Stebėsenos rodiklių nustatymo ir skaičiavimo tvarka ir / ar rodiklių skaičiavimo aprašų suvestinė.</w:t>
              </w:r>
            </w:p>
            <w:p w14:paraId="7B002BF2" w14:textId="77777777">
              <w:pPr>
                <w:ind w:firstLine="567"/>
                <w:jc w:val="both"/>
                <w:rPr>
                  <w:szCs w:val="24"/>
                </w:rPr>
              </w:pPr>
            </w:p>
            <w:p w14:paraId="50A2CDD6" w14:textId="77777777">
              <w:pPr>
                <w:jc w:val="right"/>
                <w:rPr>
                  <w:szCs w:val="24"/>
                </w:rPr>
              </w:pPr>
              <w:r>
                <w:rPr>
                  <w:szCs w:val="24"/>
                </w:rPr>
                <w:t>Lentelė Nr. 2</w:t>
              </w: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134"/>
                <w:gridCol w:w="2693"/>
                <w:gridCol w:w="1417"/>
                <w:gridCol w:w="2127"/>
                <w:gridCol w:w="992"/>
                <w:gridCol w:w="1134"/>
                <w:gridCol w:w="4252"/>
              </w:tblGrid>
              <w:tr w14:paraId="1AAD6C5A" w14:textId="77777777">
                <w:trPr>
                  <w:trHeight w:val="223"/>
                </w:trPr>
                <w:tc>
                  <w:tcPr>
                    <w:tcW w:w="15304" w:type="dxa"/>
                    <w:gridSpan w:val="8"/>
                    <w:tcBorders>
                      <w:bottom w:val="single" w:sz="4" w:space="0" w:color="auto"/>
                    </w:tcBorders>
                    <w:shd w:val="pct10" w:color="auto" w:fill="auto"/>
                  </w:tcPr>
                  <w:p w14:paraId="10BF6C61" w14:textId="77777777">
                    <w:pPr>
                      <w:jc w:val="center"/>
                      <w:rPr>
                        <w:b/>
                        <w:i/>
                        <w:color w:val="000000"/>
                        <w:sz w:val="22"/>
                        <w:szCs w:val="22"/>
                      </w:rPr>
                    </w:pPr>
                    <w:r>
                      <w:rPr>
                        <w:b/>
                        <w:color w:val="000000"/>
                        <w:sz w:val="22"/>
                        <w:szCs w:val="22"/>
                      </w:rPr>
                      <w:t>Pažangos priemonės veiklų produkto rodikliai</w:t>
                    </w:r>
                  </w:p>
                </w:tc>
              </w:tr>
              <w:tr w14:paraId="5BD1191B" w14:textId="77777777">
                <w:trPr>
                  <w:trHeight w:val="459"/>
                </w:trPr>
                <w:tc>
                  <w:tcPr>
                    <w:tcW w:w="1555" w:type="dxa"/>
                    <w:vMerge w:val="restart"/>
                    <w:shd w:val="pct10" w:color="auto" w:fill="auto"/>
                    <w:vAlign w:val="center"/>
                  </w:tcPr>
                  <w:p w14:paraId="0A228B7F" w14:textId="77777777">
                    <w:pPr>
                      <w:jc w:val="center"/>
                      <w:rPr>
                        <w:b/>
                        <w:color w:val="000000"/>
                        <w:sz w:val="22"/>
                        <w:szCs w:val="22"/>
                      </w:rPr>
                    </w:pPr>
                    <w:r>
                      <w:rPr>
                        <w:b/>
                        <w:color w:val="000000"/>
                        <w:sz w:val="22"/>
                        <w:szCs w:val="22"/>
                      </w:rPr>
                      <w:t>Veiklos pavadinimas</w:t>
                    </w:r>
                  </w:p>
                </w:tc>
                <w:tc>
                  <w:tcPr>
                    <w:tcW w:w="1134" w:type="dxa"/>
                    <w:vMerge w:val="restart"/>
                    <w:shd w:val="pct10" w:color="auto" w:fill="auto"/>
                    <w:vAlign w:val="center"/>
                  </w:tcPr>
                  <w:p w14:paraId="6A4E2F99" w14:textId="77777777">
                    <w:pPr>
                      <w:jc w:val="center"/>
                      <w:rPr>
                        <w:b/>
                        <w:color w:val="000000"/>
                        <w:sz w:val="22"/>
                        <w:szCs w:val="22"/>
                      </w:rPr>
                    </w:pPr>
                    <w:r>
                      <w:rPr>
                        <w:b/>
                        <w:color w:val="000000"/>
                        <w:sz w:val="22"/>
                        <w:szCs w:val="22"/>
                      </w:rPr>
                      <w:t>Rodiklio kodas</w:t>
                    </w:r>
                  </w:p>
                </w:tc>
                <w:tc>
                  <w:tcPr>
                    <w:tcW w:w="2693" w:type="dxa"/>
                    <w:vMerge w:val="restart"/>
                    <w:shd w:val="pct10" w:color="auto" w:fill="auto"/>
                    <w:vAlign w:val="center"/>
                  </w:tcPr>
                  <w:p w14:paraId="5484DDB8" w14:textId="77777777">
                    <w:pPr>
                      <w:jc w:val="center"/>
                      <w:rPr>
                        <w:b/>
                        <w:color w:val="000000"/>
                        <w:sz w:val="22"/>
                        <w:szCs w:val="22"/>
                      </w:rPr>
                    </w:pPr>
                    <w:r>
                      <w:rPr>
                        <w:b/>
                        <w:color w:val="000000"/>
                        <w:sz w:val="22"/>
                        <w:szCs w:val="22"/>
                      </w:rPr>
                      <w:t>Rodiklio pavadinimas, matavimo vienetas</w:t>
                    </w:r>
                  </w:p>
                </w:tc>
                <w:tc>
                  <w:tcPr>
                    <w:tcW w:w="3544" w:type="dxa"/>
                    <w:gridSpan w:val="2"/>
                    <w:shd w:val="pct10" w:color="auto" w:fill="auto"/>
                    <w:vAlign w:val="center"/>
                  </w:tcPr>
                  <w:p w14:paraId="083AAD38" w14:textId="77777777">
                    <w:pPr>
                      <w:jc w:val="center"/>
                      <w:rPr>
                        <w:b/>
                        <w:i/>
                        <w:color w:val="000000"/>
                        <w:sz w:val="22"/>
                        <w:szCs w:val="22"/>
                      </w:rPr>
                    </w:pPr>
                    <w:r>
                      <w:rPr>
                        <w:b/>
                        <w:color w:val="000000"/>
                        <w:sz w:val="22"/>
                        <w:szCs w:val="22"/>
                      </w:rPr>
                      <w:t>Rodikliui pasiekti planuojama panaudoti pažangos lėšų suma, Eur</w:t>
                    </w:r>
                  </w:p>
                </w:tc>
                <w:tc>
                  <w:tcPr>
                    <w:tcW w:w="2126" w:type="dxa"/>
                    <w:gridSpan w:val="2"/>
                    <w:shd w:val="pct10" w:color="auto" w:fill="auto"/>
                    <w:vAlign w:val="center"/>
                  </w:tcPr>
                  <w:p w14:paraId="4E13FADC" w14:textId="77777777">
                    <w:pPr>
                      <w:jc w:val="center"/>
                      <w:rPr>
                        <w:b/>
                        <w:i/>
                        <w:color w:val="000000"/>
                        <w:sz w:val="22"/>
                        <w:szCs w:val="22"/>
                      </w:rPr>
                    </w:pPr>
                    <w:r>
                      <w:rPr>
                        <w:b/>
                        <w:color w:val="000000"/>
                        <w:sz w:val="22"/>
                        <w:szCs w:val="22"/>
                      </w:rPr>
                      <w:t>Siektinos rodiklio reikšmės</w:t>
                    </w:r>
                  </w:p>
                </w:tc>
                <w:tc>
                  <w:tcPr>
                    <w:tcW w:w="4252" w:type="dxa"/>
                    <w:vMerge w:val="restart"/>
                    <w:shd w:val="pct10" w:color="auto" w:fill="auto"/>
                    <w:vAlign w:val="center"/>
                  </w:tcPr>
                  <w:p w14:paraId="6F8BA8A1" w14:textId="77777777">
                    <w:pPr>
                      <w:jc w:val="center"/>
                      <w:rPr>
                        <w:b/>
                        <w:i/>
                        <w:color w:val="000000"/>
                        <w:sz w:val="22"/>
                        <w:szCs w:val="22"/>
                      </w:rPr>
                    </w:pPr>
                    <w:r>
                      <w:rPr>
                        <w:b/>
                        <w:color w:val="000000"/>
                        <w:sz w:val="22"/>
                        <w:szCs w:val="22"/>
                      </w:rPr>
                      <w:t>Siektinos rodiklio reikšmės nustatymo pagrindimas</w:t>
                    </w:r>
                  </w:p>
                </w:tc>
              </w:tr>
              <w:tr w14:paraId="1F67D37B" w14:textId="77777777">
                <w:trPr>
                  <w:trHeight w:val="920"/>
                </w:trPr>
                <w:tc>
                  <w:tcPr>
                    <w:tcW w:w="1555" w:type="dxa"/>
                    <w:vMerge/>
                    <w:tcBorders>
                      <w:bottom w:val="single" w:sz="4" w:space="0" w:color="auto"/>
                    </w:tcBorders>
                    <w:shd w:val="pct10" w:color="auto" w:fill="auto"/>
                  </w:tcPr>
                  <w:p w14:paraId="7FBCFAF2" w14:textId="77777777">
                    <w:pPr>
                      <w:jc w:val="both"/>
                      <w:rPr>
                        <w:b/>
                        <w:i/>
                        <w:color w:val="000000"/>
                        <w:sz w:val="22"/>
                        <w:szCs w:val="22"/>
                      </w:rPr>
                    </w:pPr>
                  </w:p>
                </w:tc>
                <w:tc>
                  <w:tcPr>
                    <w:tcW w:w="1134" w:type="dxa"/>
                    <w:vMerge/>
                    <w:tcBorders>
                      <w:bottom w:val="single" w:sz="4" w:space="0" w:color="auto"/>
                    </w:tcBorders>
                    <w:shd w:val="pct10" w:color="auto" w:fill="auto"/>
                  </w:tcPr>
                  <w:p w14:paraId="0FF40376" w14:textId="77777777">
                    <w:pPr>
                      <w:jc w:val="both"/>
                      <w:rPr>
                        <w:b/>
                        <w:i/>
                        <w:color w:val="000000"/>
                        <w:sz w:val="22"/>
                        <w:szCs w:val="22"/>
                      </w:rPr>
                    </w:pPr>
                  </w:p>
                </w:tc>
                <w:tc>
                  <w:tcPr>
                    <w:tcW w:w="2693" w:type="dxa"/>
                    <w:vMerge/>
                    <w:tcBorders>
                      <w:bottom w:val="single" w:sz="4" w:space="0" w:color="auto"/>
                    </w:tcBorders>
                    <w:shd w:val="pct10" w:color="auto" w:fill="auto"/>
                  </w:tcPr>
                  <w:p w14:paraId="1F358EED" w14:textId="77777777">
                    <w:pPr>
                      <w:jc w:val="both"/>
                      <w:rPr>
                        <w:b/>
                        <w:i/>
                        <w:color w:val="000000"/>
                        <w:sz w:val="22"/>
                        <w:szCs w:val="22"/>
                      </w:rPr>
                    </w:pPr>
                  </w:p>
                </w:tc>
                <w:tc>
                  <w:tcPr>
                    <w:tcW w:w="1417" w:type="dxa"/>
                    <w:tcBorders>
                      <w:bottom w:val="single" w:sz="4" w:space="0" w:color="auto"/>
                    </w:tcBorders>
                    <w:shd w:val="pct10" w:color="auto" w:fill="auto"/>
                  </w:tcPr>
                  <w:p w14:paraId="64B8D165" w14:textId="77777777">
                    <w:pPr>
                      <w:jc w:val="center"/>
                      <w:rPr>
                        <w:b/>
                        <w:i/>
                        <w:color w:val="000000"/>
                        <w:sz w:val="22"/>
                        <w:szCs w:val="22"/>
                      </w:rPr>
                    </w:pPr>
                    <w:r>
                      <w:rPr>
                        <w:b/>
                        <w:color w:val="000000"/>
                        <w:sz w:val="22"/>
                        <w:szCs w:val="22"/>
                      </w:rPr>
                      <w:t>Iš viso</w:t>
                    </w:r>
                  </w:p>
                </w:tc>
                <w:tc>
                  <w:tcPr>
                    <w:tcW w:w="2127" w:type="dxa"/>
                    <w:tcBorders>
                      <w:bottom w:val="single" w:sz="4" w:space="0" w:color="auto"/>
                    </w:tcBorders>
                    <w:shd w:val="pct10" w:color="auto" w:fill="auto"/>
                  </w:tcPr>
                  <w:p w14:paraId="2145EB7B" w14:textId="77777777">
                    <w:pPr>
                      <w:jc w:val="center"/>
                      <w:rPr>
                        <w:b/>
                        <w:i/>
                        <w:color w:val="000000"/>
                        <w:sz w:val="22"/>
                        <w:szCs w:val="22"/>
                      </w:rPr>
                    </w:pPr>
                    <w:r>
                      <w:rPr>
                        <w:b/>
                        <w:color w:val="000000"/>
                        <w:sz w:val="22"/>
                        <w:szCs w:val="22"/>
                      </w:rPr>
                      <w:t>Iš jų ES, kitos tarptautinės finansinės paramos ir valstybės biudžeto lėšų suma</w:t>
                    </w:r>
                  </w:p>
                </w:tc>
                <w:tc>
                  <w:tcPr>
                    <w:tcW w:w="992" w:type="dxa"/>
                    <w:tcBorders>
                      <w:bottom w:val="single" w:sz="4" w:space="0" w:color="auto"/>
                    </w:tcBorders>
                    <w:shd w:val="pct10" w:color="auto" w:fill="auto"/>
                  </w:tcPr>
                  <w:p w14:paraId="126794B8" w14:textId="77777777">
                    <w:pPr>
                      <w:jc w:val="center"/>
                      <w:rPr>
                        <w:b/>
                        <w:i/>
                        <w:color w:val="000000"/>
                        <w:sz w:val="22"/>
                        <w:szCs w:val="22"/>
                      </w:rPr>
                    </w:pPr>
                    <w:r>
                      <w:rPr>
                        <w:b/>
                        <w:color w:val="000000"/>
                        <w:sz w:val="22"/>
                        <w:szCs w:val="22"/>
                      </w:rPr>
                      <w:t>Tarpinė reikšmė (2025)</w:t>
                    </w:r>
                  </w:p>
                </w:tc>
                <w:tc>
                  <w:tcPr>
                    <w:tcW w:w="1134" w:type="dxa"/>
                    <w:tcBorders>
                      <w:bottom w:val="single" w:sz="4" w:space="0" w:color="auto"/>
                    </w:tcBorders>
                    <w:shd w:val="pct10" w:color="auto" w:fill="auto"/>
                  </w:tcPr>
                  <w:p w14:paraId="4BD53087" w14:textId="7147D918">
                    <w:pPr>
                      <w:jc w:val="center"/>
                      <w:rPr>
                        <w:b/>
                        <w:i/>
                        <w:color w:val="000000"/>
                        <w:sz w:val="22"/>
                        <w:szCs w:val="22"/>
                      </w:rPr>
                    </w:pPr>
                    <w:r>
                      <w:rPr>
                        <w:b/>
                        <w:color w:val="000000"/>
                        <w:sz w:val="22"/>
                        <w:szCs w:val="22"/>
                      </w:rPr>
                      <w:t>Galutinė reikšmė (2030)</w:t>
                    </w:r>
                  </w:p>
                </w:tc>
                <w:tc>
                  <w:tcPr>
                    <w:tcW w:w="4252" w:type="dxa"/>
                    <w:vMerge/>
                    <w:tcBorders>
                      <w:bottom w:val="single" w:sz="4" w:space="0" w:color="auto"/>
                    </w:tcBorders>
                    <w:shd w:val="pct10" w:color="auto" w:fill="auto"/>
                  </w:tcPr>
                  <w:p w14:paraId="4CB38E53" w14:textId="77777777">
                    <w:pPr>
                      <w:jc w:val="both"/>
                      <w:rPr>
                        <w:b/>
                        <w:i/>
                        <w:color w:val="000000"/>
                        <w:sz w:val="22"/>
                        <w:szCs w:val="22"/>
                      </w:rPr>
                    </w:pPr>
                  </w:p>
                </w:tc>
              </w:tr>
              <w:tr w14:paraId="7C484F59" w14:textId="77777777">
                <w:trPr>
                  <w:trHeight w:val="223"/>
                </w:trPr>
                <w:tc>
                  <w:tcPr>
                    <w:tcW w:w="1555" w:type="dxa"/>
                    <w:shd w:val="pct10" w:color="auto" w:fill="auto"/>
                  </w:tcPr>
                  <w:p w14:paraId="6D28DA8A" w14:textId="77777777">
                    <w:pPr>
                      <w:jc w:val="center"/>
                      <w:rPr>
                        <w:b/>
                        <w:color w:val="000000"/>
                        <w:sz w:val="22"/>
                        <w:szCs w:val="22"/>
                      </w:rPr>
                    </w:pPr>
                    <w:r>
                      <w:rPr>
                        <w:b/>
                        <w:color w:val="000000"/>
                        <w:sz w:val="22"/>
                        <w:szCs w:val="22"/>
                      </w:rPr>
                      <w:t>1</w:t>
                    </w:r>
                  </w:p>
                </w:tc>
                <w:tc>
                  <w:tcPr>
                    <w:tcW w:w="1134" w:type="dxa"/>
                    <w:shd w:val="pct10" w:color="auto" w:fill="auto"/>
                  </w:tcPr>
                  <w:p w14:paraId="5354DD90" w14:textId="77777777">
                    <w:pPr>
                      <w:jc w:val="center"/>
                      <w:rPr>
                        <w:b/>
                        <w:color w:val="000000"/>
                        <w:sz w:val="22"/>
                        <w:szCs w:val="22"/>
                      </w:rPr>
                    </w:pPr>
                    <w:r>
                      <w:rPr>
                        <w:b/>
                        <w:color w:val="000000"/>
                        <w:sz w:val="22"/>
                        <w:szCs w:val="22"/>
                      </w:rPr>
                      <w:t>2</w:t>
                    </w:r>
                  </w:p>
                </w:tc>
                <w:tc>
                  <w:tcPr>
                    <w:tcW w:w="2693" w:type="dxa"/>
                    <w:shd w:val="pct10" w:color="auto" w:fill="auto"/>
                  </w:tcPr>
                  <w:p w14:paraId="79C4B9D9" w14:textId="77777777">
                    <w:pPr>
                      <w:jc w:val="center"/>
                      <w:rPr>
                        <w:b/>
                        <w:color w:val="000000"/>
                        <w:sz w:val="22"/>
                        <w:szCs w:val="22"/>
                      </w:rPr>
                    </w:pPr>
                    <w:r>
                      <w:rPr>
                        <w:b/>
                        <w:color w:val="000000"/>
                        <w:sz w:val="22"/>
                        <w:szCs w:val="22"/>
                      </w:rPr>
                      <w:t>3</w:t>
                    </w:r>
                  </w:p>
                </w:tc>
                <w:tc>
                  <w:tcPr>
                    <w:tcW w:w="1417" w:type="dxa"/>
                    <w:shd w:val="pct10" w:color="auto" w:fill="auto"/>
                  </w:tcPr>
                  <w:p w14:paraId="0B1AA030" w14:textId="77777777">
                    <w:pPr>
                      <w:jc w:val="center"/>
                      <w:rPr>
                        <w:b/>
                        <w:color w:val="000000"/>
                        <w:sz w:val="22"/>
                        <w:szCs w:val="22"/>
                      </w:rPr>
                    </w:pPr>
                    <w:r>
                      <w:rPr>
                        <w:b/>
                        <w:color w:val="000000"/>
                        <w:sz w:val="22"/>
                        <w:szCs w:val="22"/>
                      </w:rPr>
                      <w:t>4</w:t>
                    </w:r>
                  </w:p>
                </w:tc>
                <w:tc>
                  <w:tcPr>
                    <w:tcW w:w="2127" w:type="dxa"/>
                    <w:shd w:val="pct10" w:color="auto" w:fill="auto"/>
                  </w:tcPr>
                  <w:p w14:paraId="178009B6" w14:textId="77777777">
                    <w:pPr>
                      <w:jc w:val="center"/>
                      <w:rPr>
                        <w:b/>
                        <w:color w:val="000000"/>
                        <w:sz w:val="22"/>
                        <w:szCs w:val="22"/>
                      </w:rPr>
                    </w:pPr>
                    <w:r>
                      <w:rPr>
                        <w:b/>
                        <w:color w:val="000000"/>
                        <w:sz w:val="22"/>
                        <w:szCs w:val="22"/>
                      </w:rPr>
                      <w:t>5</w:t>
                    </w:r>
                  </w:p>
                </w:tc>
                <w:tc>
                  <w:tcPr>
                    <w:tcW w:w="992" w:type="dxa"/>
                    <w:shd w:val="pct10" w:color="auto" w:fill="auto"/>
                  </w:tcPr>
                  <w:p w14:paraId="26014E68" w14:textId="77777777">
                    <w:pPr>
                      <w:jc w:val="center"/>
                      <w:rPr>
                        <w:b/>
                        <w:color w:val="000000"/>
                        <w:sz w:val="22"/>
                        <w:szCs w:val="22"/>
                      </w:rPr>
                    </w:pPr>
                    <w:r>
                      <w:rPr>
                        <w:b/>
                        <w:color w:val="000000"/>
                        <w:sz w:val="22"/>
                        <w:szCs w:val="22"/>
                      </w:rPr>
                      <w:t>6</w:t>
                    </w:r>
                  </w:p>
                </w:tc>
                <w:tc>
                  <w:tcPr>
                    <w:tcW w:w="1134" w:type="dxa"/>
                    <w:shd w:val="pct10" w:color="auto" w:fill="auto"/>
                  </w:tcPr>
                  <w:p w14:paraId="1B29A39B" w14:textId="77777777">
                    <w:pPr>
                      <w:jc w:val="center"/>
                      <w:rPr>
                        <w:b/>
                        <w:color w:val="000000"/>
                        <w:sz w:val="22"/>
                        <w:szCs w:val="22"/>
                      </w:rPr>
                    </w:pPr>
                    <w:r>
                      <w:rPr>
                        <w:b/>
                        <w:color w:val="000000"/>
                        <w:sz w:val="22"/>
                        <w:szCs w:val="22"/>
                      </w:rPr>
                      <w:t>7</w:t>
                    </w:r>
                  </w:p>
                </w:tc>
                <w:tc>
                  <w:tcPr>
                    <w:tcW w:w="4252" w:type="dxa"/>
                    <w:shd w:val="pct10" w:color="auto" w:fill="auto"/>
                  </w:tcPr>
                  <w:p w14:paraId="27763126" w14:textId="77777777">
                    <w:pPr>
                      <w:jc w:val="center"/>
                      <w:rPr>
                        <w:b/>
                        <w:color w:val="000000"/>
                        <w:sz w:val="22"/>
                        <w:szCs w:val="22"/>
                      </w:rPr>
                    </w:pPr>
                    <w:r>
                      <w:rPr>
                        <w:b/>
                        <w:color w:val="000000"/>
                        <w:sz w:val="22"/>
                        <w:szCs w:val="22"/>
                      </w:rPr>
                      <w:t>8</w:t>
                    </w:r>
                  </w:p>
                </w:tc>
              </w:tr>
              <w:tr w14:paraId="69C5C0F1" w14:textId="77777777">
                <w:trPr>
                  <w:trHeight w:val="223"/>
                </w:trPr>
                <w:tc>
                  <w:tcPr>
                    <w:tcW w:w="1555" w:type="dxa"/>
                    <w:vMerge w:val="restart"/>
                    <w:shd w:val="clear" w:color="auto" w:fill="auto"/>
                    <w:vAlign w:val="center"/>
                  </w:tcPr>
                  <w:p w14:paraId="2F0BCF39" w14:textId="41B5DFC5">
                    <w:pPr>
                      <w:rPr>
                        <w:bCs/>
                        <w:color w:val="000000"/>
                        <w:sz w:val="22"/>
                        <w:szCs w:val="22"/>
                      </w:rPr>
                    </w:pPr>
                    <w:r>
                      <w:rPr>
                        <w:bCs/>
                        <w:color w:val="000000"/>
                        <w:sz w:val="22"/>
                        <w:szCs w:val="22"/>
                      </w:rPr>
                      <w:t>Padidinti ugdymo prieinamumą ir sudaryti sąlygas visos dienos mokyklai</w:t>
                    </w:r>
                  </w:p>
                </w:tc>
                <w:tc>
                  <w:tcPr>
                    <w:tcW w:w="1134" w:type="dxa"/>
                    <w:shd w:val="clear" w:color="auto" w:fill="auto"/>
                  </w:tcPr>
                  <w:p w14:paraId="731980FD" w14:textId="06ED4304">
                    <w:pPr>
                      <w:jc w:val="center"/>
                      <w:rPr>
                        <w:bCs/>
                        <w:color w:val="000000"/>
                        <w:sz w:val="22"/>
                        <w:szCs w:val="22"/>
                      </w:rPr>
                    </w:pPr>
                    <w:r>
                      <w:rPr>
                        <w:bCs/>
                        <w:color w:val="000000"/>
                        <w:sz w:val="22"/>
                        <w:szCs w:val="22"/>
                        <w:lang w:eastAsia="lt-LT"/>
                      </w:rPr>
                      <w:t>P.B.2067</w:t>
                    </w:r>
                  </w:p>
                </w:tc>
                <w:tc>
                  <w:tcPr>
                    <w:tcW w:w="2693" w:type="dxa"/>
                    <w:shd w:val="clear" w:color="auto" w:fill="auto"/>
                  </w:tcPr>
                  <w:p w14:paraId="34766E76" w14:textId="4E501D2E">
                    <w:pPr>
                      <w:rPr>
                        <w:bCs/>
                        <w:color w:val="000000"/>
                        <w:sz w:val="22"/>
                        <w:szCs w:val="22"/>
                      </w:rPr>
                    </w:pPr>
                    <w:r>
                      <w:rPr>
                        <w:bCs/>
                        <w:color w:val="000000"/>
                        <w:sz w:val="22"/>
                        <w:szCs w:val="22"/>
                        <w:lang w:eastAsia="lt-LT"/>
                      </w:rPr>
                      <w:t>Naujos arba modernizuotos švietimo infrastruktūros mokymo klasių talpumas, asmenys</w:t>
                    </w:r>
                  </w:p>
                </w:tc>
                <w:tc>
                  <w:tcPr>
                    <w:tcW w:w="1417" w:type="dxa"/>
                    <w:vMerge w:val="restart"/>
                    <w:shd w:val="clear" w:color="auto" w:fill="auto"/>
                    <w:vAlign w:val="center"/>
                  </w:tcPr>
                  <w:p w14:paraId="3E7864C8" w14:textId="51F15797">
                    <w:pPr>
                      <w:jc w:val="center"/>
                      <w:rPr>
                        <w:color w:val="000000"/>
                        <w:sz w:val="22"/>
                        <w:szCs w:val="22"/>
                      </w:rPr>
                    </w:pPr>
                    <w:r>
                      <w:rPr>
                        <w:color w:val="000000"/>
                        <w:sz w:val="22"/>
                        <w:szCs w:val="22"/>
                      </w:rPr>
                      <w:t>9.571.521,30</w:t>
                    </w:r>
                  </w:p>
                </w:tc>
                <w:tc>
                  <w:tcPr>
                    <w:tcW w:w="2127" w:type="dxa"/>
                    <w:vMerge w:val="restart"/>
                    <w:shd w:val="clear" w:color="auto" w:fill="auto"/>
                    <w:vAlign w:val="center"/>
                  </w:tcPr>
                  <w:p w14:paraId="2BBF242D" w14:textId="2743FA7F">
                    <w:pPr>
                      <w:jc w:val="center"/>
                      <w:rPr>
                        <w:color w:val="000000"/>
                        <w:sz w:val="22"/>
                        <w:szCs w:val="22"/>
                      </w:rPr>
                    </w:pPr>
                    <w:r>
                      <w:rPr>
                        <w:color w:val="000000"/>
                        <w:sz w:val="22"/>
                        <w:szCs w:val="22"/>
                      </w:rPr>
                      <w:t>8.135.793,10</w:t>
                    </w:r>
                  </w:p>
                </w:tc>
                <w:tc>
                  <w:tcPr>
                    <w:tcW w:w="992" w:type="dxa"/>
                    <w:shd w:val="clear" w:color="auto" w:fill="auto"/>
                    <w:vAlign w:val="center"/>
                  </w:tcPr>
                  <w:p w14:paraId="5EDB8BD1" w14:textId="594C74CD">
                    <w:pPr>
                      <w:jc w:val="right"/>
                      <w:rPr>
                        <w:bCs/>
                        <w:color w:val="000000"/>
                        <w:sz w:val="22"/>
                        <w:szCs w:val="22"/>
                      </w:rPr>
                    </w:pPr>
                    <w:r>
                      <w:rPr>
                        <w:bCs/>
                        <w:color w:val="000000"/>
                        <w:sz w:val="22"/>
                        <w:szCs w:val="22"/>
                      </w:rPr>
                      <w:t>0</w:t>
                    </w:r>
                  </w:p>
                </w:tc>
                <w:tc>
                  <w:tcPr>
                    <w:tcW w:w="1134" w:type="dxa"/>
                    <w:shd w:val="clear" w:color="auto" w:fill="auto"/>
                    <w:vAlign w:val="center"/>
                  </w:tcPr>
                  <w:p w14:paraId="278FB6FB" w14:textId="71F898F1">
                    <w:pPr>
                      <w:jc w:val="right"/>
                      <w:rPr>
                        <w:bCs/>
                        <w:color w:val="000000"/>
                        <w:sz w:val="22"/>
                        <w:szCs w:val="22"/>
                      </w:rPr>
                    </w:pPr>
                    <w:r>
                      <w:rPr>
                        <w:bCs/>
                        <w:color w:val="000000"/>
                        <w:sz w:val="22"/>
                        <w:szCs w:val="22"/>
                        <w:lang w:eastAsia="lt-LT"/>
                      </w:rPr>
                      <w:t>11.829</w:t>
                    </w:r>
                  </w:p>
                </w:tc>
                <w:tc>
                  <w:tcPr>
                    <w:tcW w:w="4252" w:type="dxa"/>
                    <w:shd w:val="clear" w:color="auto" w:fill="auto"/>
                  </w:tcPr>
                  <w:p w14:paraId="4F6B7DCB" w14:textId="5999FF87">
                    <w:pPr>
                      <w:rPr>
                        <w:bCs/>
                        <w:color w:val="000000"/>
                        <w:sz w:val="22"/>
                        <w:szCs w:val="22"/>
                      </w:rPr>
                    </w:pPr>
                    <w:r>
                      <w:rPr>
                        <w:iCs/>
                        <w:color w:val="000000"/>
                        <w:sz w:val="22"/>
                        <w:szCs w:val="22"/>
                      </w:rPr>
                      <w:t>Preliminari reikšmė, apskaičiuota remiantis numatomų įgyvendinti projektų (1.1.4.-1.1.6, 1.1.8-1.1.10. ir 1.1.12.-1.1.15.) informacija apie mokyklas, kuriose numatoma įdiegti universalaus dizaino priemones bei apie mokyklas, kuriose planuojama pritaikyti erdves visos dienos mokyklos veikloms, duomenimis</w:t>
                    </w:r>
                  </w:p>
                </w:tc>
              </w:tr>
              <w:tr w14:paraId="7DEF564E" w14:textId="77777777">
                <w:trPr>
                  <w:trHeight w:val="223"/>
                </w:trPr>
                <w:tc>
                  <w:tcPr>
                    <w:tcW w:w="1555" w:type="dxa"/>
                    <w:vMerge/>
                    <w:shd w:val="clear" w:color="auto" w:fill="auto"/>
                  </w:tcPr>
                  <w:p w14:paraId="3827282D" w14:textId="77777777">
                    <w:pPr>
                      <w:jc w:val="center"/>
                      <w:rPr>
                        <w:bCs/>
                        <w:color w:val="000000"/>
                        <w:sz w:val="22"/>
                        <w:szCs w:val="22"/>
                      </w:rPr>
                    </w:pPr>
                  </w:p>
                </w:tc>
                <w:tc>
                  <w:tcPr>
                    <w:tcW w:w="1134" w:type="dxa"/>
                    <w:shd w:val="clear" w:color="auto" w:fill="auto"/>
                  </w:tcPr>
                  <w:p w14:paraId="513D1758" w14:textId="7C6202EE">
                    <w:pPr>
                      <w:jc w:val="center"/>
                      <w:rPr>
                        <w:bCs/>
                        <w:color w:val="000000"/>
                        <w:sz w:val="22"/>
                        <w:szCs w:val="22"/>
                      </w:rPr>
                    </w:pPr>
                    <w:r>
                      <w:rPr>
                        <w:bCs/>
                        <w:color w:val="000000"/>
                        <w:sz w:val="22"/>
                        <w:szCs w:val="22"/>
                        <w:lang w:eastAsia="lt-LT"/>
                      </w:rPr>
                      <w:t>P.S.2025</w:t>
                    </w:r>
                  </w:p>
                </w:tc>
                <w:tc>
                  <w:tcPr>
                    <w:tcW w:w="2693" w:type="dxa"/>
                    <w:shd w:val="clear" w:color="auto" w:fill="auto"/>
                  </w:tcPr>
                  <w:p w14:paraId="2FB5725F" w14:textId="249828CD">
                    <w:pPr>
                      <w:rPr>
                        <w:bCs/>
                        <w:color w:val="000000"/>
                        <w:sz w:val="22"/>
                        <w:szCs w:val="22"/>
                      </w:rPr>
                    </w:pPr>
                    <w:r>
                      <w:rPr>
                        <w:bCs/>
                        <w:color w:val="000000"/>
                        <w:sz w:val="22"/>
                        <w:szCs w:val="22"/>
                        <w:lang w:eastAsia="lt-LT"/>
                      </w:rPr>
                      <w:t>Mokyklos, kuriose buvo įdiegtos universalaus dizaino ir kitos inžinerinės priemonės pritaikant aplinką asmenims, turintiems negalią, skaičius</w:t>
                    </w:r>
                  </w:p>
                </w:tc>
                <w:tc>
                  <w:tcPr>
                    <w:tcW w:w="1417" w:type="dxa"/>
                    <w:vMerge/>
                    <w:shd w:val="clear" w:color="auto" w:fill="auto"/>
                  </w:tcPr>
                  <w:p w14:paraId="5EF17376" w14:textId="77777777">
                    <w:pPr>
                      <w:jc w:val="center"/>
                      <w:rPr>
                        <w:bCs/>
                        <w:color w:val="000000"/>
                        <w:sz w:val="22"/>
                        <w:szCs w:val="22"/>
                      </w:rPr>
                    </w:pPr>
                  </w:p>
                </w:tc>
                <w:tc>
                  <w:tcPr>
                    <w:tcW w:w="2127" w:type="dxa"/>
                    <w:vMerge/>
                    <w:shd w:val="clear" w:color="auto" w:fill="auto"/>
                  </w:tcPr>
                  <w:p w14:paraId="6FE7649C" w14:textId="77777777">
                    <w:pPr>
                      <w:jc w:val="center"/>
                      <w:rPr>
                        <w:bCs/>
                        <w:color w:val="000000"/>
                        <w:sz w:val="22"/>
                        <w:szCs w:val="22"/>
                      </w:rPr>
                    </w:pPr>
                  </w:p>
                </w:tc>
                <w:tc>
                  <w:tcPr>
                    <w:tcW w:w="992" w:type="dxa"/>
                    <w:shd w:val="clear" w:color="auto" w:fill="auto"/>
                    <w:vAlign w:val="center"/>
                  </w:tcPr>
                  <w:p w14:paraId="1B0BA059" w14:textId="6529BA22">
                    <w:pPr>
                      <w:jc w:val="right"/>
                      <w:rPr>
                        <w:bCs/>
                        <w:color w:val="000000"/>
                        <w:sz w:val="22"/>
                        <w:szCs w:val="22"/>
                      </w:rPr>
                    </w:pPr>
                    <w:r>
                      <w:rPr>
                        <w:bCs/>
                        <w:color w:val="000000"/>
                        <w:sz w:val="22"/>
                        <w:szCs w:val="22"/>
                      </w:rPr>
                      <w:t>0</w:t>
                    </w:r>
                  </w:p>
                </w:tc>
                <w:tc>
                  <w:tcPr>
                    <w:tcW w:w="1134" w:type="dxa"/>
                    <w:shd w:val="clear" w:color="auto" w:fill="auto"/>
                    <w:vAlign w:val="center"/>
                  </w:tcPr>
                  <w:p w14:paraId="28132A8F" w14:textId="57176915">
                    <w:pPr>
                      <w:jc w:val="right"/>
                      <w:rPr>
                        <w:bCs/>
                        <w:color w:val="000000"/>
                        <w:sz w:val="22"/>
                        <w:szCs w:val="22"/>
                      </w:rPr>
                    </w:pPr>
                    <w:r>
                      <w:rPr>
                        <w:bCs/>
                        <w:color w:val="000000"/>
                        <w:sz w:val="22"/>
                        <w:szCs w:val="22"/>
                      </w:rPr>
                      <w:t>6</w:t>
                    </w:r>
                  </w:p>
                </w:tc>
                <w:tc>
                  <w:tcPr>
                    <w:tcW w:w="4252" w:type="dxa"/>
                    <w:shd w:val="clear" w:color="auto" w:fill="auto"/>
                  </w:tcPr>
                  <w:p w14:paraId="02547A95" w14:textId="6C927B02">
                    <w:pPr>
                      <w:rPr>
                        <w:bCs/>
                        <w:color w:val="000000"/>
                        <w:sz w:val="22"/>
                        <w:szCs w:val="22"/>
                      </w:rPr>
                    </w:pPr>
                    <w:r>
                      <w:rPr>
                        <w:iCs/>
                        <w:color w:val="000000"/>
                        <w:sz w:val="22"/>
                        <w:szCs w:val="22"/>
                      </w:rPr>
                      <w:t>Preliminari reikšmė, apskaičiuota remiantis numatomų įgyvendinti projektų (1.1.4.-1.1.6. ir 1.1.8.-1.1.9.) informacija apie mokyklas, kuriose numatoma įdiegti universalaus dizaino priemones</w:t>
                    </w:r>
                  </w:p>
                </w:tc>
              </w:tr>
              <w:tr w14:paraId="70F1FEF1" w14:textId="77777777">
                <w:trPr>
                  <w:trHeight w:val="223"/>
                </w:trPr>
                <w:tc>
                  <w:tcPr>
                    <w:tcW w:w="1555" w:type="dxa"/>
                    <w:vMerge/>
                    <w:shd w:val="clear" w:color="auto" w:fill="auto"/>
                  </w:tcPr>
                  <w:p w14:paraId="61CCCE0F" w14:textId="77777777">
                    <w:pPr>
                      <w:jc w:val="center"/>
                      <w:rPr>
                        <w:bCs/>
                        <w:color w:val="000000"/>
                        <w:sz w:val="22"/>
                        <w:szCs w:val="22"/>
                      </w:rPr>
                    </w:pPr>
                  </w:p>
                </w:tc>
                <w:tc>
                  <w:tcPr>
                    <w:tcW w:w="1134" w:type="dxa"/>
                    <w:shd w:val="clear" w:color="auto" w:fill="auto"/>
                  </w:tcPr>
                  <w:p w14:paraId="090A034C" w14:textId="3C474F45">
                    <w:pPr>
                      <w:jc w:val="center"/>
                      <w:rPr>
                        <w:bCs/>
                        <w:color w:val="000000"/>
                        <w:sz w:val="22"/>
                        <w:szCs w:val="22"/>
                      </w:rPr>
                    </w:pPr>
                    <w:r>
                      <w:rPr>
                        <w:bCs/>
                        <w:color w:val="000000"/>
                        <w:sz w:val="22"/>
                        <w:szCs w:val="22"/>
                        <w:lang w:eastAsia="lt-LT"/>
                      </w:rPr>
                      <w:t>P.B.2066</w:t>
                    </w:r>
                  </w:p>
                </w:tc>
                <w:tc>
                  <w:tcPr>
                    <w:tcW w:w="2693" w:type="dxa"/>
                    <w:shd w:val="clear" w:color="auto" w:fill="auto"/>
                  </w:tcPr>
                  <w:p w14:paraId="602D3906" w14:textId="0D958621">
                    <w:pPr>
                      <w:rPr>
                        <w:bCs/>
                        <w:color w:val="000000"/>
                        <w:sz w:val="22"/>
                        <w:szCs w:val="22"/>
                      </w:rPr>
                    </w:pPr>
                    <w:r>
                      <w:rPr>
                        <w:bCs/>
                        <w:color w:val="000000"/>
                        <w:sz w:val="22"/>
                        <w:szCs w:val="22"/>
                        <w:lang w:eastAsia="lt-LT"/>
                      </w:rPr>
                      <w:t>Naujos arba modernizuotos vaikų priežiūros infrastruktūros mokymo klasių talpumas, asmenys</w:t>
                    </w:r>
                  </w:p>
                </w:tc>
                <w:tc>
                  <w:tcPr>
                    <w:tcW w:w="1417" w:type="dxa"/>
                    <w:vMerge/>
                    <w:shd w:val="clear" w:color="auto" w:fill="auto"/>
                  </w:tcPr>
                  <w:p w14:paraId="41F180C8" w14:textId="77777777">
                    <w:pPr>
                      <w:jc w:val="center"/>
                      <w:rPr>
                        <w:bCs/>
                        <w:color w:val="000000"/>
                        <w:sz w:val="22"/>
                        <w:szCs w:val="22"/>
                      </w:rPr>
                    </w:pPr>
                  </w:p>
                </w:tc>
                <w:tc>
                  <w:tcPr>
                    <w:tcW w:w="2127" w:type="dxa"/>
                    <w:vMerge/>
                    <w:shd w:val="clear" w:color="auto" w:fill="auto"/>
                  </w:tcPr>
                  <w:p w14:paraId="68E65E2F" w14:textId="77777777">
                    <w:pPr>
                      <w:jc w:val="center"/>
                      <w:rPr>
                        <w:bCs/>
                        <w:color w:val="000000"/>
                        <w:sz w:val="22"/>
                        <w:szCs w:val="22"/>
                      </w:rPr>
                    </w:pPr>
                  </w:p>
                </w:tc>
                <w:tc>
                  <w:tcPr>
                    <w:tcW w:w="992" w:type="dxa"/>
                    <w:shd w:val="clear" w:color="auto" w:fill="auto"/>
                    <w:vAlign w:val="center"/>
                  </w:tcPr>
                  <w:p w14:paraId="68B80FA2" w14:textId="0CD68624">
                    <w:pPr>
                      <w:jc w:val="right"/>
                      <w:rPr>
                        <w:bCs/>
                        <w:color w:val="000000"/>
                        <w:sz w:val="22"/>
                        <w:szCs w:val="22"/>
                      </w:rPr>
                    </w:pPr>
                    <w:r>
                      <w:rPr>
                        <w:bCs/>
                        <w:color w:val="000000"/>
                        <w:sz w:val="22"/>
                        <w:szCs w:val="22"/>
                      </w:rPr>
                      <w:t>0</w:t>
                    </w:r>
                  </w:p>
                </w:tc>
                <w:tc>
                  <w:tcPr>
                    <w:tcW w:w="1134" w:type="dxa"/>
                    <w:shd w:val="clear" w:color="auto" w:fill="auto"/>
                    <w:vAlign w:val="center"/>
                  </w:tcPr>
                  <w:p w14:paraId="783C9C87" w14:textId="7591DB10">
                    <w:pPr>
                      <w:jc w:val="right"/>
                      <w:rPr>
                        <w:bCs/>
                        <w:color w:val="000000"/>
                        <w:sz w:val="22"/>
                        <w:szCs w:val="22"/>
                      </w:rPr>
                    </w:pPr>
                    <w:r>
                      <w:rPr>
                        <w:bCs/>
                        <w:color w:val="000000"/>
                        <w:sz w:val="22"/>
                        <w:szCs w:val="22"/>
                      </w:rPr>
                      <w:t>2.420</w:t>
                    </w:r>
                  </w:p>
                </w:tc>
                <w:tc>
                  <w:tcPr>
                    <w:tcW w:w="4252" w:type="dxa"/>
                    <w:shd w:val="clear" w:color="auto" w:fill="auto"/>
                  </w:tcPr>
                  <w:p w14:paraId="484DEFB6" w14:textId="5E13834F">
                    <w:pPr>
                      <w:rPr>
                        <w:bCs/>
                        <w:color w:val="000000"/>
                        <w:sz w:val="22"/>
                        <w:szCs w:val="22"/>
                      </w:rPr>
                    </w:pPr>
                    <w:r>
                      <w:rPr>
                        <w:iCs/>
                        <w:color w:val="000000"/>
                        <w:sz w:val="22"/>
                        <w:szCs w:val="22"/>
                      </w:rPr>
                      <w:t>Preliminari reikšmė, apskaičiuota remiantis numatomų įgyvendinti projektų (1.1.1.-1.1.3., 1.1.11. ir 1.1.15.) informacija apie numatomas sukurti naujas ikimokyklinio ugdymo vietas bei sukurti edukacines erdves, kuriomis galės naudotis visi ugdymo įstaigos ugdytiniai.</w:t>
                    </w:r>
                  </w:p>
                </w:tc>
              </w:tr>
              <w:tr w14:paraId="6B9AB08E" w14:textId="77777777">
                <w:trPr>
                  <w:trHeight w:val="223"/>
                </w:trPr>
                <w:tc>
                  <w:tcPr>
                    <w:tcW w:w="1555" w:type="dxa"/>
                    <w:vMerge/>
                    <w:shd w:val="clear" w:color="auto" w:fill="auto"/>
                  </w:tcPr>
                  <w:p w14:paraId="195EDDA4" w14:textId="77777777">
                    <w:pPr>
                      <w:jc w:val="center"/>
                      <w:rPr>
                        <w:bCs/>
                        <w:color w:val="000000"/>
                        <w:sz w:val="22"/>
                        <w:szCs w:val="22"/>
                      </w:rPr>
                    </w:pPr>
                  </w:p>
                </w:tc>
                <w:tc>
                  <w:tcPr>
                    <w:tcW w:w="1134" w:type="dxa"/>
                    <w:shd w:val="clear" w:color="auto" w:fill="auto"/>
                  </w:tcPr>
                  <w:p w14:paraId="67699BBE" w14:textId="63AEA861">
                    <w:pPr>
                      <w:jc w:val="center"/>
                      <w:rPr>
                        <w:bCs/>
                        <w:color w:val="000000"/>
                        <w:sz w:val="22"/>
                        <w:szCs w:val="22"/>
                      </w:rPr>
                    </w:pPr>
                    <w:r>
                      <w:rPr>
                        <w:bCs/>
                        <w:color w:val="000000"/>
                        <w:sz w:val="22"/>
                        <w:szCs w:val="22"/>
                        <w:lang w:eastAsia="lt-LT"/>
                      </w:rPr>
                      <w:t>P.S.2024</w:t>
                    </w:r>
                  </w:p>
                </w:tc>
                <w:tc>
                  <w:tcPr>
                    <w:tcW w:w="2693" w:type="dxa"/>
                    <w:shd w:val="clear" w:color="auto" w:fill="auto"/>
                  </w:tcPr>
                  <w:p w14:paraId="5988A695" w14:textId="2E0A7EC9">
                    <w:pPr>
                      <w:rPr>
                        <w:bCs/>
                        <w:color w:val="000000"/>
                        <w:sz w:val="22"/>
                        <w:szCs w:val="22"/>
                      </w:rPr>
                    </w:pPr>
                    <w:r>
                      <w:rPr>
                        <w:bCs/>
                        <w:color w:val="000000"/>
                        <w:sz w:val="22"/>
                        <w:szCs w:val="22"/>
                        <w:lang w:eastAsia="lt-LT"/>
                      </w:rPr>
                      <w:t>Sukurtų naujų ikimokyklinio ugdymo vietų skaičius, skaičius</w:t>
                    </w:r>
                  </w:p>
                </w:tc>
                <w:tc>
                  <w:tcPr>
                    <w:tcW w:w="1417" w:type="dxa"/>
                    <w:vMerge/>
                    <w:shd w:val="clear" w:color="auto" w:fill="auto"/>
                  </w:tcPr>
                  <w:p w14:paraId="6A6B84CF" w14:textId="77777777">
                    <w:pPr>
                      <w:jc w:val="center"/>
                      <w:rPr>
                        <w:bCs/>
                        <w:color w:val="000000"/>
                        <w:sz w:val="22"/>
                        <w:szCs w:val="22"/>
                      </w:rPr>
                    </w:pPr>
                  </w:p>
                </w:tc>
                <w:tc>
                  <w:tcPr>
                    <w:tcW w:w="2127" w:type="dxa"/>
                    <w:vMerge/>
                    <w:shd w:val="clear" w:color="auto" w:fill="auto"/>
                  </w:tcPr>
                  <w:p w14:paraId="39D2DB81" w14:textId="77777777">
                    <w:pPr>
                      <w:jc w:val="center"/>
                      <w:rPr>
                        <w:bCs/>
                        <w:color w:val="000000"/>
                        <w:sz w:val="22"/>
                        <w:szCs w:val="22"/>
                      </w:rPr>
                    </w:pPr>
                  </w:p>
                </w:tc>
                <w:tc>
                  <w:tcPr>
                    <w:tcW w:w="992" w:type="dxa"/>
                    <w:shd w:val="clear" w:color="auto" w:fill="auto"/>
                    <w:vAlign w:val="center"/>
                  </w:tcPr>
                  <w:p w14:paraId="693BC9B0" w14:textId="1CE4DA1D">
                    <w:pPr>
                      <w:jc w:val="right"/>
                      <w:rPr>
                        <w:bCs/>
                        <w:color w:val="000000"/>
                        <w:sz w:val="22"/>
                        <w:szCs w:val="22"/>
                      </w:rPr>
                    </w:pPr>
                    <w:r>
                      <w:rPr>
                        <w:bCs/>
                        <w:color w:val="000000"/>
                        <w:sz w:val="22"/>
                        <w:szCs w:val="22"/>
                      </w:rPr>
                      <w:t>0</w:t>
                    </w:r>
                  </w:p>
                </w:tc>
                <w:tc>
                  <w:tcPr>
                    <w:tcW w:w="1134" w:type="dxa"/>
                    <w:shd w:val="clear" w:color="auto" w:fill="auto"/>
                    <w:vAlign w:val="center"/>
                  </w:tcPr>
                  <w:p w14:paraId="35B55F5F" w14:textId="460F95FC">
                    <w:pPr>
                      <w:jc w:val="right"/>
                      <w:rPr>
                        <w:bCs/>
                        <w:color w:val="000000"/>
                        <w:sz w:val="22"/>
                        <w:szCs w:val="22"/>
                      </w:rPr>
                    </w:pPr>
                    <w:r>
                      <w:rPr>
                        <w:bCs/>
                        <w:color w:val="000000"/>
                        <w:sz w:val="22"/>
                        <w:szCs w:val="22"/>
                      </w:rPr>
                      <w:t>80</w:t>
                    </w:r>
                  </w:p>
                </w:tc>
                <w:tc>
                  <w:tcPr>
                    <w:tcW w:w="4252" w:type="dxa"/>
                    <w:shd w:val="clear" w:color="auto" w:fill="auto"/>
                  </w:tcPr>
                  <w:p w14:paraId="0A1891B6" w14:textId="0EF1B5F1">
                    <w:pPr>
                      <w:rPr>
                        <w:bCs/>
                        <w:color w:val="000000"/>
                        <w:sz w:val="22"/>
                        <w:szCs w:val="22"/>
                      </w:rPr>
                    </w:pPr>
                    <w:r>
                      <w:rPr>
                        <w:iCs/>
                        <w:color w:val="000000"/>
                        <w:sz w:val="22"/>
                        <w:szCs w:val="22"/>
                      </w:rPr>
                      <w:t>Preliminari reikšmė, apskaičiuota remiantis numatomų įgyvendinti projektų (1.1.1.-1.1.3.) informacija apie numatomas sukurti naujas ikimokyklinio ugdymo vietas</w:t>
                    </w:r>
                  </w:p>
                </w:tc>
              </w:tr>
              <w:tr w14:paraId="7F89FF77" w14:textId="77777777">
                <w:trPr>
                  <w:trHeight w:val="223"/>
                </w:trPr>
                <w:tc>
                  <w:tcPr>
                    <w:tcW w:w="1555" w:type="dxa"/>
                    <w:vMerge/>
                    <w:shd w:val="clear" w:color="auto" w:fill="auto"/>
                  </w:tcPr>
                  <w:p w14:paraId="6C0F8121" w14:textId="77777777">
                    <w:pPr>
                      <w:jc w:val="center"/>
                      <w:rPr>
                        <w:bCs/>
                        <w:color w:val="000000"/>
                        <w:sz w:val="22"/>
                        <w:szCs w:val="22"/>
                      </w:rPr>
                    </w:pPr>
                  </w:p>
                </w:tc>
                <w:tc>
                  <w:tcPr>
                    <w:tcW w:w="1134" w:type="dxa"/>
                    <w:shd w:val="clear" w:color="auto" w:fill="auto"/>
                  </w:tcPr>
                  <w:p w14:paraId="29D9BDF5" w14:textId="2BC6A054">
                    <w:pPr>
                      <w:jc w:val="center"/>
                      <w:rPr>
                        <w:bCs/>
                        <w:color w:val="000000"/>
                        <w:sz w:val="22"/>
                        <w:szCs w:val="22"/>
                      </w:rPr>
                    </w:pPr>
                    <w:r>
                      <w:rPr>
                        <w:bCs/>
                        <w:color w:val="000000"/>
                        <w:sz w:val="22"/>
                        <w:szCs w:val="22"/>
                        <w:lang w:eastAsia="lt-LT"/>
                      </w:rPr>
                      <w:t>P.S.2029</w:t>
                    </w:r>
                  </w:p>
                </w:tc>
                <w:tc>
                  <w:tcPr>
                    <w:tcW w:w="2693" w:type="dxa"/>
                    <w:shd w:val="clear" w:color="auto" w:fill="auto"/>
                  </w:tcPr>
                  <w:p w14:paraId="21593A4B" w14:textId="0E1737DC">
                    <w:pPr>
                      <w:rPr>
                        <w:bCs/>
                        <w:color w:val="000000"/>
                        <w:sz w:val="22"/>
                        <w:szCs w:val="22"/>
                      </w:rPr>
                    </w:pPr>
                    <w:r>
                      <w:rPr>
                        <w:bCs/>
                        <w:color w:val="000000"/>
                        <w:sz w:val="22"/>
                        <w:szCs w:val="22"/>
                        <w:lang w:eastAsia="lt-LT"/>
                      </w:rPr>
                      <w:t>Tikslinės transporto priemonės, skaičius</w:t>
                    </w:r>
                  </w:p>
                </w:tc>
                <w:tc>
                  <w:tcPr>
                    <w:tcW w:w="1417" w:type="dxa"/>
                    <w:vMerge/>
                    <w:shd w:val="clear" w:color="auto" w:fill="auto"/>
                  </w:tcPr>
                  <w:p w14:paraId="771E245D" w14:textId="77777777">
                    <w:pPr>
                      <w:jc w:val="center"/>
                      <w:rPr>
                        <w:bCs/>
                        <w:color w:val="000000"/>
                        <w:sz w:val="22"/>
                        <w:szCs w:val="22"/>
                      </w:rPr>
                    </w:pPr>
                  </w:p>
                </w:tc>
                <w:tc>
                  <w:tcPr>
                    <w:tcW w:w="2127" w:type="dxa"/>
                    <w:vMerge/>
                    <w:shd w:val="clear" w:color="auto" w:fill="auto"/>
                  </w:tcPr>
                  <w:p w14:paraId="5A65EACF" w14:textId="77777777">
                    <w:pPr>
                      <w:jc w:val="center"/>
                      <w:rPr>
                        <w:bCs/>
                        <w:color w:val="000000"/>
                        <w:sz w:val="22"/>
                        <w:szCs w:val="22"/>
                      </w:rPr>
                    </w:pPr>
                  </w:p>
                </w:tc>
                <w:tc>
                  <w:tcPr>
                    <w:tcW w:w="992" w:type="dxa"/>
                    <w:shd w:val="clear" w:color="auto" w:fill="auto"/>
                    <w:vAlign w:val="center"/>
                  </w:tcPr>
                  <w:p w14:paraId="12EDFE1D" w14:textId="12904582">
                    <w:pPr>
                      <w:jc w:val="right"/>
                      <w:rPr>
                        <w:bCs/>
                        <w:color w:val="000000"/>
                        <w:sz w:val="22"/>
                        <w:szCs w:val="22"/>
                      </w:rPr>
                    </w:pPr>
                    <w:r>
                      <w:rPr>
                        <w:bCs/>
                        <w:color w:val="000000"/>
                        <w:sz w:val="22"/>
                        <w:szCs w:val="22"/>
                      </w:rPr>
                      <w:t>0</w:t>
                    </w:r>
                  </w:p>
                </w:tc>
                <w:tc>
                  <w:tcPr>
                    <w:tcW w:w="1134" w:type="dxa"/>
                    <w:shd w:val="clear" w:color="auto" w:fill="auto"/>
                    <w:vAlign w:val="center"/>
                  </w:tcPr>
                  <w:p w14:paraId="4F3A5C20" w14:textId="59EC3928">
                    <w:pPr>
                      <w:jc w:val="right"/>
                      <w:rPr>
                        <w:bCs/>
                        <w:color w:val="000000"/>
                        <w:sz w:val="22"/>
                        <w:szCs w:val="22"/>
                      </w:rPr>
                    </w:pPr>
                    <w:r>
                      <w:rPr>
                        <w:bCs/>
                        <w:color w:val="000000"/>
                        <w:sz w:val="22"/>
                        <w:szCs w:val="22"/>
                      </w:rPr>
                      <w:t>5</w:t>
                    </w:r>
                  </w:p>
                </w:tc>
                <w:tc>
                  <w:tcPr>
                    <w:tcW w:w="4252" w:type="dxa"/>
                    <w:shd w:val="clear" w:color="auto" w:fill="auto"/>
                  </w:tcPr>
                  <w:p w14:paraId="0CED1D4E" w14:textId="6A10A1AA">
                    <w:pPr>
                      <w:rPr>
                        <w:bCs/>
                        <w:color w:val="000000"/>
                        <w:sz w:val="22"/>
                        <w:szCs w:val="22"/>
                      </w:rPr>
                    </w:pPr>
                    <w:r>
                      <w:rPr>
                        <w:iCs/>
                        <w:color w:val="000000"/>
                        <w:sz w:val="22"/>
                        <w:szCs w:val="22"/>
                      </w:rPr>
                      <w:t>Preliminari reikšmė, apskaičiuota remiantis numatomų įgyvendinti projektų (1.1.3. ir 1.1.7.-1.1.8.) informacija apie numatomas įsigyti transporto priemones ugdymo įstaigoms</w:t>
                    </w:r>
                  </w:p>
                </w:tc>
              </w:tr>
            </w:tbl>
            <w:p w14:paraId="3A5DD2C1" w14:textId="77777777">
              <w:pPr>
                <w:ind w:firstLine="567"/>
                <w:jc w:val="right"/>
                <w:rPr>
                  <w:color w:val="000000"/>
                  <w:szCs w:val="24"/>
                </w:rPr>
              </w:pPr>
            </w:p>
            <w:p w14:paraId="710DE3CB" w14:textId="77777777">
              <w:pPr>
                <w:ind w:firstLine="567"/>
                <w:jc w:val="right"/>
                <w:rPr>
                  <w:color w:val="000000"/>
                  <w:szCs w:val="24"/>
                </w:rPr>
              </w:pPr>
            </w:p>
            <w:p w14:paraId="2AA5C7C8" w14:textId="3C6B0790">
              <w:pPr>
                <w:ind w:firstLine="567"/>
                <w:jc w:val="right"/>
                <w:rPr>
                  <w:color w:val="808080"/>
                  <w:szCs w:val="24"/>
                </w:rPr>
              </w:pPr>
              <w:r>
                <w:rPr>
                  <w:color w:val="000000"/>
                  <w:szCs w:val="24"/>
                </w:rPr>
                <w:t>Lentelė Nr. 3</w:t>
              </w: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0"/>
                <w:gridCol w:w="2674"/>
                <w:gridCol w:w="1130"/>
                <w:gridCol w:w="1555"/>
                <w:gridCol w:w="2249"/>
                <w:gridCol w:w="992"/>
                <w:gridCol w:w="1035"/>
                <w:gridCol w:w="4609"/>
              </w:tblGrid>
              <w:tr w14:paraId="2AB567ED" w14:textId="77777777">
                <w:tc>
                  <w:tcPr>
                    <w:tcW w:w="15304" w:type="dxa"/>
                    <w:gridSpan w:val="8"/>
                    <w:tcBorders>
                      <w:bottom w:val="single" w:sz="4" w:space="0" w:color="auto"/>
                    </w:tcBorders>
                    <w:shd w:val="pct10" w:color="auto" w:fill="auto"/>
                    <w:vAlign w:val="center"/>
                  </w:tcPr>
                  <w:p w14:paraId="34EE07FE" w14:textId="77777777">
                    <w:pPr>
                      <w:jc w:val="center"/>
                      <w:rPr>
                        <w:b/>
                        <w:color w:val="000000"/>
                        <w:sz w:val="22"/>
                        <w:szCs w:val="22"/>
                      </w:rPr>
                    </w:pPr>
                    <w:r>
                      <w:rPr>
                        <w:b/>
                        <w:color w:val="000000"/>
                        <w:sz w:val="22"/>
                        <w:szCs w:val="22"/>
                      </w:rPr>
                      <w:t>Pažangos priemonės rezultato rodikliai</w:t>
                    </w:r>
                  </w:p>
                </w:tc>
              </w:tr>
              <w:tr w14:paraId="72AFD951" w14:textId="77777777">
                <w:tc>
                  <w:tcPr>
                    <w:tcW w:w="983" w:type="dxa"/>
                    <w:vMerge w:val="restart"/>
                    <w:shd w:val="pct10" w:color="auto" w:fill="auto"/>
                    <w:vAlign w:val="center"/>
                  </w:tcPr>
                  <w:p w14:paraId="0C60C1F9" w14:textId="77777777">
                    <w:pPr>
                      <w:jc w:val="center"/>
                      <w:rPr>
                        <w:b/>
                        <w:color w:val="000000"/>
                        <w:sz w:val="22"/>
                        <w:szCs w:val="22"/>
                      </w:rPr>
                    </w:pPr>
                    <w:r>
                      <w:rPr>
                        <w:b/>
                        <w:color w:val="000000"/>
                        <w:sz w:val="22"/>
                        <w:szCs w:val="22"/>
                      </w:rPr>
                      <w:t>Rodiklio kodas</w:t>
                    </w:r>
                  </w:p>
                </w:tc>
                <w:tc>
                  <w:tcPr>
                    <w:tcW w:w="2698" w:type="dxa"/>
                    <w:vMerge w:val="restart"/>
                    <w:shd w:val="pct10" w:color="auto" w:fill="auto"/>
                    <w:vAlign w:val="center"/>
                  </w:tcPr>
                  <w:p w14:paraId="76FE1CE2" w14:textId="77777777">
                    <w:pPr>
                      <w:jc w:val="center"/>
                      <w:rPr>
                        <w:b/>
                        <w:color w:val="000000"/>
                        <w:sz w:val="22"/>
                        <w:szCs w:val="22"/>
                      </w:rPr>
                    </w:pPr>
                    <w:r>
                      <w:rPr>
                        <w:b/>
                        <w:color w:val="000000"/>
                        <w:sz w:val="22"/>
                        <w:szCs w:val="22"/>
                      </w:rPr>
                      <w:t>Rodiklio pavadinimas, matavimo vienetas</w:t>
                    </w:r>
                  </w:p>
                </w:tc>
                <w:tc>
                  <w:tcPr>
                    <w:tcW w:w="1134" w:type="dxa"/>
                    <w:vMerge w:val="restart"/>
                    <w:shd w:val="pct10" w:color="auto" w:fill="auto"/>
                    <w:vAlign w:val="center"/>
                  </w:tcPr>
                  <w:p w14:paraId="0DA7097C" w14:textId="77777777">
                    <w:pPr>
                      <w:jc w:val="center"/>
                      <w:rPr>
                        <w:b/>
                        <w:color w:val="000000"/>
                        <w:sz w:val="22"/>
                        <w:szCs w:val="22"/>
                      </w:rPr>
                    </w:pPr>
                    <w:r>
                      <w:rPr>
                        <w:b/>
                        <w:color w:val="000000"/>
                        <w:sz w:val="22"/>
                        <w:szCs w:val="22"/>
                      </w:rPr>
                      <w:t>Pradinė rodiklio reikšmė (2022)</w:t>
                    </w:r>
                  </w:p>
                </w:tc>
                <w:tc>
                  <w:tcPr>
                    <w:tcW w:w="3827" w:type="dxa"/>
                    <w:gridSpan w:val="2"/>
                    <w:shd w:val="pct10" w:color="auto" w:fill="auto"/>
                  </w:tcPr>
                  <w:p w14:paraId="5C23856E" w14:textId="77777777">
                    <w:pPr>
                      <w:jc w:val="center"/>
                      <w:rPr>
                        <w:b/>
                        <w:color w:val="000000"/>
                        <w:sz w:val="22"/>
                        <w:szCs w:val="22"/>
                      </w:rPr>
                    </w:pPr>
                    <w:r>
                      <w:rPr>
                        <w:b/>
                        <w:color w:val="000000"/>
                        <w:sz w:val="22"/>
                        <w:szCs w:val="22"/>
                      </w:rPr>
                      <w:t>Rodikliui pasiekti planuojama panaudoti pažangos lėšų suma, Eur</w:t>
                    </w:r>
                  </w:p>
                </w:tc>
                <w:tc>
                  <w:tcPr>
                    <w:tcW w:w="1985" w:type="dxa"/>
                    <w:gridSpan w:val="2"/>
                    <w:shd w:val="pct10" w:color="auto" w:fill="auto"/>
                    <w:vAlign w:val="center"/>
                  </w:tcPr>
                  <w:p w14:paraId="59C2AD51" w14:textId="77777777">
                    <w:pPr>
                      <w:jc w:val="center"/>
                      <w:rPr>
                        <w:b/>
                        <w:color w:val="000000"/>
                        <w:sz w:val="22"/>
                        <w:szCs w:val="22"/>
                      </w:rPr>
                    </w:pPr>
                    <w:r>
                      <w:rPr>
                        <w:b/>
                        <w:color w:val="000000"/>
                        <w:sz w:val="22"/>
                        <w:szCs w:val="22"/>
                      </w:rPr>
                      <w:t>Siektinos rodiklio reikšmės</w:t>
                    </w:r>
                  </w:p>
                </w:tc>
                <w:tc>
                  <w:tcPr>
                    <w:tcW w:w="4677" w:type="dxa"/>
                    <w:vMerge w:val="restart"/>
                    <w:shd w:val="pct10" w:color="auto" w:fill="auto"/>
                    <w:vAlign w:val="center"/>
                  </w:tcPr>
                  <w:p w14:paraId="1C7FECE5" w14:textId="77777777">
                    <w:pPr>
                      <w:jc w:val="center"/>
                      <w:rPr>
                        <w:b/>
                        <w:color w:val="000000"/>
                        <w:sz w:val="22"/>
                        <w:szCs w:val="22"/>
                      </w:rPr>
                    </w:pPr>
                    <w:r>
                      <w:rPr>
                        <w:b/>
                        <w:color w:val="000000"/>
                        <w:sz w:val="22"/>
                        <w:szCs w:val="22"/>
                      </w:rPr>
                      <w:t>Siektinos rodiklio reikšmės nustatymo pagrindimas</w:t>
                    </w:r>
                  </w:p>
                </w:tc>
              </w:tr>
              <w:tr w14:paraId="150DAE03" w14:textId="77777777">
                <w:tc>
                  <w:tcPr>
                    <w:tcW w:w="983" w:type="dxa"/>
                    <w:vMerge/>
                    <w:shd w:val="pct10" w:color="auto" w:fill="auto"/>
                  </w:tcPr>
                  <w:p w14:paraId="5F30E73E" w14:textId="77777777">
                    <w:pPr>
                      <w:jc w:val="center"/>
                      <w:rPr>
                        <w:b/>
                        <w:color w:val="000000"/>
                        <w:sz w:val="22"/>
                        <w:szCs w:val="22"/>
                      </w:rPr>
                    </w:pPr>
                  </w:p>
                </w:tc>
                <w:tc>
                  <w:tcPr>
                    <w:tcW w:w="2698" w:type="dxa"/>
                    <w:vMerge/>
                    <w:shd w:val="pct10" w:color="auto" w:fill="auto"/>
                  </w:tcPr>
                  <w:p w14:paraId="7224283C" w14:textId="77777777">
                    <w:pPr>
                      <w:jc w:val="center"/>
                      <w:rPr>
                        <w:b/>
                        <w:color w:val="000000"/>
                        <w:sz w:val="22"/>
                        <w:szCs w:val="22"/>
                      </w:rPr>
                    </w:pPr>
                  </w:p>
                </w:tc>
                <w:tc>
                  <w:tcPr>
                    <w:tcW w:w="1134" w:type="dxa"/>
                    <w:vMerge/>
                    <w:shd w:val="pct10" w:color="auto" w:fill="auto"/>
                  </w:tcPr>
                  <w:p w14:paraId="70288985" w14:textId="77777777">
                    <w:pPr>
                      <w:jc w:val="center"/>
                      <w:rPr>
                        <w:b/>
                        <w:color w:val="000000"/>
                        <w:sz w:val="22"/>
                        <w:szCs w:val="22"/>
                      </w:rPr>
                    </w:pPr>
                  </w:p>
                </w:tc>
                <w:tc>
                  <w:tcPr>
                    <w:tcW w:w="1559" w:type="dxa"/>
                    <w:shd w:val="pct10" w:color="auto" w:fill="auto"/>
                  </w:tcPr>
                  <w:p w14:paraId="5E3099BE" w14:textId="77777777">
                    <w:pPr>
                      <w:jc w:val="center"/>
                      <w:rPr>
                        <w:b/>
                        <w:color w:val="000000"/>
                        <w:sz w:val="22"/>
                        <w:szCs w:val="22"/>
                      </w:rPr>
                    </w:pPr>
                    <w:r>
                      <w:rPr>
                        <w:b/>
                        <w:color w:val="000000"/>
                        <w:sz w:val="22"/>
                        <w:szCs w:val="22"/>
                      </w:rPr>
                      <w:t>Iš viso</w:t>
                    </w:r>
                  </w:p>
                </w:tc>
                <w:tc>
                  <w:tcPr>
                    <w:tcW w:w="2268" w:type="dxa"/>
                    <w:shd w:val="pct10" w:color="auto" w:fill="auto"/>
                  </w:tcPr>
                  <w:p w14:paraId="0986F38E" w14:textId="77777777">
                    <w:pPr>
                      <w:jc w:val="center"/>
                      <w:rPr>
                        <w:b/>
                        <w:color w:val="000000"/>
                        <w:sz w:val="22"/>
                        <w:szCs w:val="22"/>
                      </w:rPr>
                    </w:pPr>
                    <w:r>
                      <w:rPr>
                        <w:b/>
                        <w:color w:val="000000"/>
                        <w:sz w:val="22"/>
                        <w:szCs w:val="22"/>
                      </w:rPr>
                      <w:t>Iš jų ES, kitos tarptautinės finansinės paramos ir valstybės biudžeto lėšų suma</w:t>
                    </w:r>
                  </w:p>
                </w:tc>
                <w:tc>
                  <w:tcPr>
                    <w:tcW w:w="992" w:type="dxa"/>
                    <w:shd w:val="pct10" w:color="auto" w:fill="auto"/>
                  </w:tcPr>
                  <w:p w14:paraId="193A46C9" w14:textId="77777777">
                    <w:pPr>
                      <w:jc w:val="center"/>
                      <w:rPr>
                        <w:b/>
                        <w:color w:val="000000"/>
                        <w:sz w:val="22"/>
                        <w:szCs w:val="22"/>
                      </w:rPr>
                    </w:pPr>
                    <w:r>
                      <w:rPr>
                        <w:b/>
                        <w:color w:val="000000"/>
                        <w:sz w:val="22"/>
                        <w:szCs w:val="22"/>
                      </w:rPr>
                      <w:t>Tarpinė reikšmė (2025)</w:t>
                    </w:r>
                  </w:p>
                </w:tc>
                <w:tc>
                  <w:tcPr>
                    <w:tcW w:w="993" w:type="dxa"/>
                    <w:shd w:val="pct10" w:color="auto" w:fill="auto"/>
                  </w:tcPr>
                  <w:p w14:paraId="6BBA4956" w14:textId="77777777">
                    <w:pPr>
                      <w:jc w:val="center"/>
                      <w:rPr>
                        <w:b/>
                        <w:color w:val="000000"/>
                        <w:sz w:val="22"/>
                        <w:szCs w:val="22"/>
                      </w:rPr>
                    </w:pPr>
                    <w:r>
                      <w:rPr>
                        <w:b/>
                        <w:color w:val="000000"/>
                        <w:sz w:val="22"/>
                        <w:szCs w:val="22"/>
                      </w:rPr>
                      <w:t>Galutinė reikšmė (2030)</w:t>
                    </w:r>
                  </w:p>
                  <w:p w14:paraId="649C4A8C" w14:textId="77777777">
                    <w:pPr>
                      <w:jc w:val="center"/>
                      <w:rPr>
                        <w:b/>
                        <w:color w:val="000000"/>
                        <w:sz w:val="22"/>
                        <w:szCs w:val="22"/>
                      </w:rPr>
                    </w:pPr>
                  </w:p>
                </w:tc>
                <w:tc>
                  <w:tcPr>
                    <w:tcW w:w="4677" w:type="dxa"/>
                    <w:vMerge/>
                    <w:shd w:val="pct10" w:color="auto" w:fill="auto"/>
                  </w:tcPr>
                  <w:p w14:paraId="5AE4C2B0" w14:textId="77777777">
                    <w:pPr>
                      <w:jc w:val="both"/>
                      <w:rPr>
                        <w:b/>
                        <w:i/>
                        <w:color w:val="000000"/>
                        <w:sz w:val="22"/>
                        <w:szCs w:val="22"/>
                      </w:rPr>
                    </w:pPr>
                  </w:p>
                </w:tc>
              </w:tr>
              <w:tr w14:paraId="3A7F72FA" w14:textId="77777777">
                <w:tc>
                  <w:tcPr>
                    <w:tcW w:w="983" w:type="dxa"/>
                    <w:shd w:val="pct10" w:color="auto" w:fill="auto"/>
                  </w:tcPr>
                  <w:p w14:paraId="48D954EC" w14:textId="77777777">
                    <w:pPr>
                      <w:jc w:val="center"/>
                      <w:rPr>
                        <w:b/>
                        <w:color w:val="000000"/>
                        <w:sz w:val="22"/>
                        <w:szCs w:val="22"/>
                      </w:rPr>
                    </w:pPr>
                    <w:r>
                      <w:rPr>
                        <w:b/>
                        <w:color w:val="000000"/>
                        <w:sz w:val="22"/>
                        <w:szCs w:val="22"/>
                      </w:rPr>
                      <w:t>1</w:t>
                    </w:r>
                  </w:p>
                </w:tc>
                <w:tc>
                  <w:tcPr>
                    <w:tcW w:w="2698" w:type="dxa"/>
                    <w:shd w:val="pct10" w:color="auto" w:fill="auto"/>
                  </w:tcPr>
                  <w:p w14:paraId="549BC58A" w14:textId="77777777">
                    <w:pPr>
                      <w:jc w:val="center"/>
                      <w:rPr>
                        <w:b/>
                        <w:color w:val="000000"/>
                        <w:sz w:val="22"/>
                        <w:szCs w:val="22"/>
                      </w:rPr>
                    </w:pPr>
                    <w:r>
                      <w:rPr>
                        <w:b/>
                        <w:color w:val="000000"/>
                        <w:sz w:val="22"/>
                        <w:szCs w:val="22"/>
                      </w:rPr>
                      <w:t>2</w:t>
                    </w:r>
                  </w:p>
                </w:tc>
                <w:tc>
                  <w:tcPr>
                    <w:tcW w:w="1134" w:type="dxa"/>
                    <w:shd w:val="pct10" w:color="auto" w:fill="auto"/>
                  </w:tcPr>
                  <w:p w14:paraId="76F616DF" w14:textId="77777777">
                    <w:pPr>
                      <w:jc w:val="center"/>
                      <w:rPr>
                        <w:b/>
                        <w:color w:val="000000"/>
                        <w:sz w:val="22"/>
                        <w:szCs w:val="22"/>
                      </w:rPr>
                    </w:pPr>
                    <w:r>
                      <w:rPr>
                        <w:b/>
                        <w:color w:val="000000"/>
                        <w:sz w:val="22"/>
                        <w:szCs w:val="22"/>
                      </w:rPr>
                      <w:t>3</w:t>
                    </w:r>
                  </w:p>
                </w:tc>
                <w:tc>
                  <w:tcPr>
                    <w:tcW w:w="1559" w:type="dxa"/>
                    <w:shd w:val="pct10" w:color="auto" w:fill="auto"/>
                  </w:tcPr>
                  <w:p w14:paraId="59D85DC0" w14:textId="77777777">
                    <w:pPr>
                      <w:jc w:val="center"/>
                      <w:rPr>
                        <w:b/>
                        <w:color w:val="000000"/>
                        <w:sz w:val="22"/>
                        <w:szCs w:val="22"/>
                      </w:rPr>
                    </w:pPr>
                    <w:r>
                      <w:rPr>
                        <w:b/>
                        <w:color w:val="000000"/>
                        <w:sz w:val="22"/>
                        <w:szCs w:val="22"/>
                      </w:rPr>
                      <w:t>4</w:t>
                    </w:r>
                  </w:p>
                </w:tc>
                <w:tc>
                  <w:tcPr>
                    <w:tcW w:w="2268" w:type="dxa"/>
                    <w:shd w:val="pct10" w:color="auto" w:fill="auto"/>
                  </w:tcPr>
                  <w:p w14:paraId="5C916896" w14:textId="77777777">
                    <w:pPr>
                      <w:jc w:val="center"/>
                      <w:rPr>
                        <w:b/>
                        <w:color w:val="000000"/>
                        <w:sz w:val="22"/>
                        <w:szCs w:val="22"/>
                      </w:rPr>
                    </w:pPr>
                    <w:r>
                      <w:rPr>
                        <w:b/>
                        <w:color w:val="000000"/>
                        <w:sz w:val="22"/>
                        <w:szCs w:val="22"/>
                      </w:rPr>
                      <w:t>5</w:t>
                    </w:r>
                  </w:p>
                </w:tc>
                <w:tc>
                  <w:tcPr>
                    <w:tcW w:w="992" w:type="dxa"/>
                    <w:shd w:val="pct10" w:color="auto" w:fill="auto"/>
                  </w:tcPr>
                  <w:p w14:paraId="51663A87" w14:textId="77777777">
                    <w:pPr>
                      <w:jc w:val="center"/>
                      <w:rPr>
                        <w:b/>
                        <w:color w:val="000000"/>
                        <w:sz w:val="22"/>
                        <w:szCs w:val="22"/>
                      </w:rPr>
                    </w:pPr>
                    <w:r>
                      <w:rPr>
                        <w:b/>
                        <w:color w:val="000000"/>
                        <w:sz w:val="22"/>
                        <w:szCs w:val="22"/>
                      </w:rPr>
                      <w:t>6</w:t>
                    </w:r>
                  </w:p>
                </w:tc>
                <w:tc>
                  <w:tcPr>
                    <w:tcW w:w="993" w:type="dxa"/>
                    <w:shd w:val="pct10" w:color="auto" w:fill="auto"/>
                  </w:tcPr>
                  <w:p w14:paraId="59E0266E" w14:textId="77777777">
                    <w:pPr>
                      <w:jc w:val="center"/>
                      <w:rPr>
                        <w:b/>
                        <w:color w:val="000000"/>
                        <w:sz w:val="22"/>
                        <w:szCs w:val="22"/>
                      </w:rPr>
                    </w:pPr>
                    <w:r>
                      <w:rPr>
                        <w:b/>
                        <w:color w:val="000000"/>
                        <w:sz w:val="22"/>
                        <w:szCs w:val="22"/>
                      </w:rPr>
                      <w:t>7</w:t>
                    </w:r>
                  </w:p>
                </w:tc>
                <w:tc>
                  <w:tcPr>
                    <w:tcW w:w="4677" w:type="dxa"/>
                    <w:shd w:val="pct10" w:color="auto" w:fill="auto"/>
                  </w:tcPr>
                  <w:p w14:paraId="072F3E8E" w14:textId="77777777">
                    <w:pPr>
                      <w:jc w:val="center"/>
                      <w:rPr>
                        <w:b/>
                        <w:color w:val="000000"/>
                        <w:sz w:val="22"/>
                        <w:szCs w:val="22"/>
                      </w:rPr>
                    </w:pPr>
                    <w:r>
                      <w:rPr>
                        <w:b/>
                        <w:color w:val="000000"/>
                        <w:sz w:val="22"/>
                        <w:szCs w:val="22"/>
                      </w:rPr>
                      <w:t>8</w:t>
                    </w:r>
                  </w:p>
                </w:tc>
              </w:tr>
              <w:tr w14:paraId="5BE7E2B8" w14:textId="77777777">
                <w:tc>
                  <w:tcPr>
                    <w:tcW w:w="983" w:type="dxa"/>
                  </w:tcPr>
                  <w:p w14:paraId="466AACCC" w14:textId="77777777">
                    <w:pPr>
                      <w:jc w:val="both"/>
                      <w:rPr>
                        <w:iCs/>
                        <w:color w:val="000000"/>
                        <w:sz w:val="22"/>
                        <w:szCs w:val="22"/>
                      </w:rPr>
                    </w:pPr>
                    <w:r>
                      <w:rPr>
                        <w:iCs/>
                        <w:color w:val="000000"/>
                        <w:sz w:val="22"/>
                        <w:szCs w:val="22"/>
                      </w:rPr>
                      <w:t xml:space="preserve">R.B.2070 </w:t>
                    </w:r>
                  </w:p>
                </w:tc>
                <w:tc>
                  <w:tcPr>
                    <w:tcW w:w="2698" w:type="dxa"/>
                  </w:tcPr>
                  <w:p w14:paraId="0573EEFF" w14:textId="77777777">
                    <w:pPr>
                      <w:jc w:val="both"/>
                      <w:rPr>
                        <w:iCs/>
                        <w:color w:val="000000"/>
                        <w:sz w:val="22"/>
                        <w:szCs w:val="22"/>
                      </w:rPr>
                    </w:pPr>
                    <w:r>
                      <w:rPr>
                        <w:iCs/>
                        <w:color w:val="000000"/>
                        <w:sz w:val="22"/>
                        <w:szCs w:val="22"/>
                      </w:rPr>
                      <w:t>Naujos arba modernizuotos vaikų priežiūros infrastruktūros naudotojų skaičius per metus, naudotojai per metus</w:t>
                    </w:r>
                  </w:p>
                </w:tc>
                <w:tc>
                  <w:tcPr>
                    <w:tcW w:w="1134" w:type="dxa"/>
                    <w:vAlign w:val="center"/>
                  </w:tcPr>
                  <w:p w14:paraId="4BA45ACB" w14:textId="77777777">
                    <w:pPr>
                      <w:jc w:val="right"/>
                      <w:rPr>
                        <w:iCs/>
                        <w:color w:val="000000"/>
                        <w:sz w:val="22"/>
                        <w:szCs w:val="22"/>
                      </w:rPr>
                    </w:pPr>
                    <w:r>
                      <w:rPr>
                        <w:iCs/>
                        <w:color w:val="000000"/>
                        <w:sz w:val="22"/>
                        <w:szCs w:val="22"/>
                      </w:rPr>
                      <w:t>0</w:t>
                    </w:r>
                  </w:p>
                </w:tc>
                <w:tc>
                  <w:tcPr>
                    <w:tcW w:w="1559" w:type="dxa"/>
                    <w:vMerge w:val="restart"/>
                    <w:vAlign w:val="center"/>
                  </w:tcPr>
                  <w:p w14:paraId="7B3BF363" w14:textId="05B5F020">
                    <w:pPr>
                      <w:jc w:val="center"/>
                      <w:rPr>
                        <w:iCs/>
                        <w:color w:val="000000"/>
                        <w:sz w:val="22"/>
                        <w:szCs w:val="22"/>
                      </w:rPr>
                    </w:pPr>
                    <w:r>
                      <w:rPr>
                        <w:color w:val="000000"/>
                        <w:sz w:val="22"/>
                        <w:szCs w:val="22"/>
                      </w:rPr>
                      <w:t>9.571.521,30</w:t>
                    </w:r>
                  </w:p>
                </w:tc>
                <w:tc>
                  <w:tcPr>
                    <w:tcW w:w="2268" w:type="dxa"/>
                    <w:vMerge w:val="restart"/>
                    <w:vAlign w:val="center"/>
                  </w:tcPr>
                  <w:p w14:paraId="45F50E68" w14:textId="2707E6F6">
                    <w:pPr>
                      <w:jc w:val="center"/>
                      <w:rPr>
                        <w:iCs/>
                        <w:color w:val="000000"/>
                        <w:sz w:val="22"/>
                        <w:szCs w:val="22"/>
                      </w:rPr>
                    </w:pPr>
                    <w:r>
                      <w:rPr>
                        <w:color w:val="000000"/>
                        <w:sz w:val="22"/>
                        <w:szCs w:val="22"/>
                      </w:rPr>
                      <w:t>8.135.793,10</w:t>
                    </w:r>
                  </w:p>
                </w:tc>
                <w:tc>
                  <w:tcPr>
                    <w:tcW w:w="992" w:type="dxa"/>
                    <w:vAlign w:val="center"/>
                  </w:tcPr>
                  <w:p w14:paraId="653685EB" w14:textId="77777777">
                    <w:pPr>
                      <w:jc w:val="right"/>
                      <w:rPr>
                        <w:iCs/>
                        <w:color w:val="000000"/>
                        <w:sz w:val="22"/>
                        <w:szCs w:val="22"/>
                      </w:rPr>
                    </w:pPr>
                    <w:r>
                      <w:rPr>
                        <w:iCs/>
                        <w:color w:val="000000"/>
                        <w:sz w:val="22"/>
                        <w:szCs w:val="22"/>
                      </w:rPr>
                      <w:t>0</w:t>
                    </w:r>
                  </w:p>
                </w:tc>
                <w:tc>
                  <w:tcPr>
                    <w:tcW w:w="993" w:type="dxa"/>
                    <w:vAlign w:val="center"/>
                  </w:tcPr>
                  <w:p w14:paraId="77BC75EA" w14:textId="4FF1AB9A">
                    <w:pPr>
                      <w:jc w:val="right"/>
                      <w:rPr>
                        <w:iCs/>
                        <w:color w:val="000000"/>
                        <w:sz w:val="22"/>
                        <w:szCs w:val="22"/>
                      </w:rPr>
                    </w:pPr>
                    <w:r>
                      <w:rPr>
                        <w:iCs/>
                        <w:color w:val="000000"/>
                        <w:sz w:val="22"/>
                        <w:szCs w:val="22"/>
                      </w:rPr>
                      <w:t>2.345</w:t>
                    </w:r>
                  </w:p>
                </w:tc>
                <w:tc>
                  <w:tcPr>
                    <w:tcW w:w="4677" w:type="dxa"/>
                  </w:tcPr>
                  <w:p w14:paraId="14048148" w14:textId="77777777">
                    <w:pPr>
                      <w:jc w:val="both"/>
                      <w:rPr>
                        <w:iCs/>
                        <w:color w:val="000000"/>
                        <w:sz w:val="22"/>
                        <w:szCs w:val="22"/>
                      </w:rPr>
                    </w:pPr>
                    <w:r>
                      <w:rPr>
                        <w:iCs/>
                        <w:color w:val="000000"/>
                        <w:sz w:val="22"/>
                        <w:szCs w:val="22"/>
                      </w:rPr>
                      <w:t>Preliminari reikšmė, apskaičiuota remiantis numatomų įgyvendinti projektų informacija apie:</w:t>
                    </w:r>
                  </w:p>
                  <w:p w14:paraId="0BE05098" w14:textId="69CFB900">
                    <w:pPr>
                      <w:jc w:val="both"/>
                      <w:rPr>
                        <w:iCs/>
                        <w:color w:val="000000"/>
                        <w:sz w:val="22"/>
                        <w:szCs w:val="22"/>
                      </w:rPr>
                    </w:pPr>
                    <w:r>
                      <w:rPr>
                        <w:iCs/>
                        <w:color w:val="000000"/>
                        <w:sz w:val="22"/>
                        <w:szCs w:val="22"/>
                      </w:rPr>
                      <w:t>- ikimokyklinio ugdymo įstaigas, kuriose numatoma sukurti naujas ikimokyklinio ugdymo vietas bei sukurti edukacines erdves, kuriomis galės naudotis visi ugdymo įstaigos ugdytiniai (1.1.1.-1.1.3);</w:t>
                    </w:r>
                  </w:p>
                  <w:p w14:paraId="37809BDB" w14:textId="3E7C2E80">
                    <w:pPr>
                      <w:jc w:val="both"/>
                      <w:rPr>
                        <w:iCs/>
                        <w:color w:val="000000"/>
                        <w:sz w:val="22"/>
                        <w:szCs w:val="22"/>
                      </w:rPr>
                    </w:pPr>
                    <w:r>
                      <w:rPr>
                        <w:iCs/>
                        <w:color w:val="000000"/>
                        <w:sz w:val="22"/>
                        <w:szCs w:val="22"/>
                      </w:rPr>
                      <w:t>- ikimokyklinio ugdymo įstaigas ir mokyklas, kuriose planuojama pritaikyti erdves visos dienos mokyklos veikloms (1.1.11. ir 1.1.15.).</w:t>
                    </w:r>
                  </w:p>
                </w:tc>
              </w:tr>
              <w:tr w14:paraId="187295FE" w14:textId="77777777">
                <w:tc>
                  <w:tcPr>
                    <w:tcW w:w="983" w:type="dxa"/>
                  </w:tcPr>
                  <w:p w14:paraId="69F19597" w14:textId="77777777">
                    <w:pPr>
                      <w:jc w:val="both"/>
                      <w:rPr>
                        <w:iCs/>
                        <w:color w:val="000000"/>
                        <w:sz w:val="22"/>
                        <w:szCs w:val="22"/>
                      </w:rPr>
                    </w:pPr>
                    <w:r>
                      <w:rPr>
                        <w:iCs/>
                        <w:color w:val="000000"/>
                        <w:sz w:val="22"/>
                        <w:szCs w:val="22"/>
                      </w:rPr>
                      <w:t>R.S.2030</w:t>
                    </w:r>
                  </w:p>
                </w:tc>
                <w:tc>
                  <w:tcPr>
                    <w:tcW w:w="2698" w:type="dxa"/>
                  </w:tcPr>
                  <w:p w14:paraId="7404BF82" w14:textId="77777777">
                    <w:pPr>
                      <w:jc w:val="both"/>
                      <w:rPr>
                        <w:iCs/>
                        <w:color w:val="000000"/>
                        <w:sz w:val="22"/>
                        <w:szCs w:val="22"/>
                      </w:rPr>
                    </w:pPr>
                    <w:r>
                      <w:rPr>
                        <w:iCs/>
                        <w:color w:val="000000"/>
                        <w:sz w:val="22"/>
                        <w:szCs w:val="22"/>
                      </w:rPr>
                      <w:t>Vaikų, pasinaudojusių pavėžėjimo paslaugomis naujai įsigytomis transporto priemonėmis, skaičius per metus, asmenys per metus</w:t>
                    </w:r>
                  </w:p>
                </w:tc>
                <w:tc>
                  <w:tcPr>
                    <w:tcW w:w="1134" w:type="dxa"/>
                    <w:vAlign w:val="center"/>
                  </w:tcPr>
                  <w:p w14:paraId="7533CF84" w14:textId="77777777">
                    <w:pPr>
                      <w:jc w:val="right"/>
                      <w:rPr>
                        <w:iCs/>
                        <w:color w:val="000000"/>
                        <w:sz w:val="22"/>
                        <w:szCs w:val="22"/>
                      </w:rPr>
                    </w:pPr>
                    <w:r>
                      <w:rPr>
                        <w:iCs/>
                        <w:color w:val="000000"/>
                        <w:sz w:val="22"/>
                        <w:szCs w:val="22"/>
                      </w:rPr>
                      <w:t>0</w:t>
                    </w:r>
                  </w:p>
                </w:tc>
                <w:tc>
                  <w:tcPr>
                    <w:tcW w:w="1559" w:type="dxa"/>
                    <w:vMerge/>
                  </w:tcPr>
                  <w:p w14:paraId="5FACED5E" w14:textId="77777777">
                    <w:pPr>
                      <w:jc w:val="both"/>
                      <w:rPr>
                        <w:iCs/>
                        <w:color w:val="000000"/>
                        <w:sz w:val="22"/>
                        <w:szCs w:val="22"/>
                      </w:rPr>
                    </w:pPr>
                  </w:p>
                </w:tc>
                <w:tc>
                  <w:tcPr>
                    <w:tcW w:w="2268" w:type="dxa"/>
                    <w:vMerge/>
                  </w:tcPr>
                  <w:p w14:paraId="081B1714" w14:textId="77777777">
                    <w:pPr>
                      <w:jc w:val="both"/>
                      <w:rPr>
                        <w:iCs/>
                        <w:color w:val="000000"/>
                        <w:sz w:val="22"/>
                        <w:szCs w:val="22"/>
                      </w:rPr>
                    </w:pPr>
                  </w:p>
                </w:tc>
                <w:tc>
                  <w:tcPr>
                    <w:tcW w:w="992" w:type="dxa"/>
                    <w:vAlign w:val="center"/>
                  </w:tcPr>
                  <w:p w14:paraId="12510B46" w14:textId="77777777">
                    <w:pPr>
                      <w:jc w:val="right"/>
                      <w:rPr>
                        <w:iCs/>
                        <w:color w:val="000000"/>
                        <w:sz w:val="22"/>
                        <w:szCs w:val="22"/>
                      </w:rPr>
                    </w:pPr>
                    <w:r>
                      <w:rPr>
                        <w:iCs/>
                        <w:color w:val="000000"/>
                        <w:sz w:val="22"/>
                        <w:szCs w:val="22"/>
                      </w:rPr>
                      <w:t>0</w:t>
                    </w:r>
                  </w:p>
                </w:tc>
                <w:tc>
                  <w:tcPr>
                    <w:tcW w:w="993" w:type="dxa"/>
                    <w:vAlign w:val="center"/>
                  </w:tcPr>
                  <w:p w14:paraId="4A2A27F6" w14:textId="77777777">
                    <w:pPr>
                      <w:jc w:val="right"/>
                      <w:rPr>
                        <w:iCs/>
                        <w:color w:val="000000"/>
                        <w:sz w:val="22"/>
                        <w:szCs w:val="22"/>
                      </w:rPr>
                    </w:pPr>
                    <w:r>
                      <w:rPr>
                        <w:iCs/>
                        <w:color w:val="000000"/>
                        <w:sz w:val="22"/>
                        <w:szCs w:val="22"/>
                      </w:rPr>
                      <w:t>77</w:t>
                    </w:r>
                  </w:p>
                </w:tc>
                <w:tc>
                  <w:tcPr>
                    <w:tcW w:w="4677" w:type="dxa"/>
                  </w:tcPr>
                  <w:p w14:paraId="4E4BF6A9" w14:textId="77777777">
                    <w:pPr>
                      <w:jc w:val="both"/>
                      <w:rPr>
                        <w:iCs/>
                        <w:color w:val="000000"/>
                        <w:sz w:val="22"/>
                        <w:szCs w:val="22"/>
                      </w:rPr>
                    </w:pPr>
                    <w:r>
                      <w:rPr>
                        <w:iCs/>
                        <w:color w:val="000000"/>
                        <w:sz w:val="22"/>
                        <w:szCs w:val="22"/>
                      </w:rPr>
                      <w:t>Preliminari reikšmė, apskaičiuota remiantis numatomų įgyvendinti projektų informacija apie numatomas įsigyti transporto priemones:</w:t>
                    </w:r>
                  </w:p>
                  <w:p w14:paraId="5342999E" w14:textId="59E25755">
                    <w:pPr>
                      <w:jc w:val="both"/>
                      <w:rPr>
                        <w:iCs/>
                        <w:color w:val="000000"/>
                        <w:sz w:val="22"/>
                        <w:szCs w:val="22"/>
                      </w:rPr>
                    </w:pPr>
                    <w:r>
                      <w:rPr>
                        <w:iCs/>
                        <w:color w:val="000000"/>
                        <w:sz w:val="22"/>
                        <w:szCs w:val="22"/>
                      </w:rPr>
                      <w:t>- bendrojo ugdymo įstaigoms (1.1.7.-1.1.8.);</w:t>
                    </w:r>
                  </w:p>
                  <w:p w14:paraId="3D0C35A3" w14:textId="176E3DD6">
                    <w:pPr>
                      <w:jc w:val="both"/>
                      <w:rPr>
                        <w:iCs/>
                        <w:color w:val="000000"/>
                        <w:sz w:val="22"/>
                        <w:szCs w:val="22"/>
                      </w:rPr>
                    </w:pPr>
                    <w:r>
                      <w:rPr>
                        <w:iCs/>
                        <w:color w:val="000000"/>
                        <w:sz w:val="22"/>
                        <w:szCs w:val="22"/>
                      </w:rPr>
                      <w:t>- ikimokyklinio ugdymo įstaigoms (1.1.3.).</w:t>
                    </w:r>
                  </w:p>
                </w:tc>
              </w:tr>
              <w:tr w14:paraId="64DC6F35" w14:textId="77777777">
                <w:tc>
                  <w:tcPr>
                    <w:tcW w:w="983" w:type="dxa"/>
                  </w:tcPr>
                  <w:p w14:paraId="7EF0FAB3" w14:textId="77777777">
                    <w:pPr>
                      <w:jc w:val="both"/>
                      <w:rPr>
                        <w:iCs/>
                        <w:color w:val="000000"/>
                        <w:sz w:val="22"/>
                        <w:szCs w:val="22"/>
                      </w:rPr>
                    </w:pPr>
                    <w:r>
                      <w:rPr>
                        <w:iCs/>
                        <w:color w:val="000000"/>
                        <w:sz w:val="22"/>
                        <w:szCs w:val="22"/>
                      </w:rPr>
                      <w:t>R.B.2071</w:t>
                    </w:r>
                  </w:p>
                </w:tc>
                <w:tc>
                  <w:tcPr>
                    <w:tcW w:w="2698" w:type="dxa"/>
                  </w:tcPr>
                  <w:p w14:paraId="7DCEA587" w14:textId="77777777">
                    <w:pPr>
                      <w:jc w:val="both"/>
                      <w:rPr>
                        <w:iCs/>
                        <w:color w:val="000000"/>
                        <w:sz w:val="22"/>
                        <w:szCs w:val="22"/>
                      </w:rPr>
                    </w:pPr>
                    <w:r>
                      <w:rPr>
                        <w:iCs/>
                        <w:color w:val="000000"/>
                        <w:sz w:val="22"/>
                        <w:szCs w:val="22"/>
                      </w:rPr>
                      <w:t>Naujos arba modernizuotos švietimo infrastruktūros naudotojų skaičius per metus, naudotojai per metus</w:t>
                    </w:r>
                  </w:p>
                </w:tc>
                <w:tc>
                  <w:tcPr>
                    <w:tcW w:w="1134" w:type="dxa"/>
                    <w:vAlign w:val="center"/>
                  </w:tcPr>
                  <w:p w14:paraId="7BB119A9" w14:textId="77777777">
                    <w:pPr>
                      <w:jc w:val="right"/>
                      <w:rPr>
                        <w:iCs/>
                        <w:color w:val="000000"/>
                        <w:sz w:val="22"/>
                        <w:szCs w:val="22"/>
                      </w:rPr>
                    </w:pPr>
                    <w:r>
                      <w:rPr>
                        <w:iCs/>
                        <w:color w:val="000000"/>
                        <w:sz w:val="22"/>
                        <w:szCs w:val="22"/>
                      </w:rPr>
                      <w:t>0</w:t>
                    </w:r>
                  </w:p>
                </w:tc>
                <w:tc>
                  <w:tcPr>
                    <w:tcW w:w="1559" w:type="dxa"/>
                    <w:vMerge/>
                  </w:tcPr>
                  <w:p w14:paraId="54325EB5" w14:textId="77777777">
                    <w:pPr>
                      <w:jc w:val="both"/>
                      <w:rPr>
                        <w:iCs/>
                        <w:color w:val="000000"/>
                        <w:sz w:val="22"/>
                        <w:szCs w:val="22"/>
                      </w:rPr>
                    </w:pPr>
                  </w:p>
                </w:tc>
                <w:tc>
                  <w:tcPr>
                    <w:tcW w:w="2268" w:type="dxa"/>
                    <w:vMerge/>
                  </w:tcPr>
                  <w:p w14:paraId="2B681867" w14:textId="77777777">
                    <w:pPr>
                      <w:jc w:val="both"/>
                      <w:rPr>
                        <w:iCs/>
                        <w:color w:val="000000"/>
                        <w:sz w:val="22"/>
                        <w:szCs w:val="22"/>
                      </w:rPr>
                    </w:pPr>
                  </w:p>
                </w:tc>
                <w:tc>
                  <w:tcPr>
                    <w:tcW w:w="992" w:type="dxa"/>
                    <w:vAlign w:val="center"/>
                  </w:tcPr>
                  <w:p w14:paraId="537CE84E" w14:textId="77777777">
                    <w:pPr>
                      <w:jc w:val="right"/>
                      <w:rPr>
                        <w:iCs/>
                        <w:color w:val="000000"/>
                        <w:sz w:val="22"/>
                        <w:szCs w:val="22"/>
                      </w:rPr>
                    </w:pPr>
                    <w:r>
                      <w:rPr>
                        <w:iCs/>
                        <w:color w:val="000000"/>
                        <w:sz w:val="22"/>
                        <w:szCs w:val="22"/>
                      </w:rPr>
                      <w:t>0</w:t>
                    </w:r>
                  </w:p>
                </w:tc>
                <w:tc>
                  <w:tcPr>
                    <w:tcW w:w="993" w:type="dxa"/>
                    <w:vAlign w:val="center"/>
                  </w:tcPr>
                  <w:p w14:paraId="79E8DDB6" w14:textId="47C004F7">
                    <w:pPr>
                      <w:jc w:val="right"/>
                      <w:rPr>
                        <w:iCs/>
                        <w:color w:val="000000"/>
                        <w:sz w:val="22"/>
                        <w:szCs w:val="22"/>
                      </w:rPr>
                    </w:pPr>
                    <w:r>
                      <w:rPr>
                        <w:iCs/>
                        <w:color w:val="000000"/>
                        <w:sz w:val="22"/>
                        <w:szCs w:val="22"/>
                      </w:rPr>
                      <w:t>9.310</w:t>
                    </w:r>
                  </w:p>
                </w:tc>
                <w:tc>
                  <w:tcPr>
                    <w:tcW w:w="4677" w:type="dxa"/>
                  </w:tcPr>
                  <w:p w14:paraId="758E861A" w14:textId="77777777">
                    <w:pPr>
                      <w:jc w:val="both"/>
                      <w:rPr>
                        <w:iCs/>
                        <w:color w:val="000000"/>
                        <w:sz w:val="22"/>
                        <w:szCs w:val="22"/>
                      </w:rPr>
                    </w:pPr>
                    <w:r>
                      <w:rPr>
                        <w:iCs/>
                        <w:color w:val="000000"/>
                        <w:sz w:val="22"/>
                        <w:szCs w:val="22"/>
                      </w:rPr>
                      <w:t>Preliminari reikšmė, apskaičiuota remiantis numatomų įgyvendinti projektų informacija apie:</w:t>
                    </w:r>
                  </w:p>
                  <w:p w14:paraId="77BB7E5D" w14:textId="627316A4">
                    <w:pPr>
                      <w:jc w:val="both"/>
                      <w:rPr>
                        <w:iCs/>
                        <w:color w:val="000000"/>
                        <w:sz w:val="22"/>
                        <w:szCs w:val="22"/>
                      </w:rPr>
                    </w:pPr>
                    <w:r>
                      <w:rPr>
                        <w:iCs/>
                        <w:color w:val="000000"/>
                        <w:sz w:val="22"/>
                        <w:szCs w:val="22"/>
                      </w:rPr>
                      <w:t>- mokyklas, kuriose numatoma įdiegti universalaus dizaino priemones (1.1.4.-1.1.6., 1.1.8.-1.1.9.);</w:t>
                    </w:r>
                  </w:p>
                  <w:p w14:paraId="6EEBBDC7" w14:textId="4AEFBB8F">
                    <w:pPr>
                      <w:jc w:val="both"/>
                      <w:rPr>
                        <w:iCs/>
                        <w:color w:val="000000"/>
                        <w:sz w:val="22"/>
                        <w:szCs w:val="22"/>
                      </w:rPr>
                    </w:pPr>
                    <w:r>
                      <w:rPr>
                        <w:iCs/>
                        <w:color w:val="000000"/>
                        <w:sz w:val="22"/>
                        <w:szCs w:val="22"/>
                      </w:rPr>
                      <w:t>- mokyklas, kuriose planuojama pritaikyti erdves visos dienos mokyklos veikloms (1.1.9.-1.1.10., 1.1.12.-1.1.15.).</w:t>
                    </w:r>
                  </w:p>
                </w:tc>
              </w:tr>
              <w:tr w14:paraId="218951B3" w14:textId="77777777">
                <w:tc>
                  <w:tcPr>
                    <w:tcW w:w="983" w:type="dxa"/>
                  </w:tcPr>
                  <w:p w14:paraId="77A31E17" w14:textId="77777777">
                    <w:pPr>
                      <w:jc w:val="both"/>
                      <w:rPr>
                        <w:iCs/>
                        <w:color w:val="000000"/>
                        <w:sz w:val="22"/>
                        <w:szCs w:val="22"/>
                      </w:rPr>
                    </w:pPr>
                    <w:r>
                      <w:rPr>
                        <w:iCs/>
                        <w:color w:val="000000"/>
                        <w:sz w:val="22"/>
                        <w:szCs w:val="22"/>
                      </w:rPr>
                      <w:t>R.S.2026</w:t>
                    </w:r>
                  </w:p>
                </w:tc>
                <w:tc>
                  <w:tcPr>
                    <w:tcW w:w="2698" w:type="dxa"/>
                  </w:tcPr>
                  <w:p w14:paraId="47C65064" w14:textId="77777777">
                    <w:pPr>
                      <w:jc w:val="both"/>
                      <w:rPr>
                        <w:iCs/>
                        <w:color w:val="000000"/>
                        <w:sz w:val="22"/>
                        <w:szCs w:val="22"/>
                      </w:rPr>
                    </w:pPr>
                    <w:r>
                      <w:rPr>
                        <w:iCs/>
                        <w:color w:val="000000"/>
                        <w:sz w:val="22"/>
                        <w:szCs w:val="22"/>
                      </w:rPr>
                      <w:t>Mokyklų, kuriose buvo įdiegtos universalaus dizaino ir kitos inžinerinės priemonės, aplinką pritaikant asmenims, turintiems negalią, dalis nuo visų mokyklų, proc.</w:t>
                    </w:r>
                  </w:p>
                </w:tc>
                <w:tc>
                  <w:tcPr>
                    <w:tcW w:w="1134" w:type="dxa"/>
                    <w:vAlign w:val="center"/>
                  </w:tcPr>
                  <w:p w14:paraId="1E06E5DF" w14:textId="77777777">
                    <w:pPr>
                      <w:jc w:val="right"/>
                      <w:rPr>
                        <w:iCs/>
                        <w:color w:val="000000"/>
                        <w:sz w:val="22"/>
                        <w:szCs w:val="22"/>
                      </w:rPr>
                    </w:pPr>
                    <w:r>
                      <w:rPr>
                        <w:iCs/>
                        <w:color w:val="000000"/>
                        <w:sz w:val="22"/>
                        <w:szCs w:val="22"/>
                      </w:rPr>
                      <w:t>0</w:t>
                    </w:r>
                  </w:p>
                </w:tc>
                <w:tc>
                  <w:tcPr>
                    <w:tcW w:w="1559" w:type="dxa"/>
                    <w:vMerge/>
                  </w:tcPr>
                  <w:p w14:paraId="09AD51D0" w14:textId="77777777">
                    <w:pPr>
                      <w:jc w:val="both"/>
                      <w:rPr>
                        <w:iCs/>
                        <w:color w:val="000000"/>
                        <w:sz w:val="22"/>
                        <w:szCs w:val="22"/>
                      </w:rPr>
                    </w:pPr>
                  </w:p>
                </w:tc>
                <w:tc>
                  <w:tcPr>
                    <w:tcW w:w="2268" w:type="dxa"/>
                    <w:vMerge/>
                  </w:tcPr>
                  <w:p w14:paraId="59285C12" w14:textId="77777777">
                    <w:pPr>
                      <w:jc w:val="both"/>
                      <w:rPr>
                        <w:iCs/>
                        <w:color w:val="000000"/>
                        <w:sz w:val="22"/>
                        <w:szCs w:val="22"/>
                      </w:rPr>
                    </w:pPr>
                  </w:p>
                </w:tc>
                <w:tc>
                  <w:tcPr>
                    <w:tcW w:w="992" w:type="dxa"/>
                    <w:vAlign w:val="center"/>
                  </w:tcPr>
                  <w:p w14:paraId="7C6111A0" w14:textId="77777777">
                    <w:pPr>
                      <w:jc w:val="right"/>
                      <w:rPr>
                        <w:iCs/>
                        <w:color w:val="000000"/>
                        <w:sz w:val="22"/>
                        <w:szCs w:val="22"/>
                      </w:rPr>
                    </w:pPr>
                    <w:r>
                      <w:rPr>
                        <w:iCs/>
                        <w:color w:val="000000"/>
                        <w:sz w:val="22"/>
                        <w:szCs w:val="22"/>
                      </w:rPr>
                      <w:t>0</w:t>
                    </w:r>
                  </w:p>
                </w:tc>
                <w:tc>
                  <w:tcPr>
                    <w:tcW w:w="993" w:type="dxa"/>
                    <w:vAlign w:val="center"/>
                  </w:tcPr>
                  <w:p w14:paraId="32EE2754" w14:textId="77777777">
                    <w:pPr>
                      <w:jc w:val="right"/>
                      <w:rPr>
                        <w:iCs/>
                        <w:color w:val="000000"/>
                        <w:sz w:val="22"/>
                        <w:szCs w:val="22"/>
                      </w:rPr>
                    </w:pPr>
                    <w:r>
                      <w:rPr>
                        <w:iCs/>
                        <w:color w:val="000000"/>
                        <w:sz w:val="22"/>
                        <w:szCs w:val="22"/>
                      </w:rPr>
                      <w:t>12</w:t>
                    </w:r>
                  </w:p>
                </w:tc>
                <w:tc>
                  <w:tcPr>
                    <w:tcW w:w="4677" w:type="dxa"/>
                  </w:tcPr>
                  <w:p w14:paraId="75679342" w14:textId="788E788C">
                    <w:pPr>
                      <w:jc w:val="both"/>
                      <w:rPr>
                        <w:iCs/>
                        <w:color w:val="000000"/>
                        <w:sz w:val="22"/>
                        <w:szCs w:val="22"/>
                      </w:rPr>
                    </w:pPr>
                    <w:r>
                      <w:rPr>
                        <w:iCs/>
                        <w:color w:val="000000"/>
                        <w:sz w:val="22"/>
                        <w:szCs w:val="22"/>
                      </w:rPr>
                      <w:t>Preliminari reikšmė, apskaičiuota remiantis numatomų įgyvendinti projektų informacija apie mokyklas, kuriose numatoma įdiegti universalaus dizaino priemones projektų lėšomis (1.1.4.-1.1.6. ir 1.1.8.-1.1.9.) ir bendru mokyklų skaičiumi regione.</w:t>
                    </w:r>
                  </w:p>
                </w:tc>
              </w:tr>
              <w:tr w14:paraId="1717E601" w14:textId="77777777">
                <w:tc>
                  <w:tcPr>
                    <w:tcW w:w="983" w:type="dxa"/>
                  </w:tcPr>
                  <w:p w14:paraId="2C100A48" w14:textId="77777777">
                    <w:pPr>
                      <w:jc w:val="both"/>
                      <w:rPr>
                        <w:iCs/>
                        <w:color w:val="000000"/>
                        <w:sz w:val="22"/>
                        <w:szCs w:val="22"/>
                      </w:rPr>
                    </w:pPr>
                    <w:r>
                      <w:rPr>
                        <w:iCs/>
                        <w:color w:val="000000"/>
                        <w:sz w:val="22"/>
                        <w:szCs w:val="22"/>
                      </w:rPr>
                      <w:t>R.S.2027</w:t>
                    </w:r>
                  </w:p>
                </w:tc>
                <w:tc>
                  <w:tcPr>
                    <w:tcW w:w="2698" w:type="dxa"/>
                  </w:tcPr>
                  <w:p w14:paraId="7E674637" w14:textId="77777777">
                    <w:pPr>
                      <w:jc w:val="both"/>
                      <w:rPr>
                        <w:iCs/>
                        <w:color w:val="000000"/>
                        <w:sz w:val="22"/>
                        <w:szCs w:val="22"/>
                      </w:rPr>
                    </w:pPr>
                    <w:r>
                      <w:rPr>
                        <w:iCs/>
                        <w:color w:val="000000"/>
                        <w:sz w:val="22"/>
                        <w:szCs w:val="22"/>
                      </w:rPr>
                      <w:t>Mokinių, kurie naudojasi sukurta visos dienos mokyklos infrastruktūra, skaičius, asmenys per metus</w:t>
                    </w:r>
                  </w:p>
                </w:tc>
                <w:tc>
                  <w:tcPr>
                    <w:tcW w:w="1134" w:type="dxa"/>
                    <w:vAlign w:val="center"/>
                  </w:tcPr>
                  <w:p w14:paraId="5AFDB8EB" w14:textId="77777777">
                    <w:pPr>
                      <w:jc w:val="right"/>
                      <w:rPr>
                        <w:iCs/>
                        <w:color w:val="000000"/>
                        <w:sz w:val="22"/>
                        <w:szCs w:val="22"/>
                      </w:rPr>
                    </w:pPr>
                    <w:r>
                      <w:rPr>
                        <w:iCs/>
                        <w:color w:val="000000"/>
                        <w:sz w:val="22"/>
                        <w:szCs w:val="22"/>
                      </w:rPr>
                      <w:t>0</w:t>
                    </w:r>
                  </w:p>
                </w:tc>
                <w:tc>
                  <w:tcPr>
                    <w:tcW w:w="1559" w:type="dxa"/>
                    <w:vMerge/>
                  </w:tcPr>
                  <w:p w14:paraId="52AC02D6" w14:textId="77777777">
                    <w:pPr>
                      <w:jc w:val="both"/>
                      <w:rPr>
                        <w:iCs/>
                        <w:color w:val="000000"/>
                        <w:sz w:val="22"/>
                        <w:szCs w:val="22"/>
                      </w:rPr>
                    </w:pPr>
                  </w:p>
                </w:tc>
                <w:tc>
                  <w:tcPr>
                    <w:tcW w:w="2268" w:type="dxa"/>
                    <w:vMerge/>
                  </w:tcPr>
                  <w:p w14:paraId="2BF5A210" w14:textId="77777777">
                    <w:pPr>
                      <w:jc w:val="both"/>
                      <w:rPr>
                        <w:iCs/>
                        <w:color w:val="000000"/>
                        <w:sz w:val="22"/>
                        <w:szCs w:val="22"/>
                      </w:rPr>
                    </w:pPr>
                  </w:p>
                </w:tc>
                <w:tc>
                  <w:tcPr>
                    <w:tcW w:w="992" w:type="dxa"/>
                    <w:vAlign w:val="center"/>
                  </w:tcPr>
                  <w:p w14:paraId="0956FCE2" w14:textId="77777777">
                    <w:pPr>
                      <w:jc w:val="right"/>
                      <w:rPr>
                        <w:iCs/>
                        <w:color w:val="000000"/>
                        <w:sz w:val="22"/>
                        <w:szCs w:val="22"/>
                      </w:rPr>
                    </w:pPr>
                    <w:r>
                      <w:rPr>
                        <w:iCs/>
                        <w:color w:val="000000"/>
                        <w:sz w:val="22"/>
                        <w:szCs w:val="22"/>
                      </w:rPr>
                      <w:t>0</w:t>
                    </w:r>
                  </w:p>
                </w:tc>
                <w:tc>
                  <w:tcPr>
                    <w:tcW w:w="993" w:type="dxa"/>
                    <w:vAlign w:val="center"/>
                  </w:tcPr>
                  <w:p w14:paraId="69301F00" w14:textId="124D6046">
                    <w:pPr>
                      <w:jc w:val="right"/>
                      <w:rPr>
                        <w:iCs/>
                        <w:color w:val="000000"/>
                        <w:sz w:val="22"/>
                        <w:szCs w:val="22"/>
                      </w:rPr>
                    </w:pPr>
                    <w:r>
                      <w:rPr>
                        <w:iCs/>
                        <w:color w:val="000000"/>
                        <w:sz w:val="22"/>
                        <w:szCs w:val="22"/>
                      </w:rPr>
                      <w:t>2.829</w:t>
                    </w:r>
                  </w:p>
                </w:tc>
                <w:tc>
                  <w:tcPr>
                    <w:tcW w:w="4677" w:type="dxa"/>
                  </w:tcPr>
                  <w:p w14:paraId="762225FA" w14:textId="7B61BA3C">
                    <w:pPr>
                      <w:jc w:val="both"/>
                      <w:rPr>
                        <w:iCs/>
                        <w:color w:val="000000"/>
                        <w:sz w:val="22"/>
                        <w:szCs w:val="22"/>
                      </w:rPr>
                    </w:pPr>
                    <w:r>
                      <w:rPr>
                        <w:iCs/>
                        <w:color w:val="000000"/>
                        <w:sz w:val="22"/>
                        <w:szCs w:val="22"/>
                      </w:rPr>
                      <w:t>Preliminari reikšmė, apskaičiuota remiantis numatomų įgyvendinti projektų informacija apie mokyklas, kuriose planuojama pritaikyti erdves visos dienos mokyklos veikloms (1.1.9.-1.1.15.).</w:t>
                    </w:r>
                  </w:p>
                </w:tc>
              </w:tr>
            </w:tbl>
            <w:p w14:paraId="0ADF6359" w14:textId="77777777">
              <w:pPr>
                <w:ind w:left="420"/>
                <w:jc w:val="both"/>
                <w:rPr>
                  <w:iCs/>
                  <w:color w:val="000000"/>
                  <w:szCs w:val="24"/>
                </w:rPr>
              </w:pPr>
            </w:p>
            <w:p w14:paraId="79FC6EA1" w14:textId="3CE8E3B3">
              <w:pPr>
                <w:ind w:left="420"/>
                <w:jc w:val="both"/>
                <w:rPr>
                  <w:iCs/>
                  <w:color w:val="000000"/>
                  <w:szCs w:val="24"/>
                </w:rPr>
              </w:pPr>
            </w:p>
            <w:p w14:paraId="4D7414BB" w14:textId="794C2771">
              <w:pPr>
                <w:ind w:left="420"/>
                <w:jc w:val="both"/>
                <w:rPr>
                  <w:iCs/>
                  <w:color w:val="000000"/>
                  <w:szCs w:val="24"/>
                </w:rPr>
              </w:pPr>
            </w:p>
            <w:p w14:paraId="79920E43" w14:textId="733A160D">
              <w:pPr>
                <w:ind w:left="420"/>
                <w:jc w:val="both"/>
                <w:rPr>
                  <w:iCs/>
                  <w:color w:val="000000"/>
                  <w:szCs w:val="24"/>
                </w:rPr>
              </w:pPr>
            </w:p>
            <w:p w14:paraId="166CD85A" w14:textId="77777777">
              <w:pPr>
                <w:ind w:left="420"/>
                <w:jc w:val="both"/>
                <w:rPr>
                  <w:iCs/>
                  <w:color w:val="000000"/>
                  <w:szCs w:val="24"/>
                </w:rPr>
              </w:pPr>
            </w:p>
            <w:tbl>
              <w:tblPr>
                <w:tblW w:w="15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5"/>
                <w:gridCol w:w="992"/>
                <w:gridCol w:w="3402"/>
                <w:gridCol w:w="993"/>
                <w:gridCol w:w="4695"/>
              </w:tblGrid>
              <w:tr w14:paraId="78759B7F" w14:textId="77777777">
                <w:trPr>
                  <w:trHeight w:val="80"/>
                </w:trPr>
                <w:tc>
                  <w:tcPr>
                    <w:tcW w:w="5245" w:type="dxa"/>
                    <w:tcBorders>
                      <w:top w:val="nil"/>
                      <w:left w:val="nil"/>
                      <w:bottom w:val="nil"/>
                      <w:right w:val="nil"/>
                    </w:tcBorders>
                  </w:tcPr>
                  <w:p w14:paraId="642D1C15" w14:textId="77777777">
                    <w:pPr>
                      <w:suppressAutoHyphens/>
                      <w:jc w:val="both"/>
                      <w:textAlignment w:val="baseline"/>
                      <w:rPr>
                        <w:bCs/>
                        <w:color w:val="000000"/>
                        <w:szCs w:val="24"/>
                      </w:rPr>
                    </w:pPr>
                    <w:r>
                      <w:rPr>
                        <w:color w:val="000000"/>
                        <w:szCs w:val="24"/>
                      </w:rPr>
                      <w:t>Regiono plėtros tarybos administracijos direktorius</w:t>
                    </w:r>
                  </w:p>
                </w:tc>
                <w:tc>
                  <w:tcPr>
                    <w:tcW w:w="992" w:type="dxa"/>
                    <w:tcBorders>
                      <w:top w:val="nil"/>
                      <w:left w:val="nil"/>
                      <w:bottom w:val="nil"/>
                      <w:right w:val="nil"/>
                    </w:tcBorders>
                  </w:tcPr>
                  <w:p w14:paraId="319B4CBD" w14:textId="77777777">
                    <w:pPr>
                      <w:suppressAutoHyphens/>
                      <w:jc w:val="both"/>
                      <w:textAlignment w:val="baseline"/>
                      <w:rPr>
                        <w:bCs/>
                        <w:color w:val="000000"/>
                        <w:szCs w:val="24"/>
                      </w:rPr>
                    </w:pPr>
                  </w:p>
                </w:tc>
                <w:tc>
                  <w:tcPr>
                    <w:tcW w:w="3402" w:type="dxa"/>
                    <w:tcBorders>
                      <w:top w:val="nil"/>
                      <w:left w:val="nil"/>
                      <w:bottom w:val="single" w:sz="4" w:space="0" w:color="auto"/>
                      <w:right w:val="nil"/>
                    </w:tcBorders>
                  </w:tcPr>
                  <w:p w14:paraId="2DDBB2D9" w14:textId="77777777">
                    <w:pPr>
                      <w:suppressAutoHyphens/>
                      <w:jc w:val="both"/>
                      <w:textAlignment w:val="baseline"/>
                      <w:rPr>
                        <w:bCs/>
                        <w:color w:val="000000"/>
                        <w:szCs w:val="24"/>
                      </w:rPr>
                    </w:pPr>
                  </w:p>
                </w:tc>
                <w:tc>
                  <w:tcPr>
                    <w:tcW w:w="993" w:type="dxa"/>
                    <w:tcBorders>
                      <w:top w:val="nil"/>
                      <w:left w:val="nil"/>
                      <w:bottom w:val="nil"/>
                      <w:right w:val="nil"/>
                    </w:tcBorders>
                  </w:tcPr>
                  <w:p w14:paraId="6068ED8C" w14:textId="77777777">
                    <w:pPr>
                      <w:suppressAutoHyphens/>
                      <w:jc w:val="both"/>
                      <w:textAlignment w:val="baseline"/>
                      <w:rPr>
                        <w:bCs/>
                        <w:color w:val="000000"/>
                        <w:szCs w:val="24"/>
                      </w:rPr>
                    </w:pPr>
                  </w:p>
                </w:tc>
                <w:tc>
                  <w:tcPr>
                    <w:tcW w:w="4695" w:type="dxa"/>
                    <w:tcBorders>
                      <w:top w:val="nil"/>
                      <w:left w:val="nil"/>
                      <w:bottom w:val="single" w:sz="4" w:space="0" w:color="auto"/>
                      <w:right w:val="nil"/>
                    </w:tcBorders>
                  </w:tcPr>
                  <w:p w14:paraId="346DEEF9" w14:textId="765DCB42">
                    <w:pPr>
                      <w:suppressAutoHyphens/>
                      <w:jc w:val="center"/>
                      <w:textAlignment w:val="baseline"/>
                      <w:rPr>
                        <w:bCs/>
                        <w:color w:val="000000"/>
                        <w:szCs w:val="24"/>
                      </w:rPr>
                    </w:pPr>
                    <w:r>
                      <w:rPr>
                        <w:bCs/>
                        <w:color w:val="000000"/>
                        <w:szCs w:val="24"/>
                      </w:rPr>
                      <w:t>Jurgita Mitrulevičienė</w:t>
                    </w:r>
                  </w:p>
                </w:tc>
              </w:tr>
              <w:tr w14:paraId="211DF465" w14:textId="77777777">
                <w:trPr>
                  <w:trHeight w:val="186"/>
                </w:trPr>
                <w:tc>
                  <w:tcPr>
                    <w:tcW w:w="5245" w:type="dxa"/>
                    <w:tcBorders>
                      <w:top w:val="nil"/>
                      <w:left w:val="nil"/>
                      <w:bottom w:val="nil"/>
                      <w:right w:val="nil"/>
                    </w:tcBorders>
                  </w:tcPr>
                  <w:p w14:paraId="52DB5D8F" w14:textId="77777777">
                    <w:pPr>
                      <w:suppressAutoHyphens/>
                      <w:jc w:val="both"/>
                      <w:textAlignment w:val="baseline"/>
                      <w:rPr>
                        <w:color w:val="000000"/>
                        <w:sz w:val="20"/>
                      </w:rPr>
                    </w:pPr>
                  </w:p>
                </w:tc>
                <w:tc>
                  <w:tcPr>
                    <w:tcW w:w="992" w:type="dxa"/>
                    <w:tcBorders>
                      <w:top w:val="nil"/>
                      <w:left w:val="nil"/>
                      <w:bottom w:val="nil"/>
                      <w:right w:val="nil"/>
                    </w:tcBorders>
                  </w:tcPr>
                  <w:p w14:paraId="44A10BB1" w14:textId="77777777">
                    <w:pPr>
                      <w:suppressAutoHyphens/>
                      <w:jc w:val="both"/>
                      <w:textAlignment w:val="baseline"/>
                      <w:rPr>
                        <w:color w:val="000000"/>
                        <w:sz w:val="20"/>
                      </w:rPr>
                    </w:pPr>
                  </w:p>
                </w:tc>
                <w:tc>
                  <w:tcPr>
                    <w:tcW w:w="3402" w:type="dxa"/>
                    <w:tcBorders>
                      <w:left w:val="nil"/>
                      <w:bottom w:val="nil"/>
                      <w:right w:val="nil"/>
                    </w:tcBorders>
                  </w:tcPr>
                  <w:p w14:paraId="714A6FD9" w14:textId="77777777">
                    <w:pPr>
                      <w:suppressAutoHyphens/>
                      <w:jc w:val="center"/>
                      <w:textAlignment w:val="baseline"/>
                      <w:rPr>
                        <w:i/>
                        <w:color w:val="000000"/>
                        <w:sz w:val="20"/>
                      </w:rPr>
                    </w:pPr>
                    <w:r>
                      <w:rPr>
                        <w:i/>
                        <w:color w:val="000000"/>
                        <w:sz w:val="20"/>
                      </w:rPr>
                      <w:t>(parašas)</w:t>
                    </w:r>
                  </w:p>
                </w:tc>
                <w:tc>
                  <w:tcPr>
                    <w:tcW w:w="993" w:type="dxa"/>
                    <w:tcBorders>
                      <w:top w:val="nil"/>
                      <w:left w:val="nil"/>
                      <w:bottom w:val="nil"/>
                      <w:right w:val="nil"/>
                    </w:tcBorders>
                  </w:tcPr>
                  <w:p w14:paraId="4FB1BCE9" w14:textId="77777777">
                    <w:pPr>
                      <w:suppressAutoHyphens/>
                      <w:jc w:val="both"/>
                      <w:textAlignment w:val="baseline"/>
                      <w:rPr>
                        <w:color w:val="000000"/>
                        <w:sz w:val="20"/>
                      </w:rPr>
                    </w:pPr>
                  </w:p>
                </w:tc>
                <w:tc>
                  <w:tcPr>
                    <w:tcW w:w="4695" w:type="dxa"/>
                    <w:tcBorders>
                      <w:left w:val="nil"/>
                      <w:bottom w:val="nil"/>
                      <w:right w:val="nil"/>
                    </w:tcBorders>
                  </w:tcPr>
                  <w:p w14:paraId="70A911D4" w14:textId="77777777">
                    <w:pPr>
                      <w:suppressAutoHyphens/>
                      <w:jc w:val="center"/>
                      <w:textAlignment w:val="baseline"/>
                      <w:rPr>
                        <w:i/>
                        <w:color w:val="000000"/>
                        <w:sz w:val="20"/>
                      </w:rPr>
                    </w:pPr>
                    <w:r>
                      <w:rPr>
                        <w:i/>
                        <w:color w:val="000000"/>
                        <w:sz w:val="20"/>
                      </w:rPr>
                      <w:t>(vardas ir pavardė)</w:t>
                    </w:r>
                  </w:p>
                </w:tc>
              </w:tr>
            </w:tbl>
            <w:p w14:paraId="15357C45" w14:textId="77777777">
              <w:pPr>
                <w:jc w:val="both"/>
                <w:rPr>
                  <w:rFonts w:eastAsia="Calibri"/>
                  <w:iCs/>
                  <w:color w:val="000000"/>
                  <w:sz w:val="20"/>
                </w:rPr>
              </w:pPr>
            </w:p>
          </w:sdtContent>
        </w:sdt>
      </w:sdtContent>
    </w:sdt>
    <w:sectPr>
      <w:pgSz w:w="16838" w:h="11906" w:orient="landscape"/>
      <w:pgMar w:top="993" w:right="678" w:bottom="851" w:left="993" w:header="567" w:footer="295"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6C80C7" w14:textId="77777777">
      <w:r>
        <w:separator/>
      </w:r>
    </w:p>
  </w:endnote>
  <w:endnote w:type="continuationSeparator" w:id="0">
    <w:p w14:paraId="0D15A2AA" w14:textId="77777777">
      <w:r>
        <w:continuationSeparator/>
      </w:r>
    </w:p>
  </w:endnote>
  <w:endnote w:type="continuationNotice" w:id="1">
    <w:p w14:paraId="4057CD89"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83E976"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C92A98"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7E4830"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81880F" w14:textId="77777777">
      <w:r>
        <w:separator/>
      </w:r>
    </w:p>
  </w:footnote>
  <w:footnote w:type="continuationSeparator" w:id="0">
    <w:p w14:paraId="36204621" w14:textId="77777777">
      <w:r>
        <w:continuationSeparator/>
      </w:r>
    </w:p>
  </w:footnote>
  <w:footnote w:type="continuationNotice" w:id="1">
    <w:p w14:paraId="2120B352" w14:textId="77777777"/>
  </w:footnote>
  <w:footnote w:id="2">
    <w:p w14:paraId="5307D155" w14:textId="1BCCBD62">
      <w:pPr>
        <w:jc w:val="both"/>
        <w:rPr>
          <w:sz w:val="20"/>
        </w:rPr>
      </w:pPr>
      <w:r>
        <w:rPr>
          <w:sz w:val="20"/>
          <w:vertAlign w:val="superscript"/>
        </w:rPr>
        <w:footnoteRef/>
      </w:r>
      <w:r>
        <w:rPr>
          <w:sz w:val="20"/>
        </w:rPr>
        <w:t xml:space="preserve"> Rodiklis „Vietų skaičius ikimokyklinio ugdymo įstaigose“, šaltinis – Statistikos departamentas;</w:t>
      </w:r>
    </w:p>
  </w:footnote>
  <w:footnote w:id="3">
    <w:p w14:paraId="6DF68A02" w14:textId="64AB5771">
      <w:pPr>
        <w:jc w:val="both"/>
        <w:rPr>
          <w:sz w:val="20"/>
        </w:rPr>
      </w:pPr>
      <w:r>
        <w:rPr>
          <w:sz w:val="20"/>
          <w:vertAlign w:val="superscript"/>
        </w:rPr>
        <w:footnoteRef/>
      </w:r>
      <w:r>
        <w:rPr>
          <w:sz w:val="20"/>
        </w:rPr>
        <w:t xml:space="preserve"> Rodiklis „Nuolatinių gyventojų skaičius metų pradžioje“, šaltinis – Statistikos departamentas;</w:t>
      </w:r>
    </w:p>
  </w:footnote>
  <w:footnote w:id="4">
    <w:p w14:paraId="261970A7" w14:textId="48ABFD70">
      <w:pPr>
        <w:jc w:val="both"/>
        <w:rPr>
          <w:sz w:val="20"/>
        </w:rPr>
      </w:pPr>
      <w:r>
        <w:rPr>
          <w:sz w:val="20"/>
          <w:vertAlign w:val="superscript"/>
        </w:rPr>
        <w:footnoteRef/>
      </w:r>
      <w:r>
        <w:rPr>
          <w:sz w:val="20"/>
        </w:rPr>
        <w:t xml:space="preserve"> Rodiklis „Pagal ikimokyklinio ir priešmokyklinio ugdymo programas ugdomų vaikų skaičius“, 2023-01-17, šaltinis – </w:t>
      </w:r>
      <w:r>
        <w:rPr>
          <w:color w:val="0563C1"/>
          <w:sz w:val="20"/>
          <w:u w:val="single"/>
        </w:rPr>
        <w:t>ŠVIS</w:t>
      </w:r>
      <w:r>
        <w:rPr>
          <w:sz w:val="20"/>
        </w:rPr>
        <w:t>;</w:t>
      </w:r>
    </w:p>
  </w:footnote>
  <w:footnote w:id="5">
    <w:p w14:paraId="39038F4F" w14:textId="095A5903">
      <w:pPr>
        <w:jc w:val="both"/>
        <w:rPr>
          <w:sz w:val="20"/>
        </w:rPr>
      </w:pPr>
      <w:r>
        <w:rPr>
          <w:sz w:val="20"/>
          <w:vertAlign w:val="superscript"/>
        </w:rPr>
        <w:footnoteRef/>
      </w:r>
      <w:r>
        <w:rPr>
          <w:sz w:val="20"/>
        </w:rPr>
        <w:t xml:space="preserve"> Rodiklis „Savivaldybės mokyklose ugdomų 3-5 metų vaikų, kurių deklaruota gyvenamoji vieta yra kitoje savivaldybėje, dalis“, 2023-01-17, šaltinis – </w:t>
      </w:r>
      <w:r>
        <w:rPr>
          <w:color w:val="0563C1"/>
          <w:sz w:val="20"/>
          <w:u w:val="single"/>
        </w:rPr>
        <w:t>ŠVIS</w:t>
      </w:r>
      <w:r>
        <w:rPr>
          <w:sz w:val="20"/>
        </w:rPr>
        <w:t>;</w:t>
      </w:r>
    </w:p>
  </w:footnote>
  <w:footnote w:id="6">
    <w:p w14:paraId="52B73ABA" w14:textId="53E8F085">
      <w:pPr>
        <w:jc w:val="both"/>
        <w:rPr>
          <w:sz w:val="20"/>
        </w:rPr>
      </w:pPr>
      <w:r>
        <w:rPr>
          <w:sz w:val="20"/>
          <w:vertAlign w:val="superscript"/>
        </w:rPr>
        <w:footnoteRef/>
      </w:r>
      <w:r>
        <w:rPr>
          <w:sz w:val="20"/>
        </w:rPr>
        <w:t xml:space="preserve"> Rodiklis „Savivaldybės 3-5 metų vaikų, ugdomų ne savivaldybės mokyklose, dalis“, 2023-01-17, šaltinis – </w:t>
      </w:r>
      <w:r>
        <w:rPr>
          <w:color w:val="0563C1"/>
          <w:sz w:val="20"/>
          <w:u w:val="single"/>
        </w:rPr>
        <w:t>ŠVIS</w:t>
      </w:r>
      <w:r>
        <w:rPr>
          <w:sz w:val="20"/>
        </w:rPr>
        <w:t>;</w:t>
      </w:r>
    </w:p>
  </w:footnote>
  <w:footnote w:id="7">
    <w:p w14:paraId="6DEE34ED" w14:textId="26164261">
      <w:pPr>
        <w:jc w:val="both"/>
        <w:rPr>
          <w:sz w:val="20"/>
        </w:rPr>
      </w:pPr>
      <w:r>
        <w:rPr>
          <w:sz w:val="20"/>
          <w:vertAlign w:val="superscript"/>
        </w:rPr>
        <w:footnoteRef/>
      </w:r>
      <w:r>
        <w:rPr>
          <w:sz w:val="20"/>
        </w:rPr>
        <w:t xml:space="preserve"> Ikimokyklinio ugdymo infrastruktūros plėtros Lietuvos savivaldybėse galimybių studija. 2022. A. Kalvaitis, G. Dubonikas, S. Valavičiūtė. (15-16 psl.), 2022-11-03, šaltinis – </w:t>
      </w:r>
      <w:r>
        <w:rPr>
          <w:color w:val="0563C1"/>
          <w:sz w:val="20"/>
          <w:u w:val="single"/>
        </w:rPr>
        <w:t>Nacionalinė švietimo agentūra</w:t>
      </w:r>
      <w:r>
        <w:rPr>
          <w:sz w:val="20"/>
        </w:rPr>
        <w:t>;</w:t>
      </w:r>
    </w:p>
  </w:footnote>
  <w:footnote w:id="8">
    <w:p w14:paraId="66715B90" w14:textId="741A7DAE">
      <w:pPr>
        <w:jc w:val="both"/>
        <w:rPr>
          <w:sz w:val="20"/>
        </w:rPr>
      </w:pPr>
      <w:r>
        <w:rPr>
          <w:sz w:val="20"/>
          <w:vertAlign w:val="superscript"/>
        </w:rPr>
        <w:footnoteRef/>
      </w:r>
      <w:r>
        <w:rPr>
          <w:sz w:val="20"/>
        </w:rPr>
        <w:t xml:space="preserve"> Švietimo būklės apžvalga „Lietuva. Švietimas šalyje ir regionuose. 2022 įtraukusis ugdymas“, 2022-01-04, šaltinis – </w:t>
      </w:r>
      <w:r>
        <w:rPr>
          <w:color w:val="0563C1"/>
          <w:sz w:val="20"/>
          <w:u w:val="single"/>
        </w:rPr>
        <w:t>Nacionalinė švietimo agentūra</w:t>
      </w:r>
      <w:r>
        <w:rPr>
          <w:sz w:val="20"/>
        </w:rPr>
        <w:t>;</w:t>
      </w:r>
    </w:p>
  </w:footnote>
  <w:footnote w:id="9">
    <w:p w14:paraId="25D2853F" w14:textId="0A390A19">
      <w:pPr>
        <w:jc w:val="both"/>
        <w:rPr>
          <w:sz w:val="20"/>
        </w:rPr>
      </w:pPr>
      <w:r>
        <w:rPr>
          <w:sz w:val="20"/>
          <w:vertAlign w:val="superscript"/>
        </w:rPr>
        <w:footnoteRef/>
      </w:r>
      <w:r>
        <w:rPr>
          <w:sz w:val="20"/>
        </w:rPr>
        <w:t xml:space="preserve"> Visos dienos mokykla: modeliai ir įgyvendinimo prielaidos. Mokslo studija. 2019. Mykolo Romerio universitetas. J. Dudaitė, V. Indrašienė, V. Jegelevičienė, B. Kairienė, O. Merfeldaitė, D.Penkauskienė, J. Pivorienė, R. Prakapas, A. Railienė. (314-317 psl., 322 psl.), 2022-11-03, šaltinis – </w:t>
      </w:r>
      <w:r>
        <w:rPr>
          <w:color w:val="0563C1"/>
          <w:sz w:val="20"/>
          <w:u w:val="single"/>
        </w:rPr>
        <w:t>Mykolo Romerio universitetas</w:t>
      </w:r>
      <w:r>
        <w:rPr>
          <w:sz w:val="20"/>
        </w:rPr>
        <w:t>;</w:t>
      </w:r>
    </w:p>
  </w:footnote>
  <w:footnote w:id="10">
    <w:p w14:paraId="5C927A55" w14:textId="002C1D6A">
      <w:pPr>
        <w:jc w:val="both"/>
        <w:rPr>
          <w:sz w:val="20"/>
        </w:rPr>
      </w:pPr>
      <w:r>
        <w:rPr>
          <w:sz w:val="20"/>
          <w:vertAlign w:val="superscript"/>
        </w:rPr>
        <w:footnoteRef/>
      </w:r>
      <w:r>
        <w:rPr>
          <w:sz w:val="20"/>
        </w:rPr>
        <w:t xml:space="preserve"> Viešosios statistikos informacija apie 2022-2023 m. Mokyklų pritaikymo neįgaliesiems anketos duomenis. Mokykla gali būti laikoma pilnai pritaikyta neįgaliųjų poreikiams, jeigu anketos 2 klausime pažymėtas atsakymas „Pritaikyta. ŽN gali savarankiškai judėti visame pastate ir teritorijoje“, 2023-01-18, šaltinis – </w:t>
      </w:r>
      <w:r>
        <w:rPr>
          <w:color w:val="0563C1"/>
          <w:sz w:val="20"/>
          <w:u w:val="single"/>
        </w:rPr>
        <w:t>ŠVIS</w:t>
      </w:r>
      <w:r>
        <w:rPr>
          <w:sz w:val="20"/>
        </w:rPr>
        <w:t>;</w:t>
      </w:r>
    </w:p>
  </w:footnote>
  <w:footnote w:id="11">
    <w:p w14:paraId="17C016D5" w14:textId="45834D5B">
      <w:pPr>
        <w:jc w:val="both"/>
        <w:rPr>
          <w:color w:val="000000"/>
          <w:sz w:val="20"/>
        </w:rPr>
      </w:pPr>
      <w:r>
        <w:rPr>
          <w:color w:val="000000"/>
          <w:sz w:val="20"/>
          <w:vertAlign w:val="superscript"/>
        </w:rPr>
        <w:footnoteRef/>
      </w:r>
      <w:r>
        <w:rPr>
          <w:color w:val="000000"/>
          <w:sz w:val="20"/>
        </w:rPr>
        <w:t xml:space="preserve"> Remiantis ŠMSM Regioninės politikos analizės skyriaus pateikta informacija. Į bendrą regiono ugdymo įstaigų sumą įtrauktos visos savivaldybėms priklausančios ugdymo įstaigos (tiek vykdančios ikimokyklinio, tiek bendrojo ugdymo programas);</w:t>
      </w:r>
    </w:p>
  </w:footnote>
  <w:footnote w:id="12">
    <w:p w14:paraId="59803888" w14:textId="6602CB6E">
      <w:pPr>
        <w:jc w:val="both"/>
        <w:rPr>
          <w:sz w:val="20"/>
        </w:rPr>
      </w:pPr>
      <w:r>
        <w:rPr>
          <w:sz w:val="20"/>
          <w:vertAlign w:val="superscript"/>
        </w:rPr>
        <w:footnoteRef/>
      </w:r>
      <w:r>
        <w:rPr>
          <w:sz w:val="20"/>
        </w:rPr>
        <w:t xml:space="preserve"> Šaltinis – Statistikos departamentas;</w:t>
      </w:r>
    </w:p>
  </w:footnote>
  <w:footnote w:id="13">
    <w:p w14:paraId="7A76C01B" w14:textId="6D09D7EA">
      <w:pPr>
        <w:jc w:val="both"/>
        <w:rPr>
          <w:sz w:val="20"/>
        </w:rPr>
      </w:pPr>
      <w:r>
        <w:rPr>
          <w:sz w:val="20"/>
          <w:vertAlign w:val="superscript"/>
        </w:rPr>
        <w:footnoteRef/>
      </w:r>
      <w:r>
        <w:rPr>
          <w:sz w:val="20"/>
        </w:rPr>
        <w:t xml:space="preserve"> Neįgalumo statistika, 2023-01-18, šaltinis – </w:t>
      </w:r>
      <w:r>
        <w:rPr>
          <w:color w:val="0563C1"/>
          <w:sz w:val="20"/>
          <w:u w:val="single"/>
        </w:rPr>
        <w:t>Socialinės apsaugos ir darbo ministerija</w:t>
      </w:r>
      <w:r>
        <w:rPr>
          <w:sz w:val="20"/>
        </w:rPr>
        <w:t>;</w:t>
      </w:r>
    </w:p>
  </w:footnote>
  <w:footnote w:id="14">
    <w:p w14:paraId="184E84E0" w14:textId="77777777">
      <w:pPr>
        <w:jc w:val="both"/>
        <w:rPr>
          <w:sz w:val="20"/>
        </w:rPr>
      </w:pPr>
      <w:r>
        <w:rPr>
          <w:rFonts w:eastAsia="Calibri"/>
          <w:sz w:val="20"/>
          <w:vertAlign w:val="superscript"/>
        </w:rPr>
        <w:footnoteRef/>
      </w:r>
      <w:r>
        <w:rPr>
          <w:sz w:val="20"/>
        </w:rPr>
        <w:t xml:space="preserve"> Patvirtintas Lietuvos Respublikos Vyriausybės 2021 m. rugsėjo 29 d. nutarimu Nr. 789 „Dėl Lietuvos Respublikos teritorijos bendrojo plano patvirtinimo“;</w:t>
      </w:r>
    </w:p>
  </w:footnote>
  <w:footnote w:id="15">
    <w:p w14:paraId="174C47B0" w14:textId="77777777">
      <w:pPr>
        <w:jc w:val="both"/>
        <w:rPr>
          <w:sz w:val="20"/>
        </w:rPr>
      </w:pPr>
      <w:r>
        <w:rPr>
          <w:rFonts w:eastAsia="Calibri"/>
          <w:sz w:val="20"/>
          <w:vertAlign w:val="superscript"/>
        </w:rPr>
        <w:footnoteRef/>
      </w:r>
      <w:r>
        <w:rPr>
          <w:sz w:val="20"/>
        </w:rPr>
        <w:t xml:space="preserve"> Bendrojo plano tekstinės dalies 142 p.;</w:t>
      </w:r>
    </w:p>
  </w:footnote>
  <w:footnote w:id="16">
    <w:p w14:paraId="6466FB42" w14:textId="77777777">
      <w:pPr>
        <w:jc w:val="both"/>
        <w:rPr>
          <w:sz w:val="20"/>
        </w:rPr>
      </w:pPr>
      <w:r>
        <w:rPr>
          <w:sz w:val="20"/>
          <w:vertAlign w:val="superscript"/>
        </w:rPr>
        <w:footnoteRef/>
      </w:r>
      <w:r>
        <w:rPr>
          <w:sz w:val="20"/>
        </w:rPr>
        <w:t xml:space="preserve"> Patvirtinta Lietuvos Respublikos Vyriausybės 2022 m. birželio 29 d.  nutarimu Nr. 713 „Dėl 2022–2030 metų regionų plėtros programos patvirtinimo“;</w:t>
      </w:r>
    </w:p>
  </w:footnote>
  <w:footnote w:id="17">
    <w:p w14:paraId="7E6AE715" w14:textId="28DD1E56">
      <w:pPr>
        <w:jc w:val="both"/>
        <w:rPr>
          <w:sz w:val="20"/>
        </w:rPr>
      </w:pPr>
      <w:r>
        <w:rPr>
          <w:sz w:val="20"/>
          <w:vertAlign w:val="superscript"/>
        </w:rPr>
        <w:footnoteRef/>
      </w:r>
      <w:r>
        <w:rPr>
          <w:sz w:val="20"/>
        </w:rPr>
        <w:t xml:space="preserve"> Patvirtinta Lietuvos Respublikos Vyriausybės 2021 m. balandžio 28 d. nutarimu Nr. 292 „Dėl Strateginio valdymo metodikos patvirtinimo“;</w:t>
      </w:r>
    </w:p>
  </w:footnote>
  <w:footnote w:id="18">
    <w:p w14:paraId="1B6E3E63" w14:textId="77777777">
      <w:pPr>
        <w:jc w:val="both"/>
        <w:rPr>
          <w:color w:val="000000"/>
          <w:sz w:val="20"/>
        </w:rPr>
      </w:pPr>
      <w:r>
        <w:rPr>
          <w:color w:val="000000"/>
          <w:sz w:val="20"/>
          <w:vertAlign w:val="superscript"/>
        </w:rPr>
        <w:footnoteRef/>
      </w:r>
      <w:r>
        <w:rPr>
          <w:color w:val="000000"/>
          <w:sz w:val="20"/>
        </w:rPr>
        <w:t xml:space="preserve"> Patvirtintos Lietuvos Respublikos švietimo, mokslo ir sporto ministro 2022 m. rugsėjo 30 d. įsakymu Nr. V-1542 „Dėl Regioninės pažangos priemonės Nr. 12-003-03-01-23 (RE) „Padidinti ugdymo prieinamumą atskirtį patiriantiems vaikams“ finansavimo gairių patvirtinimo“;</w:t>
      </w:r>
    </w:p>
  </w:footnote>
  <w:footnote w:id="19">
    <w:p w14:paraId="6F5C282A" w14:textId="77777777">
      <w:pPr>
        <w:jc w:val="both"/>
        <w:rPr>
          <w:sz w:val="20"/>
        </w:rPr>
      </w:pPr>
      <w:r>
        <w:rPr>
          <w:color w:val="000000"/>
          <w:sz w:val="20"/>
          <w:vertAlign w:val="superscript"/>
        </w:rPr>
        <w:footnoteRef/>
      </w:r>
      <w:r>
        <w:rPr>
          <w:color w:val="000000"/>
          <w:sz w:val="20"/>
        </w:rPr>
        <w:t xml:space="preserve"> Patvirtinta Lietuvos Respublikos švietimo, mokslo ir sporto ministro 2022 m. spalio 13 d. įsakymu Nr. V-1637 „Dėl Regioninės pažangos priemonės Nr. 12-003-03-02-17 (RE) „Plėtoti įvairialypį švietimą vykdant visos dienos mokyklų veiklą“ finansavimo gairių patvirtinimo“;</w:t>
      </w:r>
    </w:p>
  </w:footnote>
  <w:footnote w:id="20">
    <w:p w14:paraId="77C8B001" w14:textId="77777777">
      <w:pPr>
        <w:jc w:val="both"/>
        <w:rPr>
          <w:color w:val="000000"/>
          <w:sz w:val="20"/>
        </w:rPr>
      </w:pPr>
      <w:r>
        <w:rPr>
          <w:color w:val="000000"/>
          <w:sz w:val="20"/>
          <w:vertAlign w:val="superscript"/>
        </w:rPr>
        <w:footnoteRef/>
      </w:r>
      <w:r>
        <w:rPr>
          <w:color w:val="000000"/>
          <w:sz w:val="20"/>
        </w:rPr>
        <w:t xml:space="preserve"> Patvirtinta</w:t>
      </w:r>
      <w:r>
        <w:rPr>
          <w:rFonts w:eastAsia="Calibri"/>
          <w:color w:val="000000"/>
          <w:sz w:val="20"/>
        </w:rPr>
        <w:t xml:space="preserve"> </w:t>
      </w:r>
      <w:r>
        <w:rPr>
          <w:rFonts w:eastAsia="Calibri"/>
          <w:color w:val="000000"/>
          <w:sz w:val="20"/>
          <w:szCs w:val="24"/>
        </w:rPr>
        <w:t>Lietuvos Respublikos Vyriausybės 2021 m. gruodžio 1 d. nutarimu Nr. 1016 „Dėl 2021–2030 m. plėtros programos valdytojos Lietuvos Respublikos švietimo, mokslo ir sporto ministerijos Švietimo plėtros programos 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ACC064" w14:textId="7777777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14:paraId="6E5D945E" w14:textId="77777777">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84669" w14:textId="77777777">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10</w:t>
    </w:r>
    <w:r>
      <w:rPr>
        <w:szCs w:val="24"/>
        <w:lang w:eastAsia="lt-LT"/>
      </w:rPr>
      <w:fldChar w:fldCharType="end"/>
    </w:r>
  </w:p>
  <w:p w14:paraId="15A1FD51" w14:textId="77777777">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085A8B"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06C8"/>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E281B2"/>
  <w15:chartTrackingRefBased/>
  <w15:docId w15:val="{4A9A454F-3416-4F1C-9035-842B13E4C0F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96665298">
      <w:bodyDiv w:val="1"/>
      <w:marLeft w:val="0"/>
      <w:marRight w:val="0"/>
      <w:marTop w:val="0"/>
      <w:marBottom w:val="0"/>
      <w:divBdr>
        <w:top w:val="none" w:sz="0" w:space="0" w:color="auto"/>
        <w:left w:val="none" w:sz="0" w:space="0" w:color="auto"/>
        <w:bottom w:val="none" w:sz="0" w:space="0" w:color="auto"/>
        <w:right w:val="none" w:sz="0" w:space="0" w:color="auto"/>
      </w:divBdr>
    </w:div>
    <w:div w:id="735052861">
      <w:bodyDiv w:val="1"/>
      <w:marLeft w:val="0"/>
      <w:marRight w:val="0"/>
      <w:marTop w:val="0"/>
      <w:marBottom w:val="0"/>
      <w:divBdr>
        <w:top w:val="none" w:sz="0" w:space="0" w:color="auto"/>
        <w:left w:val="none" w:sz="0" w:space="0" w:color="auto"/>
        <w:bottom w:val="none" w:sz="0" w:space="0" w:color="auto"/>
        <w:right w:val="none" w:sz="0" w:space="0" w:color="auto"/>
      </w:divBdr>
    </w:div>
    <w:div w:id="874730921">
      <w:bodyDiv w:val="1"/>
      <w:marLeft w:val="0"/>
      <w:marRight w:val="0"/>
      <w:marTop w:val="0"/>
      <w:marBottom w:val="0"/>
      <w:divBdr>
        <w:top w:val="none" w:sz="0" w:space="0" w:color="auto"/>
        <w:left w:val="none" w:sz="0" w:space="0" w:color="auto"/>
        <w:bottom w:val="none" w:sz="0" w:space="0" w:color="auto"/>
        <w:right w:val="none" w:sz="0" w:space="0" w:color="auto"/>
      </w:divBdr>
    </w:div>
    <w:div w:id="1487821596">
      <w:bodyDiv w:val="1"/>
      <w:marLeft w:val="0"/>
      <w:marRight w:val="0"/>
      <w:marTop w:val="0"/>
      <w:marBottom w:val="0"/>
      <w:divBdr>
        <w:top w:val="none" w:sz="0" w:space="0" w:color="auto"/>
        <w:left w:val="none" w:sz="0" w:space="0" w:color="auto"/>
        <w:bottom w:val="none" w:sz="0" w:space="0" w:color="auto"/>
        <w:right w:val="none" w:sz="0" w:space="0" w:color="auto"/>
      </w:divBdr>
    </w:div>
    <w:div w:id="1496458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AC4BFE78538054EA722B05521283528" ma:contentTypeVersion="16" ma:contentTypeDescription="Create a new document." ma:contentTypeScope="" ma:versionID="645a499e911b9d4bc1e491b44f8aa2df">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bb392b8a61bb87da9c6225d02bab1aed"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bcc406dbbb6443bcb08ecf8523fed76c" PartId="357acc29790a4754960bc79a300f0670">
    <Part Type="skyrius" Nr="1" Title="BENDROSIOS NUOSTATOS" DocPartId="e1e791e44e944b8aa2e74f1fbe898859" PartId="1b17b8e150af4a5184befbe40c153527"/>
    <Part Type="skyrius" Nr="2" Title="SITUACIJOS ANALIZĖ IR SIEKIAMAS POKYTIS" DocPartId="5a22cf8066b443a792a1f4b1f0ac7da0" PartId="b57adfd6362946f0baa3717dc8d5dead">
      <Part Type="poskyris" Title="Ikimokyklinio ugdymo rodikliai Marijampolės regione" DocPartId="47497280d5e840d2afc18abbab3aa82e" PartId="a8f6e4cf783641e19a16151474bcb357"/>
      <Part Type="poskyris" Title="Poreikio naujų ikimokyklinio ugdymo vietų kūrimui Marijampolės regiono savivaldybėse pagrindimas" DocPartId="bb57c4e057e541c29f3f3e2959ecdea7" PartId="220bee033c714d5988dae9baccdb04fa">
        <Part Type="strPapunktis" Nr="a" Abbr="a pp." DocPartId="e49b70d8201342e79bb493664ae85f9c" PartId="9e871ddc8de84359877e94e461a30981"/>
        <Part Type="strPapunktis" Nr="b" Abbr="b pp." DocPartId="61c5ff03cf6b4920aa68474f79e74820" PartId="9f4c8b8c4a1246c5a595d3891079d66d"/>
      </Part>
      <Part Type="poskyris" Title="Tikslinės grupės dydis – vaikų skaičius" DocPartId="e315c2c2f547452bb856a11c4673778c" PartId="38399cb1178445c9ba848b2b297dd36c"/>
      <Part Type="poskyris" Title="Tikslinės grupės dydis – vaikų su negalia skaičius" DocPartId="d3efce26a9af4f7eb589d4dcc480e241" PartId="cebcf54eff6b47349a2efa2e9e5bd8b0">
        <Part Type="strPapunktis" Nr="a" Abbr="a pp." DocPartId="9ffc42c54507447b8353c55aa7816e21" PartId="373efbbff8ce40fdbd295da9d62793dd"/>
        <Part Type="strPapunktis" Nr="b" Abbr="b pp." DocPartId="4a41ba351d424973b22b3772dab1329a" PartId="c9f6ae6237a54d579a7f950b6d6d4a5f"/>
        <Part Type="strPapunktis" Nr="c" Abbr="c pp." DocPartId="43b7d1a00d274fa782cad4c57609005d" PartId="1efb1f3c21144234a3ed19e9e3aef677"/>
      </Part>
      <Part Type="poskyris" Title="Pažangos priemonėje numatomų investicijų prisidėjimas prie RPP poveikio rodiklių siekimo" DocPartId="68c25da542fd4973b5fdcf4bc53fe8b7" PartId="468d899860b24749bb270fce25c3bd5c"/>
      <Part Type="poskyris" Title="Atliktos investicijos ir tolesnis poreikis investuoti" DocPartId="f0e41839ac234347afbef69af1ab0f8d" PartId="7ae68609d3074fecb73d71b4052d51a0"/>
    </Part>
    <Part Type="skyrius" Nr="3" Title="PAŽANGOS PRIEMONĖS ĮGYVENDINIMO TERITORIJA" DocPartId="9baba61b03c8440aa8374905d91fc7b6" PartId="d73d0aa6a3764dcb8772aa8c583fe59c"/>
    <Part Type="skyrius" Nr="4" Title="PAŽANGOS PRIEMONĖS VEIKLOS, PROJEKTŲ VYKDYTOJAI IR PARTNERIAI" DocPartId="0a4fc29696374287a9bea0567816a7af" PartId="cb93a3e48215401a975b3afe5e9cbeaa">
      <Part Type="poskyris" Title="Planuojamos investicijos savivaldybėse" DocPartId="9e05de7023a24fb8baff949150aba2dc" PartId="50467f930f63476699203f1c93e50976"/>
      <Part Type="poskyris" Title="Planuojamos investicijos pažangos priemonės lėšomis savivaldybėse diegiant universalaus dizaino priemones ir užtikrinant pavėžėjimą" DocPartId="4415e9516a4944168565e1a977122ccd" PartId="b2737d07a8494b1685adc06058749196"/>
    </Part>
    <Part Type="skyrius" Nr="5" Title="PAŽANGOS PRIEMONĖS PROJEKTŲ ATRANKA" DocPartId="2a156309d5564d1b82a28fed84f67d43" PartId="462fa8d3cf5047f0821ae8147498e1c6">
      <Part Type="strPapunktis" Nr="1" Abbr="1 pp." DocPartId="208e014998e0412e9f09a73e2b9ac670" PartId="278044d5aadf4d53b9233225e14337ee"/>
      <Part Type="strPapunktis" Nr="2" Abbr="2 pp." DocPartId="e19b4e160f4649dd8b79c476620fba33" PartId="fa441e5267f740d5867c6941a80128e2"/>
    </Part>
    <Part Type="skyrius" Nr="6" Title="PAŽANGOS PRIEMONĖS PRISIDĖJIMAS PRIE HORIZONTALIŲJŲ PRINCIPŲ ĮGYVENDINIMO" DocPartId="f70146964d784bd1926b3fab35c4e192" PartId="d0c0cff606e34c1496ae48713d874de2"/>
    <Part Type="skyrius" Nr="7" Title="IŠANKSTINĖS SĄLYGOS" DocPartId="76b920c95fd74c28ae3142759a7db095" PartId="a3af2aa4aeba4d6cb6a28f50a921a543"/>
    <Part Type="skyrius" Nr="8" Title="PAŽANGOS PRIEMONĖS STEBĖSENOS RODIKLIAI" DocPartId="fe55c2b4afb947a7befea43a73232b83" PartId="1dc89ac893a3411cbdb47f88ac41fcb7"/>
  </Part>
</Parts>
</file>

<file path=customXml/itemProps1.xml><?xml version="1.0" encoding="utf-8"?>
<ds:datastoreItem xmlns:ds="http://schemas.openxmlformats.org/officeDocument/2006/customXml" ds:itemID="{56F761BD-1DEA-4CDC-8F8A-2A2DC3FFC4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4B7292A-83E8-4BEB-BA7A-56EC87F8049A}">
  <ds:schemaRefs>
    <ds:schemaRef ds:uri="http://schemas.microsoft.com/sharepoint/v3/contenttype/forms"/>
  </ds:schemaRefs>
</ds:datastoreItem>
</file>

<file path=customXml/itemProps3.xml><?xml version="1.0" encoding="utf-8"?>
<ds:datastoreItem xmlns:ds="http://schemas.openxmlformats.org/officeDocument/2006/customXml" ds:itemID="{90870AD4-675E-4488-818D-44435A91E449}">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4.xml><?xml version="1.0" encoding="utf-8"?>
<ds:datastoreItem xmlns:ds="http://schemas.openxmlformats.org/officeDocument/2006/customXml" ds:itemID="{4C3A3F8D-A7F7-4C2E-949E-E61D640A25FB}">
  <ds:schemaRefs>
    <ds:schemaRef ds:uri="http://schemas.openxmlformats.org/officeDocument/2006/bibliography"/>
  </ds:schemaRefs>
</ds:datastoreItem>
</file>

<file path=customXml/itemProps5.xml><?xml version="1.0" encoding="utf-8"?>
<ds:datastoreItem xmlns:ds="http://schemas.openxmlformats.org/officeDocument/2006/customXml" ds:itemID="{3BD87088-E1FC-4215-B3AD-12CBC4FB1A1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3996</Words>
  <Characters>28856</Characters>
  <Application>Microsoft Office Word</Application>
  <DocSecurity>4</DocSecurity>
  <Lines>995</Lines>
  <Paragraphs>497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IRD prie VRM</Company>
  <LinksUpToDate>false</LinksUpToDate>
  <CharactersWithSpaces>32355</CharactersWithSpaces>
  <SharedDoc>false</SharedDoc>
  <HyperlinkBase/>
  <HLinks>
    <vt:vector size="42" baseType="variant">
      <vt:variant>
        <vt:i4>6946869</vt:i4>
      </vt:variant>
      <vt:variant>
        <vt:i4>18</vt:i4>
      </vt:variant>
      <vt:variant>
        <vt:i4>0</vt:i4>
      </vt:variant>
      <vt:variant>
        <vt:i4>5</vt:i4>
      </vt:variant>
      <vt:variant>
        <vt:lpwstr>https://rsvis3.emokykla.lt/cognos/bi/?perspective=classicviewer&amp;id=iCF802028866640E389735DBC98DB7AE7&amp;objRef=iCF802028866640E389735DBC98DB7AE7&amp;action=run&amp;format=HTML&amp;cmPropStr=%7B%22id%22%3A%22iCF802028866640E389735DBC98DB7AE7%22%2C%22type%22%3A%22report%22%2C%22defaultName%22%3A%221%20-%203%20klausimai%22%2C%22permissions%22%3A%5B%22execute%22%2C%22read%22%2C%22traverse%22%5D%7D</vt:lpwstr>
      </vt:variant>
      <vt:variant>
        <vt:lpwstr/>
      </vt:variant>
      <vt:variant>
        <vt:i4>3538990</vt:i4>
      </vt:variant>
      <vt:variant>
        <vt:i4>15</vt:i4>
      </vt:variant>
      <vt:variant>
        <vt:i4>0</vt:i4>
      </vt:variant>
      <vt:variant>
        <vt:i4>5</vt:i4>
      </vt:variant>
      <vt:variant>
        <vt:lpwstr>https://repository.mruni.eu/handle/007/16265?show=full</vt:lpwstr>
      </vt:variant>
      <vt:variant>
        <vt:lpwstr/>
      </vt:variant>
      <vt:variant>
        <vt:i4>7340134</vt:i4>
      </vt:variant>
      <vt:variant>
        <vt:i4>12</vt:i4>
      </vt:variant>
      <vt:variant>
        <vt:i4>0</vt:i4>
      </vt:variant>
      <vt:variant>
        <vt:i4>5</vt:i4>
      </vt:variant>
      <vt:variant>
        <vt:lpwstr>https://www.nsa.smm.lt/wp-content/uploads/2022/08/Svietimas-Lietuvoje-2022-web.pdf</vt:lpwstr>
      </vt:variant>
      <vt:variant>
        <vt:lpwstr/>
      </vt:variant>
      <vt:variant>
        <vt:i4>6225948</vt:i4>
      </vt:variant>
      <vt:variant>
        <vt:i4>9</vt:i4>
      </vt:variant>
      <vt:variant>
        <vt:i4>0</vt:i4>
      </vt:variant>
      <vt:variant>
        <vt:i4>5</vt:i4>
      </vt:variant>
      <vt:variant>
        <vt:lpwstr>https://www.nsa.smm.lt/bendruju-reikalu-departamentas/leidiniai/naujausi/</vt:lpwstr>
      </vt:variant>
      <vt:variant>
        <vt:lpwstr/>
      </vt:variant>
      <vt:variant>
        <vt:i4>5570596</vt:i4>
      </vt:variant>
      <vt:variant>
        <vt:i4>6</vt:i4>
      </vt:variant>
      <vt:variant>
        <vt:i4>0</vt:i4>
      </vt:variant>
      <vt:variant>
        <vt:i4>5</vt:i4>
      </vt:variant>
      <vt:variant>
        <vt:lpwstr>https://rsvis3.emokykla.lt/cognos/bi/?perspective=dashboard&amp;pathRef=.public_folders%2FBendroji%2Binformacija%2F%25C5%25A0VIS%2FSavivaldyb%25C4%2597s%2B%25C5%25A1vietimo%2Bsteb%25C4%2597senos%2B%25C5%25BEem%25C4%2597lapiai&amp;id=iA0D4AAC9273A42EF8B59F44411C8EABC&amp;ui_appbar=false&amp;ui_navbar=false&amp;objRef=iA0D4AAC9273A42EF8B59F44411C8EABC&amp;options%5Bcollections%5D%5BcanvasExtension%5D%5Bid%5D=com.ibm.bi.dashboard.canvasExtension&amp;options%5Bcollections%5D%5BfeatureExtension%5D%5Bid%5D=com.ibm.bi.dashboard.core-features&amp;options%5Bcollections%5D%5Bbuttons%5D%5Bid%5D=com.ibm.bi.dashboard.buttons&amp;options%5Bcollections%5D%5Bwidget%5D%5Bid%5D=com.ibm.bi.dashboard.widgets&amp;options%5Bcollections%5D%5BcontentFeatureExtension%5D%5Bid%5D=com.ibm.bi.dashboard.content-features&amp;options%5Bcollections%5D%5BboardModel%5D%5Bid%5D=com.ibm.bi.dashboard.boardModelExtension&amp;options%5Bcollections%5D%5BsaveServices%5D%5Bid%5D=com.ibm.bi.dashboard.saveServices&amp;options%5Bcollections%5D%5BserviceExtension%5D%5Bid%5D=com.ibm.bi.dashboard.serviceExtension&amp;options%5Bcollections%5D%5BlayoutExtension%5D%5Bid%5D=com.ibm.bi.dashboard.layoutExtension&amp;options%5Bcollections%5D%5BvisualizationExtension%5D%5Bid%5D=com.ibm.bi.dashboard.visualizationExtensionCA&amp;options%5Bcollections%5D%5BcolorSetExtensions%5D%5Bid%5D=com.ibm.bi.dashboard.colorSetExtensions&amp;options%5Bconfig%5D%5BsmartTitle%5D=false&amp;options%5Bconfig%5D%5BeditPropertiesLabel%5D=true&amp;options%5Bconfig%5D%5BnavigationGroupAction%5D=true&amp;options%5Bconfig%5D%5BenableDataQuality%5D=false&amp;options%5Bconfig%5D%5BmemberCalculation%5D=false&amp;options%5Bconfig%5D%5BassetTags%5D%5B%5D=dashboard&amp;options%5Bconfig%5D%5BfilterDock%5D=true&amp;options%5Bconfig%5D%5BshowMembers%5D=true&amp;options%5Bconfig%5D%5BassetType%5D=exploration&amp;options%5Bconfig%5D%5BgeoService%5D=CA&amp;isAuthoringMode=false&amp;boardId=iA0D4AAC9273A42EF8B59F44411C8EABC</vt:lpwstr>
      </vt:variant>
      <vt:variant>
        <vt:lpwstr/>
      </vt:variant>
      <vt:variant>
        <vt:i4>5570596</vt:i4>
      </vt:variant>
      <vt:variant>
        <vt:i4>3</vt:i4>
      </vt:variant>
      <vt:variant>
        <vt:i4>0</vt:i4>
      </vt:variant>
      <vt:variant>
        <vt:i4>5</vt:i4>
      </vt:variant>
      <vt:variant>
        <vt:lpwstr>https://rsvis3.emokykla.lt/cognos/bi/?perspective=dashboard&amp;pathRef=.public_folders%2FBendroji%2Binformacija%2F%25C5%25A0VIS%2FSavivaldyb%25C4%2597s%2B%25C5%25A1vietimo%2Bsteb%25C4%2597senos%2B%25C5%25BEem%25C4%2597lapiai&amp;id=iA0D4AAC9273A42EF8B59F44411C8EABC&amp;ui_appbar=false&amp;ui_navbar=false&amp;objRef=iA0D4AAC9273A42EF8B59F44411C8EABC&amp;options%5Bcollections%5D%5BcanvasExtension%5D%5Bid%5D=com.ibm.bi.dashboard.canvasExtension&amp;options%5Bcollections%5D%5BfeatureExtension%5D%5Bid%5D=com.ibm.bi.dashboard.core-features&amp;options%5Bcollections%5D%5Bbuttons%5D%5Bid%5D=com.ibm.bi.dashboard.buttons&amp;options%5Bcollections%5D%5Bwidget%5D%5Bid%5D=com.ibm.bi.dashboard.widgets&amp;options%5Bcollections%5D%5BcontentFeatureExtension%5D%5Bid%5D=com.ibm.bi.dashboard.content-features&amp;options%5Bcollections%5D%5BboardModel%5D%5Bid%5D=com.ibm.bi.dashboard.boardModelExtension&amp;options%5Bcollections%5D%5BsaveServices%5D%5Bid%5D=com.ibm.bi.dashboard.saveServices&amp;options%5Bcollections%5D%5BserviceExtension%5D%5Bid%5D=com.ibm.bi.dashboard.serviceExtension&amp;options%5Bcollections%5D%5BlayoutExtension%5D%5Bid%5D=com.ibm.bi.dashboard.layoutExtension&amp;options%5Bcollections%5D%5BvisualizationExtension%5D%5Bid%5D=com.ibm.bi.dashboard.visualizationExtensionCA&amp;options%5Bcollections%5D%5BcolorSetExtensions%5D%5Bid%5D=com.ibm.bi.dashboard.colorSetExtensions&amp;options%5Bconfig%5D%5BsmartTitle%5D=false&amp;options%5Bconfig%5D%5BeditPropertiesLabel%5D=true&amp;options%5Bconfig%5D%5BnavigationGroupAction%5D=true&amp;options%5Bconfig%5D%5BenableDataQuality%5D=false&amp;options%5Bconfig%5D%5BmemberCalculation%5D=false&amp;options%5Bconfig%5D%5BassetTags%5D%5B%5D=dashboard&amp;options%5Bconfig%5D%5BfilterDock%5D=true&amp;options%5Bconfig%5D%5BshowMembers%5D=true&amp;options%5Bconfig%5D%5BassetType%5D=exploration&amp;options%5Bconfig%5D%5BgeoService%5D=CA&amp;isAuthoringMode=false&amp;boardId=iA0D4AAC9273A42EF8B59F44411C8EABC</vt:lpwstr>
      </vt:variant>
      <vt:variant>
        <vt:lpwstr/>
      </vt:variant>
      <vt:variant>
        <vt:i4>852029</vt:i4>
      </vt:variant>
      <vt:variant>
        <vt:i4>0</vt:i4>
      </vt:variant>
      <vt:variant>
        <vt:i4>0</vt:i4>
      </vt:variant>
      <vt:variant>
        <vt:i4>5</vt:i4>
      </vt:variant>
      <vt:variant>
        <vt:lpwstr>https://rsvis3.emokykla.lt/cognos/bi/?perspective=classicviewer&amp;pathRef=.public_folders%2FIkimokyklinis%2Bugdymas%2FIkimokyklinis%2Bugdymas%2BUgdom%25C5%25B3%2Bvaik%25C5%25B3%2Bskai%25C4%258Dius%2Bpagal%2Bsteig%25C4%2597j%25C4%2585&amp;id=i3864CC08C8694704A9648907FB9D4AAA&amp;objRef=i3864CC08C8694704A9648907FB9D4AAA&amp;action=run&amp;format=HTML&amp;cmPropStr=%7B%22id%22%3A%22i3864CC08C8694704A9648907FB9D4AAA%22%2C%22type%22%3A%22report%22%2C%22defaultName%22%3A%22Ikimokyklinis%20ugdymas%20Ugdom%C5%B3%20vaik%C5%B3%20skai%C4%8Dius%20pagal%20steig%C4%97j%C4%85%22%2C%22permissions%22%3A%5B%22execute%22%2C%22read%22%2C%22traverse%22%5D%7D</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2023-02-09T06:22:00Z</dcterms:created>
  <dc:creator>Eglė Šarkauskaitė</dc:creator>
  <lastModifiedBy>adlibuser</lastModifiedBy>
  <dcterms:modified xsi:type="dcterms:W3CDTF">2023-02-09T06:22:00Z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0x0101008AC4BFE78538054EA722B05521283528</vt:lpwstr>
  </property>
</Properties>
</file>