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683b1b0c14fe4a9ca3287c2134407b76"/>
        <w:lock w:val="sdtLocked"/>
        <w:richText/>
      </w:sdtPr>
      <w:sdtContent>
        <w:p>
          <w:pPr>
            <w:tabs>
              <w:tab w:val="center" w:pos="4819"/>
              <w:tab w:val="right" w:pos="9638"/>
            </w:tabs>
            <w:rPr>
              <w:sz w:val="22"/>
              <w:szCs w:val="22"/>
            </w:rPr>
          </w:pPr>
        </w:p>
        <w:p>
          <w:pPr>
            <w:ind w:left="10206"/>
            <w:jc w:val="both"/>
            <w:rPr>
              <w:szCs w:val="24"/>
            </w:rPr>
          </w:pPr>
          <w:r>
            <w:rPr>
              <w:szCs w:val="24"/>
            </w:rPr>
            <w:t xml:space="preserve">6 priedo „2021–2030 m. plėtros programos valdytojos Lietuvos Respublikos švietimo, mokslo ir sporto ministerijos švietimo plėtros programos pažangos priemonės Nr. 12-003-03-04-03 „Sukurti rinkos poreikius atliepiančią profesinio ugdymo sistemą“ projektų finansavimo sąlygų aprašo Nr. 6“ </w:t>
          </w:r>
        </w:p>
        <w:p>
          <w:pPr>
            <w:ind w:left="10206"/>
            <w:jc w:val="both"/>
            <w:rPr>
              <w:szCs w:val="24"/>
            </w:rPr>
          </w:pPr>
          <w:sdt>
            <w:sdtPr>
              <w:alias w:val="Numeris"/>
              <w:tag w:val="nr_683b1b0c14fe4a9ca3287c2134407b76"/>
              <w:lock w:val="sdtLocked"/>
              <w:richText/>
            </w:sdtPr>
            <w:sdtContent>
              <w:r>
                <w:rPr>
                  <w:szCs w:val="24"/>
                </w:rPr>
                <w:t>1</w:t>
              </w:r>
            </w:sdtContent>
          </w:sdt>
          <w:r>
            <w:rPr>
              <w:szCs w:val="24"/>
            </w:rPr>
            <w:t xml:space="preserve"> priedas</w:t>
          </w:r>
        </w:p>
        <w:p>
          <w:pPr>
            <w:jc w:val="center"/>
            <w:rPr>
              <w:szCs w:val="24"/>
            </w:rPr>
          </w:pPr>
        </w:p>
        <w:p>
          <w:pPr>
            <w:jc w:val="center"/>
            <w:rPr>
              <w:rFonts w:eastAsia="Calibri"/>
              <w:b/>
              <w:bCs/>
              <w:szCs w:val="24"/>
            </w:rPr>
          </w:pPr>
        </w:p>
        <w:p>
          <w:pPr>
            <w:jc w:val="center"/>
            <w:rPr>
              <w:rFonts w:eastAsia="Calibri"/>
              <w:b/>
              <w:bCs/>
              <w:szCs w:val="24"/>
            </w:rPr>
          </w:pPr>
          <w:sdt>
            <w:sdtPr>
              <w:alias w:val="Pavadinimas"/>
              <w:tag w:val="title_683b1b0c14fe4a9ca3287c2134407b76"/>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3"/>
            <w:gridCol w:w="5324"/>
            <w:gridCol w:w="4642"/>
          </w:tblGrid>
          <w:tr>
            <w:tc>
              <w:tcPr>
                <w:tcW w:w="4883"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324" w:type="dxa"/>
              </w:tcPr>
              <w:p>
                <w:pPr>
                  <w:jc w:val="center"/>
                  <w:rPr>
                    <w:rFonts w:eastAsia="Calibri"/>
                    <w:b/>
                    <w:szCs w:val="24"/>
                  </w:rPr>
                </w:pPr>
                <w:r>
                  <w:rPr>
                    <w:rFonts w:eastAsia="Calibri"/>
                    <w:b/>
                    <w:szCs w:val="24"/>
                  </w:rPr>
                  <w:t>Pagrindimas</w:t>
                </w:r>
              </w:p>
              <w:p>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4642" w:type="dxa"/>
              </w:tcPr>
              <w:p>
                <w:pPr>
                  <w:jc w:val="center"/>
                  <w:rPr>
                    <w:rFonts w:eastAsia="Calibri"/>
                    <w:i/>
                    <w:sz w:val="20"/>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4883" w:type="dxa"/>
              </w:tcPr>
              <w:p>
                <w:pPr>
                  <w:tabs>
                    <w:tab w:val="left" w:pos="289"/>
                  </w:tabs>
                  <w:ind w:firstLine="5"/>
                  <w:jc w:val="both"/>
                  <w:rPr>
                    <w:rFonts w:eastAsia="Calibri"/>
                    <w:szCs w:val="24"/>
                  </w:rPr>
                </w:pPr>
                <w:r>
                  <w:rPr>
                    <w:rFonts w:eastAsia="Calibri"/>
                    <w:szCs w:val="24"/>
                  </w:rPr>
                  <w:t>1.</w:t>
                  <w:tab/>
                  <w:t>Klimato kaitos švelninimas</w:t>
                </w:r>
              </w:p>
            </w:tc>
            <w:tc>
              <w:tcPr>
                <w:tcW w:w="5324" w:type="dxa"/>
              </w:tcPr>
              <w:p>
                <w:pPr>
                  <w:jc w:val="both"/>
                  <w:rPr>
                    <w:rFonts w:eastAsia="Calibri"/>
                    <w:bCs/>
                    <w:szCs w:val="24"/>
                  </w:rPr>
                </w:pPr>
                <w:r>
                  <w:rPr>
                    <w:rFonts w:eastAsia="Calibri"/>
                    <w:bCs/>
                    <w:iCs/>
                    <w:szCs w:val="24"/>
                  </w:rPr>
                  <w:t xml:space="preserve">Vertinama, kad planuojama įgyvendinti  priemonė neturi jokio numatomo poveikio šiam aplinkos tikslui arba numatomas jos poveikis yra nereikšmingas, t. y. neplanuojama, kad įgyvendinama priemonė prisidės prie išmetamų šiltnamio efektą sukeliančių dujų išsiskyrimo. Planuojamos priemonės veiklos (pagal savo pobūdį) neturi jokio tiesioginio ar netiesioginio neigiamo poveikio šiam aplinkos tikslui. </w:t>
                </w:r>
                <w:r>
                  <w:rPr>
                    <w:rFonts w:eastAsia="Calibri"/>
                    <w:bCs/>
                    <w:szCs w:val="24"/>
                  </w:rPr>
                  <w:t>Bus investuojama į profesinio mokymo, organizuojamo pameistrystės mokymo forma, veiklos viešinimo priemonių sukūrimą ir įgyvendinimą. Šios veiklos neturės jokio neigiamo</w:t>
                </w:r>
                <w:r>
                  <w:rPr>
                    <w:rFonts w:ascii="Calibri" w:eastAsia="Calibri" w:hAnsi="Calibri"/>
                  </w:rPr>
                  <w:t xml:space="preserve"> </w:t>
                </w:r>
                <w:r>
                  <w:rPr>
                    <w:rFonts w:eastAsia="Calibri"/>
                    <w:bCs/>
                    <w:szCs w:val="24"/>
                  </w:rPr>
                  <w:t>tiesioginio ar netiesioginio poveikio klimato kaitos švelninimo tikslui, nes nenumatoma, kad įgyvendinant veiklas galėtų būti ŠESD išsiskyrimas.</w:t>
                </w:r>
              </w:p>
            </w:tc>
            <w:tc>
              <w:tcPr>
                <w:tcW w:w="4642" w:type="dxa"/>
              </w:tcPr>
              <w:p>
                <w:pPr>
                  <w:jc w:val="both"/>
                  <w:rPr>
                    <w:bCs/>
                    <w:szCs w:val="24"/>
                  </w:rPr>
                </w:pPr>
                <w:r>
                  <w:rPr>
                    <w:bCs/>
                    <w:szCs w:val="24"/>
                  </w:rPr>
                  <w:t xml:space="preserve">Netaikoma, nes priemonės veiklos apima ir yra nukreiptos į profesinio mokymo, organizuojamo pameistrystės mokymo forma, veiklos viešinimo priemonių sukūrimą ir įgyvendinimą. </w:t>
                </w:r>
              </w:p>
            </w:tc>
          </w:tr>
          <w:tr>
            <w:tc>
              <w:tcPr>
                <w:tcW w:w="4883" w:type="dxa"/>
              </w:tcPr>
              <w:p>
                <w:pPr>
                  <w:tabs>
                    <w:tab w:val="left" w:pos="289"/>
                  </w:tabs>
                  <w:ind w:firstLine="5"/>
                  <w:jc w:val="both"/>
                  <w:rPr>
                    <w:rFonts w:eastAsia="Calibri"/>
                    <w:szCs w:val="24"/>
                  </w:rPr>
                </w:pPr>
                <w:r>
                  <w:rPr>
                    <w:rFonts w:eastAsia="Calibri"/>
                    <w:szCs w:val="24"/>
                  </w:rPr>
                  <w:t>2.</w:t>
                  <w:tab/>
                  <w:t>Prisitaikymas prie klimato kaitos</w:t>
                </w:r>
              </w:p>
            </w:tc>
            <w:tc>
              <w:tcPr>
                <w:tcW w:w="5324" w:type="dxa"/>
              </w:tcPr>
              <w:p>
                <w:pPr>
                  <w:jc w:val="both"/>
                  <w:rPr>
                    <w:rFonts w:eastAsia="Calibri"/>
                    <w:bCs/>
                    <w:szCs w:val="24"/>
                  </w:rPr>
                </w:pPr>
                <w:r>
                  <w:rPr>
                    <w:bCs/>
                    <w:szCs w:val="24"/>
                  </w:rPr>
                  <w:t xml:space="preserve">Vertinama, kad planuojam įgyvendinti priemonė neturi jokio numatomo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4642" w:type="dxa"/>
              </w:tcPr>
              <w:p>
                <w:pPr>
                  <w:jc w:val="both"/>
                  <w:rPr>
                    <w:rFonts w:eastAsia="Calibri"/>
                    <w:b/>
                    <w:szCs w:val="24"/>
                  </w:rPr>
                </w:pPr>
                <w:r>
                  <w:rPr>
                    <w:bCs/>
                    <w:szCs w:val="24"/>
                  </w:rPr>
                  <w:t>Netaikoma, nes priemonės veiklos apima ir yra nukreiptos į profesinio mokymo, organizuojamo pameistrystės mokymo forma, veiklos viešinimo priemonių sukūrimą ir įgyvendinimą.</w:t>
                </w:r>
              </w:p>
            </w:tc>
          </w:tr>
          <w:tr>
            <w:tc>
              <w:tcPr>
                <w:tcW w:w="4883"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5324" w:type="dxa"/>
              </w:tcPr>
              <w:p>
                <w:pPr>
                  <w:jc w:val="both"/>
                  <w:rPr>
                    <w:rFonts w:eastAsia="Calibri"/>
                    <w:b/>
                    <w:szCs w:val="24"/>
                  </w:rPr>
                </w:pPr>
                <w:r>
                  <w:rPr>
                    <w:bCs/>
                    <w:szCs w:val="24"/>
                  </w:rPr>
                  <w:t>Vertinama, kad planuojamos įgyvendinti priemonė neturi jokio numatomo poveikio šiam aplinkos tikslui arba numatomas jos poveikis yra nereikšmingas, t. y. nedaro tiesioginio ir pirminio netiesioginio poveikio per visą gyvavimo ciklą, ir laikoma, kad jos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w:t>
                </w:r>
              </w:p>
            </w:tc>
            <w:tc>
              <w:tcPr>
                <w:tcW w:w="4642" w:type="dxa"/>
              </w:tcPr>
              <w:p>
                <w:pPr>
                  <w:jc w:val="both"/>
                  <w:rPr>
                    <w:rFonts w:eastAsia="Calibri"/>
                    <w:bCs/>
                    <w:szCs w:val="24"/>
                  </w:rPr>
                </w:pPr>
                <w:r>
                  <w:rPr>
                    <w:bCs/>
                    <w:szCs w:val="24"/>
                  </w:rPr>
                  <w:t>Netaikoma, nes priemonės veiklos apima ir yra nukreiptos į profesinio mokymo, organizuojamo pameistrystės mokymo forma, veiklos viešinimo priemonių sukūrimą ir įgyvendinimą.</w:t>
                </w:r>
              </w:p>
            </w:tc>
          </w:tr>
          <w:tr>
            <w:tc>
              <w:tcPr>
                <w:tcW w:w="4883"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5324" w:type="dxa"/>
              </w:tcPr>
              <w:p>
                <w:pPr>
                  <w:jc w:val="both"/>
                  <w:rPr>
                    <w:rFonts w:eastAsia="Calibri"/>
                    <w:bCs/>
                    <w:szCs w:val="24"/>
                  </w:rPr>
                </w:pPr>
                <w:r>
                  <w:rPr>
                    <w:bCs/>
                    <w:szCs w:val="24"/>
                  </w:rPr>
                  <w:t xml:space="preserve">Vertinama, kad planuojama įgyvendinti  priemonė neturi jokio numatomo poveikio šiam aplinkos tikslui arba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4642" w:type="dxa"/>
              </w:tcPr>
              <w:p>
                <w:pPr>
                  <w:jc w:val="both"/>
                  <w:rPr>
                    <w:rFonts w:eastAsia="Calibri"/>
                    <w:szCs w:val="24"/>
                  </w:rPr>
                </w:pPr>
                <w:r>
                  <w:rPr>
                    <w:bCs/>
                    <w:szCs w:val="24"/>
                  </w:rPr>
                  <w:t>Netaikoma, nes priemonės veiklos apima ir yra nukreiptos į profesinio mokymo, organizuojamo pameistrystės mokymo forma, veiklos viešinimo priemonių sukūrimą ir įgyvendinimą.</w:t>
                </w:r>
              </w:p>
            </w:tc>
          </w:tr>
          <w:tr>
            <w:tc>
              <w:tcPr>
                <w:tcW w:w="4883"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5324" w:type="dxa"/>
              </w:tcPr>
              <w:p>
                <w:pPr>
                  <w:jc w:val="both"/>
                  <w:rPr>
                    <w:rFonts w:eastAsia="Calibri"/>
                    <w:b/>
                    <w:szCs w:val="24"/>
                  </w:rPr>
                </w:pPr>
                <w:r>
                  <w:rPr>
                    <w:bCs/>
                    <w:szCs w:val="24"/>
                  </w:rPr>
                  <w:t xml:space="preserve">Vertinama, kad planuojamos įgyvendinti priemonė neturi jokio numatomo poveikio šiam aplinkos tikslui arba numatomas jos poveikis yra nereikšmingas, t. y. nedaro tiesioginio ir pirminio netiesioginio poveikio per visą gyvavimo ciklą, ir laikoma, kad jos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4642" w:type="dxa"/>
              </w:tcPr>
              <w:p>
                <w:pPr>
                  <w:jc w:val="both"/>
                  <w:rPr>
                    <w:rFonts w:eastAsia="Calibri"/>
                    <w:szCs w:val="24"/>
                  </w:rPr>
                </w:pPr>
                <w:r>
                  <w:rPr>
                    <w:bCs/>
                    <w:szCs w:val="24"/>
                  </w:rPr>
                  <w:t>Netaikoma, nes priemonės veiklos apima ir yra nukreiptos į profesinio mokymo, organizuojamo pameistrystės mokymo forma, veiklos viešinimo priemonių sukūrimą ir įgyvendinimą.</w:t>
                </w:r>
              </w:p>
            </w:tc>
          </w:tr>
          <w:tr>
            <w:tc>
              <w:tcPr>
                <w:tcW w:w="4883"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5324" w:type="dxa"/>
              </w:tcPr>
              <w:p>
                <w:pPr>
                  <w:jc w:val="both"/>
                  <w:rPr>
                    <w:rFonts w:eastAsia="Calibri"/>
                    <w:b/>
                    <w:szCs w:val="24"/>
                  </w:rPr>
                </w:pPr>
                <w:r>
                  <w:rPr>
                    <w:bCs/>
                    <w:szCs w:val="24"/>
                  </w:rPr>
                  <w:t xml:space="preserve">Vertinama, kad planuojama įgyvendinti priemonė neturi jokio numatomo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w:t>
                </w:r>
              </w:p>
            </w:tc>
            <w:tc>
              <w:tcPr>
                <w:tcW w:w="4642" w:type="dxa"/>
              </w:tcPr>
              <w:p>
                <w:pPr>
                  <w:ind w:left="33"/>
                  <w:jc w:val="both"/>
                  <w:rPr>
                    <w:rFonts w:eastAsia="Calibri"/>
                    <w:szCs w:val="24"/>
                  </w:rPr>
                </w:pPr>
                <w:r>
                  <w:rPr>
                    <w:bCs/>
                    <w:szCs w:val="24"/>
                  </w:rPr>
                  <w:t>Netaikoma, nes priemonės veiklos apima ir yra nukreiptos į profesinio mokymo, organizuojamo pameistrystės mokymo forma, veiklos viešinimo priemonių sukūrimą ir įgyvendinimą.</w:t>
                </w:r>
              </w:p>
            </w:tc>
          </w:tr>
        </w:tbl>
        <w:p>
          <w:pPr>
            <w:tabs>
              <w:tab w:val="left" w:pos="426"/>
            </w:tabs>
            <w:jc w:val="both"/>
            <w:rPr>
              <w:b/>
              <w:bCs/>
              <w:color w:val="0070C0"/>
              <w:szCs w:val="24"/>
            </w:rPr>
          </w:pPr>
        </w:p>
        <w:p>
          <w:pPr>
            <w:spacing w:line="276" w:lineRule="auto"/>
            <w:jc w:val="center"/>
            <w:rPr>
              <w:rFonts w:ascii="Calibri" w:eastAsia="Calibri" w:hAnsi="Calibri"/>
              <w:sz w:val="22"/>
              <w:szCs w:val="22"/>
            </w:rPr>
          </w:pPr>
        </w:p>
        <w:p>
          <w:pPr>
            <w:rPr>
              <w:sz w:val="18"/>
              <w:szCs w:val="18"/>
            </w:rPr>
          </w:pPr>
        </w:p>
        <w:p>
          <w:pPr>
            <w:spacing w:line="276" w:lineRule="auto"/>
            <w:jc w:val="center"/>
            <w:rPr>
              <w:sz w:val="22"/>
              <w:szCs w:val="22"/>
            </w:rPr>
          </w:pPr>
          <w:r>
            <w:rPr>
              <w:rFonts w:ascii="Calibri" w:eastAsia="Calibri" w:hAnsi="Calibri"/>
              <w:sz w:val="22"/>
              <w:szCs w:val="22"/>
            </w:rPr>
            <w:t>______________</w:t>
          </w:r>
        </w:p>
        <w:p/>
      </w:sdtContent>
    </w:sdt>
    <w:sectPr>
      <w:headerReference w:type="even" r:id="rId9"/>
      <w:headerReference w:type="default" r:id="rId10"/>
      <w:footerReference w:type="even" r:id="rId11"/>
      <w:footerReference w:type="default" r:id="rId12"/>
      <w:headerReference w:type="first" r:id="rId13"/>
      <w:footerReference w:type="first" r:id="rId14"/>
      <w:pgSz w:w="16838" w:h="11906" w:orient="landscape"/>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80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E465D3-7574-4A94-AD4A-B310A964EBD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E5F679DA0FEB2D469461D7F0104A433F" ma:contentTypeVersion="0" ma:contentTypeDescription="Kurkite naują dokumentą." ma:contentTypeScope="" ma:versionID="c342a37ebf3cf4ee144490c88d7bc0f2">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1" Abbr="1 pr." Title="PROJEKTO (ĮSKAITANT JUNGTINĮ PROJEKTĄ) ATITIKTIES REIKŠMINGOS ŽALOS NEDARYMO HORIZONTALIAJAM PRINCIPUI VERTINIMO REIKALAVIMŲ APRAŠAS" DocPartId="2aaeed2e51dc45f3b983a8d39c061fe9" PartId="683b1b0c14fe4a9ca3287c2134407b76"/>
</Parts>
</file>

<file path=customXml/itemProps1.xml><?xml version="1.0" encoding="utf-8"?>
<ds:datastoreItem xmlns:ds="http://schemas.openxmlformats.org/officeDocument/2006/customXml" ds:itemID="{6915331C-DF45-41EC-B3DC-C6122231AC4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1DD5DE7-383A-44B0-A515-A9F49474A1AB}">
  <ds:schemaRefs>
    <ds:schemaRef ds:uri="http://schemas.microsoft.com/sharepoint/v3/contenttype/forms"/>
  </ds:schemaRefs>
</ds:datastoreItem>
</file>

<file path=customXml/itemProps3.xml><?xml version="1.0" encoding="utf-8"?>
<ds:datastoreItem xmlns:ds="http://schemas.openxmlformats.org/officeDocument/2006/customXml" ds:itemID="{E40CA6A1-7CD0-47AE-A514-F8573B7A09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47422EE2-C6AA-47DE-B08F-257401263AF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704</Words>
  <Characters>4987</Characters>
  <Application>Microsoft Office Word</Application>
  <DocSecurity>4</DocSecurity>
  <Lines>146</Lines>
  <Paragraphs>35</Paragraphs>
  <ScaleCrop>false</ScaleCrop>
  <HeadingPairs>
    <vt:vector size="2" baseType="variant">
      <vt:variant>
        <vt:lpstr>Pavadinimas</vt:lpstr>
      </vt:variant>
      <vt:variant>
        <vt:i4>1</vt:i4>
      </vt:variant>
    </vt:vector>
  </HeadingPairs>
  <TitlesOfParts>
    <vt:vector size="1" baseType="lpstr">
      <vt:lpstr>304272c2-f0e0-4b55-99c3-79381fadd15e</vt:lpstr>
    </vt:vector>
  </TitlesOfParts>
  <Company/>
  <LinksUpToDate>false</LinksUpToDate>
  <CharactersWithSpaces>5656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2023-07-05T12:51:00Z</dcterms:created>
  <dc:creator>Janina Bendinskienė</dc:creator>
  <lastModifiedBy>adlibuser</lastModifiedBy>
  <dcterms:modified xsi:type="dcterms:W3CDTF">2023-07-05T12:51:00Z</dcterms:modified>
  <revision>2</revision>
  <dc:title>d5228bf3-7ae6-4d51-8fb3-e715345bb7ed</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0x010100E5F679DA0FEB2D469461D7F0104A433F</vt:lpwstr>
  </property>
</Properties>
</file>