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5 pr."/>
        <w:tag w:val="part_57de41829d4b46dfbf4e7c64fea75cc4"/>
        <w:lock w:val="sdtLocked"/>
        <w:richText/>
      </w:sdtPr>
      <w:sdtContent>
        <w:p w14:paraId="639F887F" w14:textId="77777777">
          <w:pPr>
            <w:tabs>
              <w:tab w:val="center" w:pos="4819"/>
              <w:tab w:val="right" w:pos="9638"/>
            </w:tabs>
          </w:pPr>
        </w:p>
        <w:p w14:paraId="46D55276" w14:textId="77777777">
          <w:pPr>
            <w:tabs>
              <w:tab w:val="center" w:pos="4819"/>
              <w:tab w:val="right" w:pos="9638"/>
            </w:tabs>
            <w:rPr>
              <w:sz w:val="22"/>
              <w:szCs w:val="22"/>
            </w:rPr>
          </w:pPr>
        </w:p>
        <w:p w14:paraId="00C947D9" w14:textId="7BB0BF58">
          <w:pPr>
            <w:ind w:left="9639"/>
            <w:jc w:val="both"/>
            <w:rPr>
              <w:bCs/>
              <w:szCs w:val="24"/>
            </w:rPr>
          </w:pPr>
          <w:r>
            <w:rPr>
              <w:bCs/>
              <w:szCs w:val="24"/>
            </w:rPr>
            <w:t xml:space="preserve">2021–2030 m. plėtros programos valdytojos Lietuvos Respublikos švietimo, mokslo ir sporto ministerijos švietimo plėtros programos pažangos priemonės Nr. 12-003-03-04-03 „Sukurti rinkos poreikius atliepiančią profesinio ugdymo sistemą“ aprašo </w:t>
          </w:r>
        </w:p>
        <w:p w14:paraId="44D5EE2E" w14:textId="60F5B84A">
          <w:pPr>
            <w:ind w:left="9639"/>
            <w:jc w:val="both"/>
            <w:rPr>
              <w:szCs w:val="24"/>
            </w:rPr>
          </w:pPr>
          <w:sdt>
            <w:sdtPr>
              <w:alias w:val="Numeris"/>
              <w:tag w:val="nr_57de41829d4b46dfbf4e7c64fea75cc4"/>
              <w:lock w:val="sdtLocked"/>
              <w:richText/>
            </w:sdtPr>
            <w:sdtContent>
              <w:r>
                <w:rPr>
                  <w:szCs w:val="24"/>
                </w:rPr>
                <w:t>5</w:t>
              </w:r>
            </w:sdtContent>
          </w:sdt>
          <w:r>
            <w:rPr>
              <w:szCs w:val="24"/>
            </w:rPr>
            <w:t xml:space="preserve"> priedas</w:t>
          </w:r>
        </w:p>
        <w:p w14:paraId="5E1F23D7" w14:textId="77777777">
          <w:pPr>
            <w:jc w:val="center"/>
            <w:rPr>
              <w:iCs/>
              <w:sz w:val="22"/>
              <w:szCs w:val="22"/>
            </w:rPr>
          </w:pPr>
        </w:p>
        <w:p w14:paraId="2EB5772D" w14:textId="55BE4630">
          <w:pPr>
            <w:jc w:val="center"/>
            <w:rPr>
              <w:i/>
              <w:szCs w:val="24"/>
            </w:rPr>
          </w:pPr>
          <w:sdt>
            <w:sdtPr>
              <w:alias w:val="Pavadinimas"/>
              <w:tag w:val="title_57de41829d4b46dfbf4e7c64fea75cc4"/>
              <w:lock w:val="sdtLocked"/>
              <w:richText/>
            </w:sdtPr>
            <w:sdtContent>
              <w:r>
                <w:rPr>
                  <w:b/>
                  <w:bCs/>
                  <w:szCs w:val="24"/>
                  <w:shd w:val="clear" w:color="auto" w:fill="FFFFFF"/>
                </w:rPr>
                <w:t xml:space="preserve">2021–2030 M. PLĖTROS PROGRAMOS VALDYTOJOS LIETUVOS RESPUBLIKOS ŠVIETIMO, MOKSLO IR SPORTO MINISTERIJOS ŠVIETIMO PLĖTROS PROGRAMOS </w:t>
              </w:r>
              <w:r>
                <w:rPr>
                  <w:b/>
                  <w:bCs/>
                  <w:szCs w:val="24"/>
                  <w:lang w:eastAsia="lt-LT"/>
                </w:rPr>
                <w:t xml:space="preserve">PAŽANGOS PRIEMONĖS </w:t>
              </w:r>
              <w:r>
                <w:rPr>
                  <w:b/>
                  <w:bCs/>
                  <w:szCs w:val="24"/>
                </w:rPr>
                <w:t xml:space="preserve"> NR.12-003-03-04-03 „SUKURTI RINKOS POREIKIUS ATLIEPIANČIĄ PROFESINIO UGDYMO SISTEMĄ“ PROJEKTŲ FINANSAVIMO SĄLYGŲ APRAŠAS NR. 5</w:t>
              </w:r>
            </w:sdtContent>
          </w:sdt>
        </w:p>
        <w:p w14:paraId="02A9D67D" w14:textId="70E56E1A">
          <w:pPr>
            <w:jc w:val="center"/>
            <w:rPr>
              <w:sz w:val="22"/>
              <w:szCs w:val="22"/>
            </w:rPr>
          </w:pPr>
        </w:p>
        <w:p w14:paraId="4896246B" w14:textId="77777777">
          <w:pPr>
            <w:rPr>
              <w:sz w:val="22"/>
              <w:szCs w:val="22"/>
            </w:rPr>
          </w:pPr>
        </w:p>
        <w:tbl>
          <w:tblPr>
            <w:tblW w:w="148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55"/>
            <w:gridCol w:w="1275"/>
            <w:gridCol w:w="1418"/>
            <w:gridCol w:w="1559"/>
            <w:gridCol w:w="1418"/>
            <w:gridCol w:w="1275"/>
            <w:gridCol w:w="1276"/>
            <w:gridCol w:w="992"/>
            <w:gridCol w:w="993"/>
            <w:gridCol w:w="814"/>
            <w:gridCol w:w="1132"/>
            <w:gridCol w:w="1149"/>
          </w:tblGrid>
          <w:tr w14:paraId="7229BB76" w14:textId="77777777">
            <w:tc>
              <w:tcPr>
                <w:tcW w:w="14856" w:type="dxa"/>
                <w:gridSpan w:val="12"/>
                <w:vAlign w:val="center"/>
              </w:tcPr>
              <w:p w14:paraId="430000C1" w14:textId="77777777">
                <w:pPr>
                  <w:jc w:val="center"/>
                  <w:rPr>
                    <w:b/>
                    <w:szCs w:val="24"/>
                  </w:rPr>
                </w:pPr>
                <w:r>
                  <w:rPr>
                    <w:b/>
                    <w:szCs w:val="24"/>
                  </w:rPr>
                  <w:t>VEIKLOS AR POVEIKLĖS, KURIOMS NUSTATOMOS PROJEKTŲ FINANSAVIMO SĄLYGOS</w:t>
                </w:r>
              </w:p>
            </w:tc>
          </w:tr>
          <w:tr w14:paraId="7B36AF66" w14:textId="77777777">
            <w:tc>
              <w:tcPr>
                <w:tcW w:w="1555" w:type="dxa"/>
                <w:vAlign w:val="center"/>
              </w:tcPr>
              <w:p w14:paraId="4609856B" w14:textId="77777777">
                <w:pPr>
                  <w:jc w:val="center"/>
                  <w:rPr>
                    <w:b/>
                    <w:szCs w:val="24"/>
                  </w:rPr>
                </w:pPr>
                <w:r>
                  <w:rPr>
                    <w:b/>
                    <w:szCs w:val="24"/>
                  </w:rPr>
                  <w:t>Veiklos ar poveiklės pavadinimas</w:t>
                </w:r>
              </w:p>
            </w:tc>
            <w:tc>
              <w:tcPr>
                <w:tcW w:w="1275" w:type="dxa"/>
                <w:vAlign w:val="center"/>
              </w:tcPr>
              <w:p w14:paraId="765034E8" w14:textId="77777777">
                <w:pPr>
                  <w:jc w:val="center"/>
                  <w:rPr>
                    <w:b/>
                    <w:szCs w:val="24"/>
                  </w:rPr>
                </w:pPr>
                <w:r>
                  <w:rPr>
                    <w:b/>
                    <w:szCs w:val="24"/>
                  </w:rPr>
                  <w:t>Finansa-vimo šaltinis</w:t>
                </w:r>
              </w:p>
            </w:tc>
            <w:tc>
              <w:tcPr>
                <w:tcW w:w="1418" w:type="dxa"/>
                <w:vAlign w:val="center"/>
              </w:tcPr>
              <w:p w14:paraId="7E0A9CB7" w14:textId="77777777">
                <w:pPr>
                  <w:jc w:val="center"/>
                  <w:rPr>
                    <w:b/>
                    <w:szCs w:val="24"/>
                  </w:rPr>
                </w:pPr>
                <w:r>
                  <w:rPr>
                    <w:b/>
                    <w:bCs/>
                    <w:szCs w:val="24"/>
                  </w:rPr>
                  <w:t>Prioritetas ar komponen-tas</w:t>
                </w:r>
              </w:p>
            </w:tc>
            <w:tc>
              <w:tcPr>
                <w:tcW w:w="1559" w:type="dxa"/>
                <w:vAlign w:val="center"/>
              </w:tcPr>
              <w:p w14:paraId="782B232B" w14:textId="77777777">
                <w:pPr>
                  <w:jc w:val="center"/>
                  <w:rPr>
                    <w:b/>
                    <w:szCs w:val="24"/>
                  </w:rPr>
                </w:pPr>
                <w:r>
                  <w:rPr>
                    <w:b/>
                    <w:bCs/>
                    <w:szCs w:val="24"/>
                  </w:rPr>
                  <w:t>Uždavinys ar priemonė</w:t>
                </w:r>
              </w:p>
            </w:tc>
            <w:tc>
              <w:tcPr>
                <w:tcW w:w="1418" w:type="dxa"/>
                <w:vAlign w:val="center"/>
              </w:tcPr>
              <w:p w14:paraId="29F13138" w14:textId="77777777">
                <w:pPr>
                  <w:jc w:val="center"/>
                  <w:rPr>
                    <w:b/>
                    <w:szCs w:val="24"/>
                  </w:rPr>
                </w:pPr>
                <w:r>
                  <w:rPr>
                    <w:b/>
                    <w:bCs/>
                    <w:szCs w:val="24"/>
                  </w:rPr>
                  <w:t>Veikla ar poveiklė</w:t>
                </w:r>
              </w:p>
            </w:tc>
            <w:tc>
              <w:tcPr>
                <w:tcW w:w="1275" w:type="dxa"/>
                <w:vAlign w:val="center"/>
              </w:tcPr>
              <w:p w14:paraId="24F9E9EB" w14:textId="45FA975E">
                <w:pPr>
                  <w:jc w:val="center"/>
                  <w:rPr>
                    <w:b/>
                    <w:szCs w:val="24"/>
                  </w:rPr>
                </w:pPr>
                <w:r>
                  <w:rPr>
                    <w:b/>
                    <w:szCs w:val="24"/>
                  </w:rPr>
                  <w:t>Intervencinės priemo-nės kodas</w:t>
                </w:r>
              </w:p>
            </w:tc>
            <w:tc>
              <w:tcPr>
                <w:tcW w:w="1276" w:type="dxa"/>
                <w:vAlign w:val="center"/>
              </w:tcPr>
              <w:p w14:paraId="228F952B" w14:textId="780E5E82">
                <w:pPr>
                  <w:jc w:val="center"/>
                  <w:rPr>
                    <w:b/>
                    <w:bCs/>
                    <w:szCs w:val="24"/>
                  </w:rPr>
                </w:pPr>
                <w:r>
                  <w:rPr>
                    <w:b/>
                    <w:szCs w:val="24"/>
                  </w:rPr>
                  <w:t>Regionas, kuriam priskiria-ma veikla ar poveiklė</w:t>
                </w:r>
              </w:p>
            </w:tc>
            <w:tc>
              <w:tcPr>
                <w:tcW w:w="992" w:type="dxa"/>
                <w:vAlign w:val="center"/>
              </w:tcPr>
              <w:p w14:paraId="795A6052" w14:textId="5A4C9F7B">
                <w:pPr>
                  <w:jc w:val="center"/>
                  <w:rPr>
                    <w:b/>
                    <w:szCs w:val="24"/>
                  </w:rPr>
                </w:pPr>
                <w:r>
                  <w:rPr>
                    <w:b/>
                    <w:bCs/>
                    <w:szCs w:val="24"/>
                  </w:rPr>
                  <w:t>Para-mos formos kodas</w:t>
                </w:r>
              </w:p>
            </w:tc>
            <w:tc>
              <w:tcPr>
                <w:tcW w:w="993" w:type="dxa"/>
                <w:vAlign w:val="center"/>
              </w:tcPr>
              <w:p w14:paraId="1B2E117E" w14:textId="5D3FA4AD">
                <w:pPr>
                  <w:jc w:val="center"/>
                  <w:rPr>
                    <w:b/>
                    <w:szCs w:val="24"/>
                  </w:rPr>
                </w:pPr>
                <w:r>
                  <w:rPr>
                    <w:b/>
                    <w:bCs/>
                    <w:szCs w:val="24"/>
                  </w:rPr>
                  <w:t>Pagrin-dinės terito-rinės srities kodas (-ai)</w:t>
                </w:r>
              </w:p>
            </w:tc>
            <w:tc>
              <w:tcPr>
                <w:tcW w:w="814" w:type="dxa"/>
                <w:vAlign w:val="center"/>
              </w:tcPr>
              <w:p w14:paraId="5161D13C" w14:textId="0CB316EE">
                <w:pPr>
                  <w:jc w:val="center"/>
                  <w:rPr>
                    <w:b/>
                    <w:szCs w:val="24"/>
                  </w:rPr>
                </w:pPr>
                <w:r>
                  <w:rPr>
                    <w:b/>
                    <w:bCs/>
                    <w:szCs w:val="24"/>
                  </w:rPr>
                  <w:t>Eko-no-mi-nės veik-los ko-das (-ai)</w:t>
                </w:r>
              </w:p>
            </w:tc>
            <w:tc>
              <w:tcPr>
                <w:tcW w:w="1132" w:type="dxa"/>
                <w:vAlign w:val="center"/>
              </w:tcPr>
              <w:p w14:paraId="30A4C90F" w14:textId="2692BF25">
                <w:pPr>
                  <w:jc w:val="center"/>
                  <w:rPr>
                    <w:b/>
                    <w:bCs/>
                    <w:szCs w:val="24"/>
                  </w:rPr>
                </w:pPr>
                <w:r>
                  <w:rPr>
                    <w:b/>
                    <w:bCs/>
                    <w:szCs w:val="24"/>
                  </w:rPr>
                  <w:t>„Euro-pos socia-linio fondo +“ (toliau – ESF+) antrinių temų kodai</w:t>
                </w:r>
              </w:p>
            </w:tc>
            <w:tc>
              <w:tcPr>
                <w:tcW w:w="1149" w:type="dxa"/>
                <w:vAlign w:val="center"/>
              </w:tcPr>
              <w:p w14:paraId="3CC20B42" w14:textId="66BBB732">
                <w:pPr>
                  <w:jc w:val="center"/>
                  <w:rPr>
                    <w:b/>
                    <w:bCs/>
                    <w:szCs w:val="24"/>
                  </w:rPr>
                </w:pPr>
                <w:r>
                  <w:rPr>
                    <w:b/>
                    <w:bCs/>
                    <w:szCs w:val="24"/>
                  </w:rPr>
                  <w:t>Lyčių lygybės mat-mens kodas</w:t>
                </w:r>
              </w:p>
            </w:tc>
          </w:tr>
          <w:tr w14:paraId="437DE60E" w14:textId="77777777">
            <w:trPr>
              <w:trHeight w:val="278"/>
            </w:trPr>
            <w:tc>
              <w:tcPr>
                <w:tcW w:w="1555" w:type="dxa"/>
                <w:tcMar>
                  <w:left w:w="28" w:type="dxa"/>
                  <w:right w:w="28" w:type="dxa"/>
                </w:tcMar>
              </w:tcPr>
              <w:p w14:paraId="1FABFF56" w14:textId="7F977DC5">
                <w:pPr>
                  <w:rPr>
                    <w:szCs w:val="24"/>
                  </w:rPr>
                </w:pPr>
                <w:r>
                  <w:rPr>
                    <w:szCs w:val="24"/>
                  </w:rPr>
                  <w:t>Priemonių profesinio mokymo programoms atnaujinti ar parengti, profesijos mokytojams ir meistrams praktikams pritraukti parengimas (2.1 Formaliojo profesinio mokymo programų atnaujinimas ir (ar) parengimas</w:t>
                </w:r>
                <w:r>
                  <w:rPr>
                    <w:b/>
                    <w:bCs/>
                    <w:szCs w:val="24"/>
                  </w:rPr>
                  <w:t>)</w:t>
                </w:r>
              </w:p>
            </w:tc>
            <w:tc>
              <w:tcPr>
                <w:tcW w:w="1275" w:type="dxa"/>
                <w:tcMar>
                  <w:left w:w="28" w:type="dxa"/>
                  <w:right w:w="28" w:type="dxa"/>
                </w:tcMar>
              </w:tcPr>
              <w:p w14:paraId="246F3F0A" w14:textId="05B622A7">
                <w:pPr>
                  <w:rPr>
                    <w:bCs/>
                    <w:szCs w:val="24"/>
                  </w:rPr>
                </w:pPr>
                <w:r>
                  <w:rPr>
                    <w:bCs/>
                    <w:szCs w:val="24"/>
                  </w:rPr>
                  <w:t>Ekonomikos gaivinimo ir atsparumo didinimo priemonės lėšos (toliau – EGADP)</w:t>
                </w:r>
              </w:p>
              <w:p w14:paraId="375C1B1D" w14:textId="77777777">
                <w:pPr>
                  <w:rPr>
                    <w:bCs/>
                    <w:szCs w:val="24"/>
                  </w:rPr>
                </w:pPr>
              </w:p>
              <w:p w14:paraId="5AD23055" w14:textId="77777777">
                <w:pPr>
                  <w:rPr>
                    <w:bCs/>
                    <w:szCs w:val="24"/>
                  </w:rPr>
                </w:pPr>
              </w:p>
              <w:p w14:paraId="79B1B908" w14:textId="64682D13">
                <w:pPr>
                  <w:textAlignment w:val="baseline"/>
                  <w:rPr>
                    <w:bCs/>
                    <w:szCs w:val="24"/>
                    <w:lang w:eastAsia="lt-LT"/>
                  </w:rPr>
                </w:pPr>
                <w:r>
                  <w:rPr>
                    <w:bCs/>
                    <w:szCs w:val="24"/>
                    <w:lang w:eastAsia="lt-LT"/>
                  </w:rPr>
                  <w:t>Valstybės biudžeto lėšos, skirtos apmokėti bendrai finansuojamų iš Europos Sąjungos (toliau – ES) fondų lėšų projektų netinkamam finansuoti iš ES fondų lėšų pirkimo ir (arba) importo pridėtinės vertės mokesčiui (toliau – PVM) </w:t>
                </w:r>
              </w:p>
              <w:p w14:paraId="4C951494" w14:textId="1529A528">
                <w:pPr>
                  <w:textAlignment w:val="baseline"/>
                  <w:rPr>
                    <w:bCs/>
                    <w:szCs w:val="24"/>
                    <w:lang w:eastAsia="lt-LT"/>
                  </w:rPr>
                </w:pPr>
              </w:p>
            </w:tc>
            <w:tc>
              <w:tcPr>
                <w:tcW w:w="1418" w:type="dxa"/>
                <w:tcMar>
                  <w:left w:w="28" w:type="dxa"/>
                  <w:right w:w="28" w:type="dxa"/>
                </w:tcMar>
              </w:tcPr>
              <w:p w14:paraId="0E435A98" w14:textId="71C0E2B4">
                <w:pPr>
                  <w:rPr>
                    <w:bCs/>
                    <w:iCs/>
                    <w:szCs w:val="24"/>
                  </w:rPr>
                </w:pPr>
                <w:r>
                  <w:rPr>
                    <w:bCs/>
                    <w:iCs/>
                    <w:szCs w:val="24"/>
                  </w:rPr>
                  <w:t xml:space="preserve">4. Kokybiškas ir prieinamas švietimas visą gyvenimą kiekvienam gyventojui </w:t>
                </w:r>
              </w:p>
            </w:tc>
            <w:tc>
              <w:tcPr>
                <w:tcW w:w="1559" w:type="dxa"/>
                <w:tcMar>
                  <w:left w:w="28" w:type="dxa"/>
                  <w:right w:w="28" w:type="dxa"/>
                </w:tcMar>
              </w:tcPr>
              <w:p w14:paraId="48F7311D" w14:textId="6968A07B">
                <w:pPr>
                  <w:rPr>
                    <w:szCs w:val="24"/>
                  </w:rPr>
                </w:pPr>
                <w:r>
                  <w:rPr>
                    <w:szCs w:val="24"/>
                  </w:rPr>
                  <w:t xml:space="preserve">D.1.4. Kompetencijos žaliajai ir   skaitmeninei transformacijai, įgyjamos profesinio mokymo sistemoje  </w:t>
                </w:r>
              </w:p>
            </w:tc>
            <w:tc>
              <w:tcPr>
                <w:tcW w:w="1418" w:type="dxa"/>
                <w:tcMar>
                  <w:left w:w="28" w:type="dxa"/>
                  <w:right w:w="28" w:type="dxa"/>
                </w:tcMar>
              </w:tcPr>
              <w:p w14:paraId="58EE762E" w14:textId="77777777">
                <w:pPr>
                  <w:rPr>
                    <w:szCs w:val="24"/>
                    <w:lang w:eastAsia="lt-LT"/>
                  </w:rPr>
                </w:pPr>
                <w:r>
                  <w:rPr>
                    <w:szCs w:val="24"/>
                    <w:lang w:eastAsia="lt-LT"/>
                  </w:rPr>
                  <w:t xml:space="preserve">D.1.4.1. Nacionalinė profesinio mokymo pažangos platforma </w:t>
                </w:r>
              </w:p>
              <w:p w14:paraId="4F38A70A" w14:textId="77777777">
                <w:pPr>
                  <w:rPr>
                    <w:szCs w:val="24"/>
                  </w:rPr>
                </w:pPr>
              </w:p>
              <w:p w14:paraId="4B6D0CCA" w14:textId="77777777">
                <w:pPr>
                  <w:rPr>
                    <w:szCs w:val="24"/>
                    <w:lang w:eastAsia="lt-LT"/>
                  </w:rPr>
                </w:pPr>
              </w:p>
            </w:tc>
            <w:tc>
              <w:tcPr>
                <w:tcW w:w="1275" w:type="dxa"/>
                <w:tcMar>
                  <w:left w:w="28" w:type="dxa"/>
                  <w:right w:w="28" w:type="dxa"/>
                </w:tcMar>
              </w:tcPr>
              <w:p w14:paraId="31907946" w14:textId="77777777">
                <w:pPr>
                  <w:textAlignment w:val="baseline"/>
                  <w:rPr>
                    <w:szCs w:val="24"/>
                    <w:lang w:eastAsia="lt-LT"/>
                  </w:rPr>
                </w:pPr>
                <w:r>
                  <w:rPr>
                    <w:szCs w:val="24"/>
                    <w:lang w:eastAsia="lt-LT"/>
                  </w:rPr>
                  <w:t>103 Parama darbo rinkos poreikių tenkinimui ir pokyčiams </w:t>
                </w:r>
              </w:p>
              <w:p w14:paraId="0E894EBF" w14:textId="77777777">
                <w:pPr>
                  <w:ind w:firstLine="102"/>
                  <w:textAlignment w:val="baseline"/>
                  <w:rPr>
                    <w:szCs w:val="24"/>
                    <w:lang w:eastAsia="lt-LT"/>
                  </w:rPr>
                </w:pPr>
              </w:p>
              <w:p w14:paraId="449EA078" w14:textId="77777777">
                <w:pPr>
                  <w:textAlignment w:val="baseline"/>
                  <w:rPr>
                    <w:szCs w:val="24"/>
                    <w:lang w:eastAsia="lt-LT"/>
                  </w:rPr>
                </w:pPr>
                <w:r>
                  <w:rPr>
                    <w:szCs w:val="24"/>
                    <w:lang w:eastAsia="lt-LT"/>
                  </w:rPr>
                  <w:t>108 Parama skaitmeninių įgūdžių vystymui </w:t>
                </w:r>
              </w:p>
              <w:p w14:paraId="147F0672" w14:textId="77777777">
                <w:pPr>
                  <w:jc w:val="center"/>
                  <w:rPr>
                    <w:bCs/>
                    <w:i/>
                    <w:szCs w:val="24"/>
                  </w:rPr>
                </w:pPr>
              </w:p>
            </w:tc>
            <w:tc>
              <w:tcPr>
                <w:tcW w:w="1276" w:type="dxa"/>
                <w:tcMar>
                  <w:left w:w="28" w:type="dxa"/>
                  <w:right w:w="28" w:type="dxa"/>
                </w:tcMar>
              </w:tcPr>
              <w:p w14:paraId="6826F7A3" w14:textId="77777777">
                <w:pPr>
                  <w:jc w:val="center"/>
                  <w:rPr>
                    <w:bCs/>
                    <w:i/>
                    <w:szCs w:val="24"/>
                  </w:rPr>
                </w:pPr>
                <w:r>
                  <w:rPr>
                    <w:bCs/>
                    <w:i/>
                    <w:szCs w:val="24"/>
                  </w:rPr>
                  <w:t>-</w:t>
                </w:r>
              </w:p>
            </w:tc>
            <w:tc>
              <w:tcPr>
                <w:tcW w:w="992" w:type="dxa"/>
                <w:tcMar>
                  <w:left w:w="28" w:type="dxa"/>
                  <w:right w:w="28" w:type="dxa"/>
                </w:tcMar>
              </w:tcPr>
              <w:p w14:paraId="39F71935" w14:textId="77777777">
                <w:pPr>
                  <w:jc w:val="center"/>
                  <w:rPr>
                    <w:bCs/>
                    <w:i/>
                    <w:szCs w:val="24"/>
                  </w:rPr>
                </w:pPr>
                <w:r>
                  <w:rPr>
                    <w:bCs/>
                    <w:i/>
                    <w:szCs w:val="24"/>
                  </w:rPr>
                  <w:t>-</w:t>
                </w:r>
              </w:p>
            </w:tc>
            <w:tc>
              <w:tcPr>
                <w:tcW w:w="993" w:type="dxa"/>
                <w:tcMar>
                  <w:left w:w="28" w:type="dxa"/>
                  <w:right w:w="28" w:type="dxa"/>
                </w:tcMar>
              </w:tcPr>
              <w:p w14:paraId="578EDCCC" w14:textId="77777777">
                <w:pPr>
                  <w:jc w:val="center"/>
                  <w:rPr>
                    <w:b/>
                    <w:szCs w:val="24"/>
                  </w:rPr>
                </w:pPr>
                <w:r>
                  <w:rPr>
                    <w:b/>
                    <w:szCs w:val="24"/>
                  </w:rPr>
                  <w:t>-</w:t>
                </w:r>
              </w:p>
            </w:tc>
            <w:tc>
              <w:tcPr>
                <w:tcW w:w="814" w:type="dxa"/>
                <w:tcMar>
                  <w:left w:w="28" w:type="dxa"/>
                  <w:right w:w="28" w:type="dxa"/>
                </w:tcMar>
              </w:tcPr>
              <w:p w14:paraId="1EB95015" w14:textId="77777777">
                <w:pPr>
                  <w:jc w:val="center"/>
                  <w:rPr>
                    <w:b/>
                    <w:szCs w:val="24"/>
                  </w:rPr>
                </w:pPr>
                <w:r>
                  <w:rPr>
                    <w:b/>
                    <w:szCs w:val="24"/>
                  </w:rPr>
                  <w:t>-</w:t>
                </w:r>
              </w:p>
            </w:tc>
            <w:tc>
              <w:tcPr>
                <w:tcW w:w="1132" w:type="dxa"/>
                <w:tcMar>
                  <w:left w:w="28" w:type="dxa"/>
                  <w:right w:w="28" w:type="dxa"/>
                </w:tcMar>
              </w:tcPr>
              <w:p w14:paraId="46420487" w14:textId="77777777">
                <w:pPr>
                  <w:jc w:val="center"/>
                  <w:rPr>
                    <w:bCs/>
                    <w:i/>
                    <w:iCs/>
                    <w:szCs w:val="24"/>
                  </w:rPr>
                </w:pPr>
                <w:r>
                  <w:rPr>
                    <w:bCs/>
                    <w:i/>
                    <w:iCs/>
                    <w:szCs w:val="24"/>
                  </w:rPr>
                  <w:t>-</w:t>
                </w:r>
              </w:p>
            </w:tc>
            <w:tc>
              <w:tcPr>
                <w:tcW w:w="1149" w:type="dxa"/>
                <w:tcMar>
                  <w:left w:w="28" w:type="dxa"/>
                  <w:right w:w="28" w:type="dxa"/>
                </w:tcMar>
              </w:tcPr>
              <w:p w14:paraId="6DB49325" w14:textId="77777777">
                <w:pPr>
                  <w:jc w:val="center"/>
                  <w:rPr>
                    <w:bCs/>
                    <w:i/>
                    <w:iCs/>
                    <w:szCs w:val="24"/>
                  </w:rPr>
                </w:pPr>
                <w:r>
                  <w:rPr>
                    <w:bCs/>
                    <w:i/>
                    <w:iCs/>
                    <w:szCs w:val="24"/>
                  </w:rPr>
                  <w:t>-</w:t>
                </w:r>
              </w:p>
            </w:tc>
          </w:tr>
          <w:tr w14:paraId="2F2FE7FD" w14:textId="77777777">
            <w:trPr>
              <w:trHeight w:val="278"/>
            </w:trPr>
            <w:tc>
              <w:tcPr>
                <w:tcW w:w="1555" w:type="dxa"/>
                <w:tcMar>
                  <w:left w:w="28" w:type="dxa"/>
                  <w:right w:w="28" w:type="dxa"/>
                </w:tcMar>
              </w:tcPr>
              <w:p w14:paraId="4FEF8B6A" w14:textId="1E63F4E7">
                <w:pPr>
                  <w:rPr>
                    <w:szCs w:val="24"/>
                  </w:rPr>
                </w:pPr>
                <w:r>
                  <w:rPr>
                    <w:szCs w:val="24"/>
                  </w:rPr>
                  <w:t xml:space="preserve">Priemonių profesinio mokymo programoms atnaujinti ar parengti, profesijos mokytojams ir meistrams praktikams pritraukti parengimas  (2.2 Profesijos mokytojų ir (arba) meistrų kompetencijų tobulinimas)</w:t>
                </w:r>
              </w:p>
            </w:tc>
            <w:tc>
              <w:tcPr>
                <w:tcW w:w="1275" w:type="dxa"/>
                <w:tcMar>
                  <w:left w:w="28" w:type="dxa"/>
                  <w:right w:w="28" w:type="dxa"/>
                </w:tcMar>
              </w:tcPr>
              <w:p w14:paraId="33C443AA" w14:textId="6388F516">
                <w:pPr>
                  <w:rPr>
                    <w:bCs/>
                    <w:szCs w:val="24"/>
                  </w:rPr>
                </w:pPr>
                <w:r>
                  <w:rPr>
                    <w:bCs/>
                    <w:szCs w:val="24"/>
                  </w:rPr>
                  <w:t>EGADP lėšos</w:t>
                </w:r>
              </w:p>
              <w:p w14:paraId="182F26C2" w14:textId="77777777">
                <w:pPr>
                  <w:rPr>
                    <w:bCs/>
                    <w:szCs w:val="24"/>
                  </w:rPr>
                </w:pPr>
              </w:p>
              <w:p w14:paraId="3568EBC5" w14:textId="77777777">
                <w:pPr>
                  <w:rPr>
                    <w:bCs/>
                    <w:szCs w:val="24"/>
                  </w:rPr>
                </w:pPr>
              </w:p>
              <w:p w14:paraId="0B64A8A7" w14:textId="63EEAB2E">
                <w:pPr>
                  <w:textAlignment w:val="baseline"/>
                  <w:rPr>
                    <w:bCs/>
                    <w:szCs w:val="24"/>
                    <w:lang w:eastAsia="lt-LT"/>
                  </w:rPr>
                </w:pPr>
                <w:r>
                  <w:rPr>
                    <w:bCs/>
                    <w:szCs w:val="24"/>
                    <w:lang w:eastAsia="lt-LT"/>
                  </w:rPr>
                  <w:t>Valstybės biudžeto lėšos, skirtos apmokėti bendrai finansuojamų iš ES fondų lėšų projektų netinkamam finansuoti iš ES fondų lėšų pirkimo ir (arba) importo PVM </w:t>
                </w:r>
              </w:p>
            </w:tc>
            <w:tc>
              <w:tcPr>
                <w:tcW w:w="1418" w:type="dxa"/>
                <w:tcMar>
                  <w:left w:w="28" w:type="dxa"/>
                  <w:right w:w="28" w:type="dxa"/>
                </w:tcMar>
              </w:tcPr>
              <w:p w14:paraId="2FA6C49E" w14:textId="771EC117">
                <w:pPr>
                  <w:rPr>
                    <w:bCs/>
                    <w:iCs/>
                    <w:szCs w:val="24"/>
                  </w:rPr>
                </w:pPr>
                <w:r>
                  <w:rPr>
                    <w:bCs/>
                    <w:iCs/>
                    <w:szCs w:val="24"/>
                  </w:rPr>
                  <w:t>4. Kokybiškas ir prieinamas švietimas visą gyvenimą kiekvienam gyventojui.</w:t>
                </w:r>
              </w:p>
            </w:tc>
            <w:tc>
              <w:tcPr>
                <w:tcW w:w="1559" w:type="dxa"/>
                <w:tcMar>
                  <w:left w:w="28" w:type="dxa"/>
                  <w:right w:w="28" w:type="dxa"/>
                </w:tcMar>
              </w:tcPr>
              <w:p w14:paraId="2BD1B2D9" w14:textId="77777777">
                <w:pPr>
                  <w:rPr>
                    <w:szCs w:val="24"/>
                  </w:rPr>
                </w:pPr>
                <w:r>
                  <w:rPr>
                    <w:szCs w:val="24"/>
                  </w:rPr>
                  <w:t>D.1.4. Kompetencijos žaliajai ir   skaitmeninei transformacijai įgyjamos profesinio mokymo sistemoje. </w:t>
                </w:r>
              </w:p>
            </w:tc>
            <w:tc>
              <w:tcPr>
                <w:tcW w:w="1418" w:type="dxa"/>
                <w:tcMar>
                  <w:left w:w="28" w:type="dxa"/>
                  <w:right w:w="28" w:type="dxa"/>
                </w:tcMar>
              </w:tcPr>
              <w:p w14:paraId="4273993C" w14:textId="77777777">
                <w:pPr>
                  <w:rPr>
                    <w:szCs w:val="24"/>
                    <w:lang w:eastAsia="lt-LT"/>
                  </w:rPr>
                </w:pPr>
                <w:r>
                  <w:rPr>
                    <w:szCs w:val="24"/>
                    <w:lang w:eastAsia="lt-LT"/>
                  </w:rPr>
                  <w:t xml:space="preserve">D.1.4.1. Nacionalinė profesinio mokymo pažangos platforma. </w:t>
                </w:r>
              </w:p>
              <w:p w14:paraId="49717515" w14:textId="77777777">
                <w:pPr>
                  <w:rPr>
                    <w:szCs w:val="24"/>
                  </w:rPr>
                </w:pPr>
              </w:p>
              <w:p w14:paraId="20A57D2C" w14:textId="77777777">
                <w:pPr>
                  <w:rPr>
                    <w:szCs w:val="24"/>
                    <w:lang w:eastAsia="lt-LT"/>
                  </w:rPr>
                </w:pPr>
              </w:p>
            </w:tc>
            <w:tc>
              <w:tcPr>
                <w:tcW w:w="1275" w:type="dxa"/>
                <w:tcMar>
                  <w:left w:w="28" w:type="dxa"/>
                  <w:right w:w="28" w:type="dxa"/>
                </w:tcMar>
              </w:tcPr>
              <w:p w14:paraId="07BFD2F6" w14:textId="77777777">
                <w:pPr>
                  <w:jc w:val="center"/>
                  <w:rPr>
                    <w:bCs/>
                    <w:iCs/>
                    <w:szCs w:val="24"/>
                  </w:rPr>
                </w:pPr>
                <w:r>
                  <w:rPr>
                    <w:bCs/>
                    <w:iCs/>
                    <w:szCs w:val="24"/>
                  </w:rPr>
                  <w:t xml:space="preserve">103 Parama darbo rinkos poreikių tenkinimui ir pokyčiams </w:t>
                </w:r>
              </w:p>
              <w:p w14:paraId="650CCFE7" w14:textId="77777777">
                <w:pPr>
                  <w:ind w:firstLine="57"/>
                  <w:jc w:val="center"/>
                  <w:rPr>
                    <w:bCs/>
                    <w:iCs/>
                    <w:szCs w:val="24"/>
                  </w:rPr>
                </w:pPr>
              </w:p>
              <w:p w14:paraId="3790B506" w14:textId="77777777">
                <w:pPr>
                  <w:jc w:val="center"/>
                  <w:rPr>
                    <w:bCs/>
                    <w:iCs/>
                    <w:szCs w:val="24"/>
                  </w:rPr>
                </w:pPr>
                <w:r>
                  <w:rPr>
                    <w:bCs/>
                    <w:iCs/>
                    <w:szCs w:val="24"/>
                  </w:rPr>
                  <w:t>108 Parama skaitmeninių įgūdžių vystymui</w:t>
                </w:r>
              </w:p>
            </w:tc>
            <w:tc>
              <w:tcPr>
                <w:tcW w:w="1276" w:type="dxa"/>
                <w:tcMar>
                  <w:left w:w="28" w:type="dxa"/>
                  <w:right w:w="28" w:type="dxa"/>
                </w:tcMar>
              </w:tcPr>
              <w:p w14:paraId="457D746E" w14:textId="77777777">
                <w:pPr>
                  <w:jc w:val="center"/>
                  <w:rPr>
                    <w:bCs/>
                    <w:i/>
                    <w:szCs w:val="24"/>
                  </w:rPr>
                </w:pPr>
                <w:r>
                  <w:rPr>
                    <w:bCs/>
                    <w:i/>
                    <w:szCs w:val="24"/>
                  </w:rPr>
                  <w:t>-</w:t>
                </w:r>
              </w:p>
            </w:tc>
            <w:tc>
              <w:tcPr>
                <w:tcW w:w="992" w:type="dxa"/>
                <w:tcMar>
                  <w:left w:w="28" w:type="dxa"/>
                  <w:right w:w="28" w:type="dxa"/>
                </w:tcMar>
              </w:tcPr>
              <w:p w14:paraId="78E88436" w14:textId="77777777">
                <w:pPr>
                  <w:jc w:val="center"/>
                  <w:rPr>
                    <w:bCs/>
                    <w:i/>
                    <w:szCs w:val="24"/>
                  </w:rPr>
                </w:pPr>
                <w:r>
                  <w:rPr>
                    <w:bCs/>
                    <w:i/>
                    <w:szCs w:val="24"/>
                  </w:rPr>
                  <w:t>-</w:t>
                </w:r>
              </w:p>
            </w:tc>
            <w:tc>
              <w:tcPr>
                <w:tcW w:w="993" w:type="dxa"/>
                <w:tcMar>
                  <w:left w:w="28" w:type="dxa"/>
                  <w:right w:w="28" w:type="dxa"/>
                </w:tcMar>
              </w:tcPr>
              <w:p w14:paraId="0B250D2C" w14:textId="77777777">
                <w:pPr>
                  <w:jc w:val="center"/>
                  <w:rPr>
                    <w:b/>
                    <w:szCs w:val="24"/>
                  </w:rPr>
                </w:pPr>
                <w:r>
                  <w:rPr>
                    <w:b/>
                    <w:szCs w:val="24"/>
                  </w:rPr>
                  <w:t>-</w:t>
                </w:r>
              </w:p>
            </w:tc>
            <w:tc>
              <w:tcPr>
                <w:tcW w:w="814" w:type="dxa"/>
                <w:tcMar>
                  <w:left w:w="28" w:type="dxa"/>
                  <w:right w:w="28" w:type="dxa"/>
                </w:tcMar>
              </w:tcPr>
              <w:p w14:paraId="277706B6" w14:textId="77777777">
                <w:pPr>
                  <w:jc w:val="center"/>
                  <w:rPr>
                    <w:b/>
                    <w:szCs w:val="24"/>
                  </w:rPr>
                </w:pPr>
                <w:r>
                  <w:rPr>
                    <w:b/>
                    <w:szCs w:val="24"/>
                  </w:rPr>
                  <w:t>-</w:t>
                </w:r>
              </w:p>
            </w:tc>
            <w:tc>
              <w:tcPr>
                <w:tcW w:w="1132" w:type="dxa"/>
                <w:tcMar>
                  <w:left w:w="28" w:type="dxa"/>
                  <w:right w:w="28" w:type="dxa"/>
                </w:tcMar>
              </w:tcPr>
              <w:p w14:paraId="1C4930A9" w14:textId="77777777">
                <w:pPr>
                  <w:jc w:val="center"/>
                  <w:rPr>
                    <w:bCs/>
                    <w:i/>
                    <w:iCs/>
                    <w:szCs w:val="24"/>
                  </w:rPr>
                </w:pPr>
                <w:r>
                  <w:rPr>
                    <w:bCs/>
                    <w:i/>
                    <w:iCs/>
                    <w:szCs w:val="24"/>
                  </w:rPr>
                  <w:t>-</w:t>
                </w:r>
              </w:p>
            </w:tc>
            <w:tc>
              <w:tcPr>
                <w:tcW w:w="1149" w:type="dxa"/>
                <w:tcMar>
                  <w:left w:w="28" w:type="dxa"/>
                  <w:right w:w="28" w:type="dxa"/>
                </w:tcMar>
              </w:tcPr>
              <w:p w14:paraId="3EDC943E" w14:textId="77777777">
                <w:pPr>
                  <w:jc w:val="center"/>
                  <w:rPr>
                    <w:bCs/>
                    <w:i/>
                    <w:iCs/>
                    <w:szCs w:val="24"/>
                  </w:rPr>
                </w:pPr>
                <w:r>
                  <w:rPr>
                    <w:bCs/>
                    <w:i/>
                    <w:iCs/>
                    <w:szCs w:val="24"/>
                  </w:rPr>
                  <w:t>-</w:t>
                </w:r>
              </w:p>
            </w:tc>
          </w:tr>
        </w:tbl>
        <w:p w14:paraId="48019571" w14:textId="46CD29B4">
          <w:pPr>
            <w:jc w:val="both"/>
            <w:rPr>
              <w:i/>
              <w:iCs/>
              <w:color w:val="FF0000"/>
              <w:szCs w:val="24"/>
            </w:rPr>
          </w:pPr>
        </w:p>
        <w:p w14:paraId="47C5AE0A" w14:textId="749AECE5">
          <w:pPr>
            <w:jc w:val="both"/>
            <w:rPr>
              <w:i/>
              <w:iCs/>
              <w:color w:val="FF0000"/>
              <w:szCs w:val="24"/>
            </w:rPr>
          </w:pPr>
        </w:p>
        <w:p w14:paraId="767F0034" w14:textId="0137C434">
          <w:pPr>
            <w:jc w:val="both"/>
            <w:rPr>
              <w:i/>
              <w:iCs/>
              <w:color w:val="FF0000"/>
              <w:szCs w:val="24"/>
            </w:rPr>
          </w:pPr>
        </w:p>
        <w:p w14:paraId="536EB55D" w14:textId="59308CA6">
          <w:pPr>
            <w:jc w:val="both"/>
            <w:rPr>
              <w:i/>
              <w:iCs/>
              <w:color w:val="FF0000"/>
              <w:szCs w:val="24"/>
            </w:rPr>
          </w:pPr>
        </w:p>
        <w:p w14:paraId="369095C5" w14:textId="77777777">
          <w:pPr>
            <w:jc w:val="both"/>
            <w:rPr>
              <w:i/>
              <w:iCs/>
              <w:color w:val="FF0000"/>
              <w:sz w:val="22"/>
              <w:szCs w:val="22"/>
            </w:rPr>
          </w:pPr>
        </w:p>
        <w:tbl>
          <w:tblPr>
            <w:tblW w:w="147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688"/>
            <w:gridCol w:w="3688"/>
            <w:gridCol w:w="3688"/>
            <w:gridCol w:w="3688"/>
          </w:tblGrid>
          <w:tr w14:paraId="7A516333" w14:textId="77777777">
            <w:trPr>
              <w:trHeight w:val="405"/>
            </w:trPr>
            <w:tc>
              <w:tcPr>
                <w:tcW w:w="3688" w:type="dxa"/>
                <w:shd w:val="clear" w:color="auto" w:fill="auto"/>
                <w:vAlign w:val="center"/>
              </w:tcPr>
              <w:p w14:paraId="7FCEDC66" w14:textId="77777777">
                <w:pPr>
                  <w:jc w:val="center"/>
                  <w:rPr>
                    <w:szCs w:val="24"/>
                  </w:rPr>
                </w:pPr>
                <w:r>
                  <w:rPr>
                    <w:szCs w:val="24"/>
                  </w:rPr>
                  <w:t>Rodiklio pavadinimas</w:t>
                </w:r>
              </w:p>
            </w:tc>
            <w:tc>
              <w:tcPr>
                <w:tcW w:w="3688" w:type="dxa"/>
                <w:shd w:val="clear" w:color="auto" w:fill="auto"/>
                <w:vAlign w:val="center"/>
              </w:tcPr>
              <w:p w14:paraId="3DEA38C7" w14:textId="77777777">
                <w:pPr>
                  <w:jc w:val="center"/>
                  <w:rPr>
                    <w:szCs w:val="24"/>
                  </w:rPr>
                </w:pPr>
                <w:r>
                  <w:rPr>
                    <w:szCs w:val="24"/>
                  </w:rPr>
                  <w:t>Rodiklio kodas</w:t>
                </w:r>
              </w:p>
            </w:tc>
            <w:tc>
              <w:tcPr>
                <w:tcW w:w="3688" w:type="dxa"/>
                <w:shd w:val="clear" w:color="auto" w:fill="auto"/>
                <w:vAlign w:val="center"/>
              </w:tcPr>
              <w:p w14:paraId="5D9110B8" w14:textId="77777777">
                <w:pPr>
                  <w:jc w:val="center"/>
                  <w:rPr>
                    <w:szCs w:val="24"/>
                  </w:rPr>
                </w:pPr>
                <w:r>
                  <w:rPr>
                    <w:szCs w:val="24"/>
                  </w:rPr>
                  <w:t>Matavimo vienetai</w:t>
                </w:r>
              </w:p>
            </w:tc>
            <w:tc>
              <w:tcPr>
                <w:tcW w:w="3688" w:type="dxa"/>
                <w:shd w:val="clear" w:color="auto" w:fill="auto"/>
                <w:vAlign w:val="center"/>
              </w:tcPr>
              <w:p w14:paraId="213B484D" w14:textId="77777777">
                <w:pPr>
                  <w:jc w:val="center"/>
                  <w:rPr>
                    <w:szCs w:val="24"/>
                  </w:rPr>
                </w:pPr>
                <w:r>
                  <w:rPr>
                    <w:szCs w:val="24"/>
                  </w:rPr>
                  <w:t>Siektina reikšmė</w:t>
                </w:r>
              </w:p>
            </w:tc>
          </w:tr>
          <w:tr w14:paraId="7B2FB272" w14:textId="77777777">
            <w:trPr>
              <w:trHeight w:val="451"/>
            </w:trPr>
            <w:tc>
              <w:tcPr>
                <w:tcW w:w="14752" w:type="dxa"/>
                <w:gridSpan w:val="4"/>
              </w:tcPr>
              <w:p w14:paraId="1F578255" w14:textId="44133396">
                <w:pPr>
                  <w:jc w:val="center"/>
                  <w:rPr>
                    <w:i/>
                    <w:iCs/>
                    <w:szCs w:val="24"/>
                  </w:rPr>
                </w:pPr>
                <w:r>
                  <w:rPr>
                    <w:b/>
                    <w:bCs/>
                    <w:szCs w:val="24"/>
                  </w:rPr>
                  <w:t>2.1 veiklos rodikliai</w:t>
                </w:r>
              </w:p>
            </w:tc>
          </w:tr>
          <w:tr w14:paraId="4E74C371" w14:textId="77777777">
            <w:trPr>
              <w:trHeight w:val="725"/>
            </w:trPr>
            <w:tc>
              <w:tcPr>
                <w:tcW w:w="3688" w:type="dxa"/>
              </w:tcPr>
              <w:p w14:paraId="6FDDA8C3" w14:textId="11842BD4">
                <w:pPr>
                  <w:rPr>
                    <w:szCs w:val="24"/>
                  </w:rPr>
                </w:pPr>
                <w:r>
                  <w:rPr>
                    <w:szCs w:val="24"/>
                  </w:rPr>
                  <w:t>Poreikio atnaujinti arba parengti naujas mokymo programas nustatymas konsultuojantis su socialiniais partneriais</w:t>
                </w:r>
              </w:p>
            </w:tc>
            <w:tc>
              <w:tcPr>
                <w:tcW w:w="3688" w:type="dxa"/>
              </w:tcPr>
              <w:p w14:paraId="5F9940C2" w14:textId="77777777">
                <w:pPr>
                  <w:jc w:val="center"/>
                  <w:rPr>
                    <w:szCs w:val="24"/>
                  </w:rPr>
                </w:pPr>
                <w:r>
                  <w:rPr>
                    <w:szCs w:val="24"/>
                  </w:rPr>
                  <w:t xml:space="preserve">P-12-003-03-04-03-09 </w:t>
                </w:r>
              </w:p>
              <w:p w14:paraId="25A029AB" w14:textId="7D11087E">
                <w:pPr>
                  <w:jc w:val="center"/>
                  <w:rPr>
                    <w:color w:val="000000"/>
                    <w:szCs w:val="24"/>
                    <w:highlight w:val="yellow"/>
                  </w:rPr>
                </w:pPr>
                <w:r>
                  <w:rPr>
                    <w:szCs w:val="24"/>
                  </w:rPr>
                  <w:t>(P.S.1.1113.1)</w:t>
                </w:r>
              </w:p>
            </w:tc>
            <w:tc>
              <w:tcPr>
                <w:tcW w:w="3688" w:type="dxa"/>
              </w:tcPr>
              <w:p w14:paraId="0C6B3D19" w14:textId="77777777">
                <w:pPr>
                  <w:jc w:val="center"/>
                  <w:rPr>
                    <w:szCs w:val="24"/>
                  </w:rPr>
                </w:pPr>
                <w:r>
                  <w:rPr>
                    <w:szCs w:val="24"/>
                  </w:rPr>
                  <w:t>Vienetai</w:t>
                </w:r>
              </w:p>
            </w:tc>
            <w:tc>
              <w:tcPr>
                <w:tcW w:w="3688" w:type="dxa"/>
              </w:tcPr>
              <w:p w14:paraId="09138F7F" w14:textId="77777777">
                <w:pPr>
                  <w:rPr>
                    <w:szCs w:val="24"/>
                  </w:rPr>
                </w:pPr>
                <w:r>
                  <w:rPr>
                    <w:szCs w:val="24"/>
                  </w:rPr>
                  <w:t>1</w:t>
                </w:r>
              </w:p>
            </w:tc>
          </w:tr>
          <w:tr w14:paraId="48A5FA3C" w14:textId="77777777">
            <w:trPr>
              <w:trHeight w:val="725"/>
            </w:trPr>
            <w:tc>
              <w:tcPr>
                <w:tcW w:w="3688" w:type="dxa"/>
              </w:tcPr>
              <w:p w14:paraId="707AAAC0" w14:textId="77777777">
                <w:pPr>
                  <w:rPr>
                    <w:szCs w:val="24"/>
                    <w:shd w:val="clear" w:color="auto" w:fill="FFFFFF"/>
                  </w:rPr>
                </w:pPr>
                <w:r>
                  <w:rPr>
                    <w:szCs w:val="24"/>
                  </w:rPr>
                  <w:t>Užregistruotos naujos ar atnaujintos profesinio mokymo programos, kurios yra prieinamos mokymo paslaugų teikėjams</w:t>
                </w:r>
              </w:p>
            </w:tc>
            <w:tc>
              <w:tcPr>
                <w:tcW w:w="3688" w:type="dxa"/>
              </w:tcPr>
              <w:p w14:paraId="03F8718F" w14:textId="77777777">
                <w:pPr>
                  <w:jc w:val="center"/>
                  <w:rPr>
                    <w:szCs w:val="24"/>
                  </w:rPr>
                </w:pPr>
                <w:r>
                  <w:rPr>
                    <w:szCs w:val="24"/>
                  </w:rPr>
                  <w:t xml:space="preserve">P-12-003-03-04-03-10 </w:t>
                </w:r>
              </w:p>
              <w:p w14:paraId="2CF58CC0" w14:textId="6FC66F31">
                <w:pPr>
                  <w:jc w:val="center"/>
                  <w:rPr>
                    <w:szCs w:val="24"/>
                    <w:highlight w:val="yellow"/>
                  </w:rPr>
                </w:pPr>
                <w:r>
                  <w:rPr>
                    <w:szCs w:val="24"/>
                  </w:rPr>
                  <w:t>(P.S.1.1113)</w:t>
                </w:r>
              </w:p>
            </w:tc>
            <w:tc>
              <w:tcPr>
                <w:tcW w:w="3688" w:type="dxa"/>
              </w:tcPr>
              <w:p w14:paraId="6325651C" w14:textId="77777777">
                <w:pPr>
                  <w:jc w:val="center"/>
                  <w:rPr>
                    <w:szCs w:val="24"/>
                  </w:rPr>
                </w:pPr>
                <w:r>
                  <w:rPr>
                    <w:szCs w:val="24"/>
                  </w:rPr>
                  <w:t>Programos</w:t>
                </w:r>
              </w:p>
            </w:tc>
            <w:tc>
              <w:tcPr>
                <w:tcW w:w="3688" w:type="dxa"/>
              </w:tcPr>
              <w:p w14:paraId="2CA4C854" w14:textId="77777777">
                <w:pPr>
                  <w:rPr>
                    <w:szCs w:val="24"/>
                  </w:rPr>
                </w:pPr>
                <w:r>
                  <w:rPr>
                    <w:szCs w:val="24"/>
                  </w:rPr>
                  <w:t>95</w:t>
                </w:r>
              </w:p>
            </w:tc>
          </w:tr>
          <w:tr w14:paraId="488B9347" w14:textId="77777777">
            <w:trPr>
              <w:trHeight w:val="377"/>
            </w:trPr>
            <w:tc>
              <w:tcPr>
                <w:tcW w:w="14752" w:type="dxa"/>
                <w:gridSpan w:val="4"/>
              </w:tcPr>
              <w:p w14:paraId="227DA0B9" w14:textId="5FD6B7EE">
                <w:pPr>
                  <w:jc w:val="center"/>
                  <w:rPr>
                    <w:szCs w:val="24"/>
                    <w:highlight w:val="yellow"/>
                  </w:rPr>
                </w:pPr>
                <w:r>
                  <w:rPr>
                    <w:b/>
                    <w:bCs/>
                    <w:szCs w:val="24"/>
                    <w:shd w:val="clear" w:color="auto" w:fill="FFFFFF"/>
                  </w:rPr>
                  <w:t>2.2 veiklos rodikliai</w:t>
                </w:r>
              </w:p>
            </w:tc>
          </w:tr>
          <w:tr w14:paraId="72F6B6C8" w14:textId="77777777">
            <w:trPr>
              <w:trHeight w:val="725"/>
            </w:trPr>
            <w:tc>
              <w:tcPr>
                <w:tcW w:w="3688" w:type="dxa"/>
              </w:tcPr>
              <w:p w14:paraId="2D9DDBDE" w14:textId="77777777">
                <w:pPr>
                  <w:rPr>
                    <w:szCs w:val="24"/>
                    <w:highlight w:val="yellow"/>
                    <w:shd w:val="clear" w:color="auto" w:fill="FFFFFF"/>
                  </w:rPr>
                </w:pPr>
                <w:r>
                  <w:rPr>
                    <w:szCs w:val="24"/>
                    <w:shd w:val="clear" w:color="auto" w:fill="FFFFFF"/>
                  </w:rPr>
                  <w:t>Profesijos mokytojai ir (arba) meistrai, dalyvaujantys pameistrių ir praktikas atliekančių mokinių mokymo procese</w:t>
                </w:r>
              </w:p>
            </w:tc>
            <w:tc>
              <w:tcPr>
                <w:tcW w:w="3688" w:type="dxa"/>
              </w:tcPr>
              <w:p w14:paraId="2B0DB620" w14:textId="77777777">
                <w:pPr>
                  <w:jc w:val="center"/>
                  <w:rPr>
                    <w:szCs w:val="24"/>
                    <w:lang w:eastAsia="lt-LT"/>
                  </w:rPr>
                </w:pPr>
                <w:r>
                  <w:rPr>
                    <w:szCs w:val="24"/>
                    <w:lang w:eastAsia="lt-LT"/>
                  </w:rPr>
                  <w:t xml:space="preserve">P-12-003-03-04-03-11 </w:t>
                </w:r>
              </w:p>
              <w:p w14:paraId="1C089BA8" w14:textId="12D6E9C9">
                <w:pPr>
                  <w:jc w:val="center"/>
                  <w:rPr>
                    <w:szCs w:val="24"/>
                    <w:lang w:eastAsia="lt-LT"/>
                  </w:rPr>
                </w:pPr>
                <w:r>
                  <w:rPr>
                    <w:szCs w:val="24"/>
                    <w:lang w:eastAsia="lt-LT"/>
                  </w:rPr>
                  <w:t>(P.S.1.1114)</w:t>
                </w:r>
              </w:p>
            </w:tc>
            <w:tc>
              <w:tcPr>
                <w:tcW w:w="3688" w:type="dxa"/>
              </w:tcPr>
              <w:p w14:paraId="114844DD" w14:textId="77777777">
                <w:pPr>
                  <w:jc w:val="center"/>
                  <w:rPr>
                    <w:szCs w:val="24"/>
                  </w:rPr>
                </w:pPr>
                <w:r>
                  <w:rPr>
                    <w:szCs w:val="24"/>
                  </w:rPr>
                  <w:t>Asmenys</w:t>
                </w:r>
              </w:p>
            </w:tc>
            <w:tc>
              <w:tcPr>
                <w:tcW w:w="3688" w:type="dxa"/>
              </w:tcPr>
              <w:p w14:paraId="1C869B0B" w14:textId="77777777">
                <w:pPr>
                  <w:rPr>
                    <w:szCs w:val="24"/>
                  </w:rPr>
                </w:pPr>
                <w:r>
                  <w:rPr>
                    <w:szCs w:val="24"/>
                  </w:rPr>
                  <w:t>1000</w:t>
                </w:r>
              </w:p>
            </w:tc>
          </w:tr>
          <w:tr w14:paraId="208B6E40" w14:textId="77777777">
            <w:trPr>
              <w:trHeight w:val="725"/>
            </w:trPr>
            <w:tc>
              <w:tcPr>
                <w:tcW w:w="3688" w:type="dxa"/>
              </w:tcPr>
              <w:p w14:paraId="7DCF02ED" w14:textId="77777777">
                <w:pPr>
                  <w:rPr>
                    <w:szCs w:val="24"/>
                    <w:shd w:val="clear" w:color="auto" w:fill="FFFFFF"/>
                  </w:rPr>
                </w:pPr>
                <w:r>
                  <w:rPr>
                    <w:szCs w:val="24"/>
                    <w:shd w:val="clear" w:color="auto" w:fill="FFFFFF"/>
                  </w:rPr>
                  <w:t xml:space="preserve">Švietimo ar mokymo veiklos dalyvių skaičius </w:t>
                </w:r>
              </w:p>
            </w:tc>
            <w:tc>
              <w:tcPr>
                <w:tcW w:w="3688" w:type="dxa"/>
              </w:tcPr>
              <w:p w14:paraId="462D3DA5" w14:textId="77777777">
                <w:pPr>
                  <w:jc w:val="center"/>
                  <w:rPr>
                    <w:szCs w:val="24"/>
                  </w:rPr>
                </w:pPr>
                <w:r>
                  <w:rPr>
                    <w:szCs w:val="24"/>
                  </w:rPr>
                  <w:t xml:space="preserve">R-12-003-03-04-03-19 </w:t>
                </w:r>
              </w:p>
              <w:p w14:paraId="09B02A13" w14:textId="4810C39D">
                <w:pPr>
                  <w:jc w:val="center"/>
                  <w:rPr>
                    <w:szCs w:val="24"/>
                  </w:rPr>
                </w:pPr>
                <w:r>
                  <w:rPr>
                    <w:szCs w:val="24"/>
                  </w:rPr>
                  <w:t>(R.B.1.2010)</w:t>
                </w:r>
              </w:p>
            </w:tc>
            <w:tc>
              <w:tcPr>
                <w:tcW w:w="3688" w:type="dxa"/>
              </w:tcPr>
              <w:p w14:paraId="464AC4A3" w14:textId="77777777">
                <w:pPr>
                  <w:jc w:val="center"/>
                  <w:rPr>
                    <w:szCs w:val="24"/>
                  </w:rPr>
                </w:pPr>
                <w:r>
                  <w:rPr>
                    <w:szCs w:val="24"/>
                  </w:rPr>
                  <w:t>Asmenys</w:t>
                </w:r>
              </w:p>
            </w:tc>
            <w:tc>
              <w:tcPr>
                <w:tcW w:w="3688" w:type="dxa"/>
              </w:tcPr>
              <w:p w14:paraId="3D6681B9" w14:textId="5E90FB51">
                <w:pPr>
                  <w:rPr>
                    <w:szCs w:val="24"/>
                  </w:rPr>
                </w:pPr>
                <w:r>
                  <w:rPr>
                    <w:szCs w:val="24"/>
                  </w:rPr>
                  <w:t>n/a</w:t>
                </w:r>
              </w:p>
            </w:tc>
          </w:tr>
          <w:tr w14:paraId="4F4D3A5C" w14:textId="77777777">
            <w:trPr>
              <w:trHeight w:val="725"/>
            </w:trPr>
            <w:tc>
              <w:tcPr>
                <w:tcW w:w="3688" w:type="dxa"/>
              </w:tcPr>
              <w:p w14:paraId="20115123" w14:textId="77777777">
                <w:pPr>
                  <w:rPr>
                    <w:szCs w:val="24"/>
                  </w:rPr>
                </w:pPr>
                <w:r>
                  <w:rPr>
                    <w:szCs w:val="24"/>
                  </w:rPr>
                  <w:t>Švietimo ar mokymo veiklos dalyvių skaičius, iš jų švietimo ir mokymo veiklos dalyvių skaičius</w:t>
                </w:r>
              </w:p>
            </w:tc>
            <w:tc>
              <w:tcPr>
                <w:tcW w:w="3688" w:type="dxa"/>
              </w:tcPr>
              <w:p w14:paraId="0CE3A555" w14:textId="77777777">
                <w:pPr>
                  <w:jc w:val="center"/>
                  <w:rPr>
                    <w:szCs w:val="24"/>
                  </w:rPr>
                </w:pPr>
                <w:r>
                  <w:rPr>
                    <w:szCs w:val="24"/>
                  </w:rPr>
                  <w:t xml:space="preserve">R-12-003-03-04-03-20 </w:t>
                </w:r>
              </w:p>
              <w:p w14:paraId="536274EB" w14:textId="50A2B417">
                <w:pPr>
                  <w:jc w:val="center"/>
                  <w:rPr>
                    <w:szCs w:val="24"/>
                  </w:rPr>
                </w:pPr>
                <w:r>
                  <w:rPr>
                    <w:szCs w:val="24"/>
                  </w:rPr>
                  <w:t>(R.B.1.2010.1)</w:t>
                </w:r>
              </w:p>
            </w:tc>
            <w:tc>
              <w:tcPr>
                <w:tcW w:w="3688" w:type="dxa"/>
              </w:tcPr>
              <w:p w14:paraId="032C46F9" w14:textId="77777777">
                <w:pPr>
                  <w:jc w:val="center"/>
                  <w:rPr>
                    <w:szCs w:val="24"/>
                  </w:rPr>
                </w:pPr>
                <w:r>
                  <w:rPr>
                    <w:szCs w:val="24"/>
                  </w:rPr>
                  <w:t>Asmenys</w:t>
                </w:r>
              </w:p>
            </w:tc>
            <w:tc>
              <w:tcPr>
                <w:tcW w:w="3688" w:type="dxa"/>
              </w:tcPr>
              <w:p w14:paraId="54AB6BA3" w14:textId="1968048D">
                <w:pPr>
                  <w:rPr>
                    <w:szCs w:val="24"/>
                  </w:rPr>
                </w:pPr>
                <w:r>
                  <w:rPr>
                    <w:szCs w:val="24"/>
                    <w:bdr w:val="none" w:sz="0" w:space="0" w:color="auto" w:frame="1"/>
                  </w:rPr>
                  <w:t>n/a</w:t>
                </w:r>
              </w:p>
            </w:tc>
          </w:tr>
          <w:tr w14:paraId="00B399AF" w14:textId="77777777">
            <w:trPr>
              <w:trHeight w:val="725"/>
            </w:trPr>
            <w:tc>
              <w:tcPr>
                <w:tcW w:w="3688" w:type="dxa"/>
              </w:tcPr>
              <w:p w14:paraId="60C4CCB6" w14:textId="16922522">
                <w:pPr>
                  <w:rPr>
                    <w:szCs w:val="24"/>
                    <w:shd w:val="clear" w:color="auto" w:fill="FFFFFF"/>
                  </w:rPr>
                </w:pPr>
                <w:r>
                  <w:rPr>
                    <w:szCs w:val="24"/>
                  </w:rPr>
                  <w:t>Švietimo ar mokymo veiklos dalyvių skaičius, iš jų skaitmeninių įgūdžių ugdymo veiklos dalyvių skaičius</w:t>
                </w:r>
              </w:p>
            </w:tc>
            <w:tc>
              <w:tcPr>
                <w:tcW w:w="3688" w:type="dxa"/>
              </w:tcPr>
              <w:p w14:paraId="071AD3FD" w14:textId="77777777">
                <w:pPr>
                  <w:jc w:val="center"/>
                  <w:rPr>
                    <w:szCs w:val="24"/>
                  </w:rPr>
                </w:pPr>
                <w:r>
                  <w:rPr>
                    <w:szCs w:val="24"/>
                  </w:rPr>
                  <w:t>R-12-003-03-04-03-21</w:t>
                </w:r>
              </w:p>
              <w:p w14:paraId="78EE5488" w14:textId="2B434F2D">
                <w:pPr>
                  <w:jc w:val="center"/>
                  <w:rPr>
                    <w:szCs w:val="24"/>
                  </w:rPr>
                </w:pPr>
                <w:r>
                  <w:rPr>
                    <w:szCs w:val="24"/>
                  </w:rPr>
                  <w:t>(R.B.1.2010.2)</w:t>
                </w:r>
              </w:p>
              <w:p w14:paraId="6A2DCD41" w14:textId="77777777">
                <w:pPr>
                  <w:jc w:val="center"/>
                  <w:rPr>
                    <w:szCs w:val="24"/>
                  </w:rPr>
                </w:pPr>
              </w:p>
            </w:tc>
            <w:tc>
              <w:tcPr>
                <w:tcW w:w="3688" w:type="dxa"/>
              </w:tcPr>
              <w:p w14:paraId="7A282D85" w14:textId="77777777">
                <w:pPr>
                  <w:jc w:val="center"/>
                  <w:rPr>
                    <w:szCs w:val="24"/>
                  </w:rPr>
                </w:pPr>
                <w:r>
                  <w:rPr>
                    <w:szCs w:val="24"/>
                  </w:rPr>
                  <w:t>Asmenys</w:t>
                </w:r>
              </w:p>
            </w:tc>
            <w:tc>
              <w:tcPr>
                <w:tcW w:w="3688" w:type="dxa"/>
              </w:tcPr>
              <w:p w14:paraId="726751A2" w14:textId="28A11C36">
                <w:pPr>
                  <w:rPr>
                    <w:szCs w:val="24"/>
                  </w:rPr>
                </w:pPr>
                <w:r>
                  <w:rPr>
                    <w:szCs w:val="24"/>
                    <w:bdr w:val="none" w:sz="0" w:space="0" w:color="auto" w:frame="1"/>
                  </w:rPr>
                  <w:t>n/a</w:t>
                </w:r>
              </w:p>
            </w:tc>
          </w:tr>
        </w:tbl>
        <w:p w14:paraId="44BA37E9" w14:textId="77777777">
          <w:pPr>
            <w:jc w:val="both"/>
            <w:rPr>
              <w:i/>
              <w:iCs/>
              <w:sz w:val="22"/>
              <w:szCs w:val="22"/>
            </w:rPr>
          </w:pPr>
        </w:p>
        <w:p w14:paraId="6C3BB16F" w14:textId="77777777">
          <w:pPr>
            <w:ind w:firstLine="567"/>
            <w:jc w:val="both"/>
            <w:rPr>
              <w:i/>
              <w:iCs/>
              <w:sz w:val="22"/>
              <w:szCs w:val="22"/>
            </w:rPr>
          </w:pPr>
        </w:p>
        <w:tbl>
          <w:tblPr>
            <w:tblW w:w="14743" w:type="dxa"/>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880"/>
            <w:gridCol w:w="2880"/>
            <w:gridCol w:w="2880"/>
            <w:gridCol w:w="2880"/>
            <w:gridCol w:w="3189"/>
            <w:gridCol w:w="34"/>
          </w:tblGrid>
          <w:tr w14:paraId="41192C9B" w14:textId="77777777">
            <w:trPr>
              <w:gridAfter w:val="1"/>
              <w:wAfter w:w="34" w:type="dxa"/>
            </w:trPr>
            <w:tc>
              <w:tcPr>
                <w:tcW w:w="14709" w:type="dxa"/>
                <w:gridSpan w:val="5"/>
              </w:tcPr>
              <w:p w14:paraId="333CDDE3" w14:textId="77777777">
                <w:pPr>
                  <w:rPr>
                    <w:b/>
                    <w:szCs w:val="24"/>
                  </w:rPr>
                </w:pPr>
                <w:r>
                  <w:rPr>
                    <w:b/>
                    <w:szCs w:val="24"/>
                  </w:rPr>
                  <w:t>SPECIALIEJI FINANSAVIMO REIKALAVIMAI</w:t>
                </w:r>
              </w:p>
            </w:tc>
          </w:tr>
          <w:tr w14:paraId="57C17AD9" w14:textId="77777777">
            <w:trPr>
              <w:gridAfter w:val="1"/>
              <w:wAfter w:w="34" w:type="dxa"/>
            </w:trPr>
            <w:tc>
              <w:tcPr>
                <w:tcW w:w="14709" w:type="dxa"/>
                <w:gridSpan w:val="5"/>
              </w:tcPr>
              <w:p w14:paraId="7DD10BE0" w14:textId="77777777">
                <w:pPr>
                  <w:rPr>
                    <w:b/>
                    <w:bCs/>
                    <w:szCs w:val="24"/>
                  </w:rPr>
                </w:pPr>
                <w:r>
                  <w:rPr>
                    <w:b/>
                    <w:bCs/>
                    <w:szCs w:val="24"/>
                  </w:rPr>
                  <w:t>1. Taikomi teisės aktai</w:t>
                </w:r>
              </w:p>
            </w:tc>
          </w:tr>
          <w:tr w14:paraId="4608532B" w14:textId="77777777">
            <w:trPr>
              <w:gridAfter w:val="1"/>
              <w:wAfter w:w="34" w:type="dxa"/>
              <w:trHeight w:val="3861"/>
            </w:trPr>
            <w:tc>
              <w:tcPr>
                <w:tcW w:w="14709" w:type="dxa"/>
                <w:gridSpan w:val="5"/>
              </w:tcPr>
              <w:p w14:paraId="3492B505" w14:textId="22BEFD80">
                <w:pPr>
                  <w:jc w:val="both"/>
                  <w:textAlignment w:val="center"/>
                  <w:rPr>
                    <w:szCs w:val="24"/>
                  </w:rPr>
                </w:pPr>
                <w:r>
                  <w:rPr>
                    <w:szCs w:val="24"/>
                  </w:rPr>
                  <w:t>2021–2030 m. plėtros programos valdytojos Lietuvos Respublikos švietimo, mokslo ir sporto ministerijos švietimo plėtros programos pažangos priemonės Nr. 12-003-03-04-03 „Sukurti rinkos poreikius atliepiančią profesinio ugdymo sistemą“ projektų finansavimo sąlygų aprašas Nr. 5 (toliau – Aprašas Nr. 5) parengtas atsižvelgiant į:</w:t>
                </w:r>
              </w:p>
              <w:p w14:paraId="7B3740A7" w14:textId="77777777">
                <w:pPr>
                  <w:jc w:val="both"/>
                  <w:textAlignment w:val="center"/>
                  <w:rPr>
                    <w:szCs w:val="24"/>
                  </w:rPr>
                </w:pPr>
              </w:p>
              <w:p w14:paraId="11B83D95" w14:textId="77777777">
                <w:pPr>
                  <w:jc w:val="both"/>
                  <w:textAlignment w:val="center"/>
                  <w:rPr>
                    <w:szCs w:val="24"/>
                  </w:rPr>
                </w:pPr>
                <w:r>
                  <w:rPr>
                    <w:szCs w:val="24"/>
                  </w:rPr>
                  <w:t>1.1. Bendruosius teisės aktus:</w:t>
                </w:r>
              </w:p>
              <w:p w14:paraId="641F3ACB" w14:textId="77777777">
                <w:pPr>
                  <w:ind w:left="596"/>
                  <w:jc w:val="both"/>
                  <w:textAlignment w:val="center"/>
                  <w:rPr>
                    <w:szCs w:val="24"/>
                  </w:rPr>
                </w:pPr>
                <w:r>
                  <w:rPr>
                    <w:szCs w:val="24"/>
                  </w:rPr>
                  <w:t>1.1.1.</w:t>
                  <w:tab/>
                  <w:t xml:space="preserve">2021 m. vasario 12 d. Europos Parlamento ir Tarybos reglamentą </w:t>
                </w:r>
                <w:r>
                  <w:rPr>
                    <w:szCs w:val="24"/>
                    <w:u w:val="single"/>
                  </w:rPr>
                  <w:t>(ES) 2021/241</w:t>
                </w:r>
                <w:r>
                  <w:rPr>
                    <w:szCs w:val="24"/>
                    <w:vertAlign w:val="superscript"/>
                  </w:rPr>
                  <w:footnoteReference w:id="2"/>
                </w:r>
                <w:r>
                  <w:rPr>
                    <w:szCs w:val="24"/>
                  </w:rPr>
                  <w:t>, kuriuo nustatoma ekonomikos gaivinimo ir atsparumo didinimo priemonė;</w:t>
                </w:r>
              </w:p>
              <w:p w14:paraId="1D1F6A65" w14:textId="77777777">
                <w:pPr>
                  <w:ind w:left="596"/>
                  <w:jc w:val="both"/>
                  <w:textAlignment w:val="center"/>
                  <w:rPr>
                    <w:szCs w:val="24"/>
                  </w:rPr>
                </w:pPr>
                <w:r>
                  <w:rPr>
                    <w:szCs w:val="24"/>
                  </w:rPr>
                  <w:t>1.1.2.</w:t>
                  <w:tab/>
                  <w:t>Ekonomikos gaivinimo ir atsparumo didinimo planą „Naujos kartos Lietuva“, patvirtintą 2021 m. liepos 28 d. Tarybos įgyvendinimo sprendimu dėl Lietuvos ekonomikos gaivinimo ir atsparumo didinimo plano įvertinimo patvirtinimo</w:t>
                </w:r>
                <w:r>
                  <w:rPr>
                    <w:szCs w:val="24"/>
                    <w:vertAlign w:val="superscript"/>
                  </w:rPr>
                  <w:footnoteReference w:id="3"/>
                </w:r>
                <w:r>
                  <w:rPr>
                    <w:szCs w:val="24"/>
                  </w:rPr>
                  <w:t xml:space="preserve">; </w:t>
                </w:r>
              </w:p>
              <w:p w14:paraId="594166B4" w14:textId="1E43F798">
                <w:pPr>
                  <w:ind w:left="596"/>
                  <w:jc w:val="both"/>
                  <w:textAlignment w:val="center"/>
                  <w:rPr>
                    <w:szCs w:val="24"/>
                  </w:rPr>
                </w:pPr>
                <w:r>
                  <w:rPr>
                    <w:szCs w:val="24"/>
                  </w:rPr>
                  <w:t>1.1.3.</w:t>
                  <w:tab/>
                  <w:t>2021–2027 metų Europos Sąjungos fondų investicijų programos ir Ekonomikos gaivinimo ir atsparumo didinimo plano „Naujos kartos Lietuva“ administravimo taisykles, patvirtintas Lietuvos Respublikos finansų ministro 2022 m. birželio 22 d. įsakymu Nr. 1K-237 „Dėl 2021–2027 metų Europos Sąjungos fondų investicijų programos ir Ekonomikos gaivinimo ir atsparumo didinimo plano „Naujos kartos Lietuva“ įgyvendinimo“ (toliau – Taisyklės)</w:t>
                </w:r>
                <w:r>
                  <w:rPr>
                    <w:szCs w:val="24"/>
                    <w:vertAlign w:val="superscript"/>
                  </w:rPr>
                  <w:footnoteReference w:id="4"/>
                </w:r>
                <w:r>
                  <w:rPr>
                    <w:szCs w:val="24"/>
                  </w:rPr>
                  <w:t>;</w:t>
                </w:r>
              </w:p>
              <w:p w14:paraId="243324BA" w14:textId="23E46C43">
                <w:pPr>
                  <w:ind w:left="596"/>
                  <w:jc w:val="both"/>
                  <w:textAlignment w:val="center"/>
                  <w:rPr>
                    <w:szCs w:val="24"/>
                  </w:rPr>
                </w:pPr>
                <w:r>
                  <w:rPr>
                    <w:szCs w:val="24"/>
                  </w:rPr>
                  <w:t>1.1.4. Projektų administravimo ir finansavimo taisykles, patvirtintas Lietuvos Respublikos finansų ministro 2022 m. birželio 22 d. įsakymu Nr. 1K-237 „Dėl 2021–2027 metų Europos Sąjungos fondų investicijų programos ir Ekonomikos gaivinimo ir atsparumo didinimo plano „Naujos kartos Lietuva“ įgyvendinimo“ (toliau – Projektų administravimo ir finansavimo taisyklės)</w:t>
                </w:r>
                <w:r>
                  <w:rPr>
                    <w:szCs w:val="24"/>
                    <w:vertAlign w:val="superscript"/>
                  </w:rPr>
                  <w:footnoteReference w:id="5"/>
                </w:r>
                <w:r>
                  <w:rPr>
                    <w:szCs w:val="24"/>
                  </w:rPr>
                  <w:t>;</w:t>
                </w:r>
              </w:p>
              <w:p w14:paraId="3D0DE234" w14:textId="795B4020">
                <w:pPr>
                  <w:ind w:left="596"/>
                  <w:jc w:val="both"/>
                  <w:textAlignment w:val="center"/>
                  <w:rPr>
                    <w:szCs w:val="24"/>
                  </w:rPr>
                </w:pPr>
                <w:r>
                  <w:rPr>
                    <w:szCs w:val="24"/>
                  </w:rPr>
                  <w:t>1.1.5.</w:t>
                  <w:tab/>
                  <w:t>Strateginio valdymo metodiką, patvirtintą Lietuvos Respublikos Vyriausybės 2021 m. balandžio 28 d. nutarimu Nr. 292 „Dėl Strateginio valdymo metodikos patvirtinimo“ (toliau – Strateginio valdymo metodika)</w:t>
                </w:r>
                <w:r>
                  <w:rPr>
                    <w:szCs w:val="24"/>
                    <w:vertAlign w:val="superscript"/>
                  </w:rPr>
                  <w:footnoteReference w:id="6"/>
                </w:r>
                <w:r>
                  <w:rPr>
                    <w:szCs w:val="24"/>
                  </w:rPr>
                  <w:t>;</w:t>
                </w:r>
              </w:p>
              <w:p w14:paraId="58ABC46C" w14:textId="603154FE">
                <w:pPr>
                  <w:ind w:left="596"/>
                  <w:jc w:val="both"/>
                  <w:textAlignment w:val="center"/>
                  <w:rPr>
                    <w:szCs w:val="24"/>
                  </w:rPr>
                </w:pPr>
                <w:r>
                  <w:rPr>
                    <w:szCs w:val="24"/>
                  </w:rPr>
                  <w:t>1.1.6.</w:t>
                  <w:tab/>
                  <w:t>2021–2030 metų nacionalinį pažangos planą, patvirtintą Lietuvos Respublikos Vyriausybės 2020 m. rugsėjo 9 d. nutarimu Nr. 998 „Dėl 2021–2030 metų nacionalinio pažangos plano patvirtinimo“</w:t>
                </w:r>
                <w:r>
                  <w:rPr>
                    <w:szCs w:val="24"/>
                    <w:vertAlign w:val="superscript"/>
                  </w:rPr>
                  <w:footnoteReference w:id="7"/>
                </w:r>
                <w:r>
                  <w:rPr>
                    <w:szCs w:val="24"/>
                  </w:rPr>
                  <w:t>;</w:t>
                </w:r>
              </w:p>
              <w:p w14:paraId="509B53C7" w14:textId="77C771AF">
                <w:pPr>
                  <w:ind w:left="596"/>
                  <w:jc w:val="both"/>
                  <w:textAlignment w:val="center"/>
                  <w:rPr>
                    <w:szCs w:val="24"/>
                  </w:rPr>
                </w:pPr>
                <w:r>
                  <w:rPr>
                    <w:szCs w:val="24"/>
                  </w:rPr>
                  <w:t>1.1.7.</w:t>
                  <w:tab/>
                  <w:t>2021–2030 m. plėtros programos valdytojos Lietuvos Respublikos švietimo, mokslo ir sporto ministerijos švietimo plėtros programą, patvirtintą Lietuvos Respublikos Vyriausybės 2021 m. gruodžio 1 d. nutarimu Nr. 1016 „Dėl 2021–2030 m. plėtros programos valdytojos Lietuvos Respublikos švietimo, mokslo ir sporto ministerijos švietimo plėtros programos patvirtinimo“</w:t>
                </w:r>
                <w:r>
                  <w:rPr>
                    <w:szCs w:val="24"/>
                    <w:vertAlign w:val="superscript"/>
                  </w:rPr>
                  <w:footnoteReference w:id="8"/>
                </w:r>
                <w:r>
                  <w:rPr>
                    <w:szCs w:val="24"/>
                  </w:rPr>
                  <w:t>;</w:t>
                </w:r>
              </w:p>
              <w:p w14:paraId="3152DCAA" w14:textId="0E9ECA77">
                <w:pPr>
                  <w:ind w:left="596"/>
                  <w:jc w:val="both"/>
                  <w:textAlignment w:val="center"/>
                  <w:rPr>
                    <w:szCs w:val="24"/>
                  </w:rPr>
                </w:pPr>
                <w:r>
                  <w:rPr>
                    <w:szCs w:val="24"/>
                  </w:rPr>
                  <w:t>1.1.8.</w:t>
                  <w:tab/>
                  <w:t>2021–2030 m. plėtros programos valdytojos Lietuvos Respublikos švietimo, mokslo ir sporto ministerijos švietimo plėtros programos pažangos priemonę Nr. 12-003-03-04-03 „Sukurti rinkos poreikius atliepiančią profesinio ugdymo sistemą“, patvirtintą 2022 m. birželio 9 d. Lietuvos Respublikos švietimo, mokslo ir sporto ministro įsakymu Nr. V-952 „Dėl 2021–2030 m. plėtros programos valdytojos Lietuvos Respublikos švietimo, mokslo ir sporto ministerijos švietimo plėtros programos pažangos priemonės Nr. 12-003-03-04-03 „Sukurti rinkos poreikius atliepiančią profesinio ugdymo sistemą“ aprašo patvirtinimo“</w:t>
                </w:r>
                <w:r>
                  <w:rPr>
                    <w:szCs w:val="24"/>
                    <w:vertAlign w:val="superscript"/>
                  </w:rPr>
                  <w:footnoteReference w:id="9"/>
                </w:r>
                <w:r>
                  <w:rPr>
                    <w:szCs w:val="24"/>
                  </w:rPr>
                  <w:t>.</w:t>
                </w:r>
              </w:p>
              <w:p w14:paraId="52E83269" w14:textId="77777777">
                <w:pPr>
                  <w:jc w:val="both"/>
                  <w:textAlignment w:val="center"/>
                  <w:rPr>
                    <w:szCs w:val="24"/>
                  </w:rPr>
                </w:pPr>
                <w:r>
                  <w:rPr>
                    <w:szCs w:val="24"/>
                  </w:rPr>
                  <w:t>1.2. Specialiuosius teisės aktus:</w:t>
                </w:r>
              </w:p>
              <w:p w14:paraId="30E2B904" w14:textId="2CAB92CB">
                <w:pPr>
                  <w:shd w:val="clear" w:color="auto" w:fill="FFFFFF"/>
                  <w:ind w:left="596"/>
                  <w:jc w:val="both"/>
                  <w:textAlignment w:val="baseline"/>
                  <w:rPr>
                    <w:szCs w:val="24"/>
                    <w:lang w:eastAsia="lt-LT"/>
                  </w:rPr>
                </w:pPr>
                <w:r>
                  <w:rPr>
                    <w:szCs w:val="24"/>
                    <w:lang w:eastAsia="lt-LT"/>
                  </w:rPr>
                  <w:t xml:space="preserve">1.2.1. 2020 m. liepos 1 d. Europos komisijos pasiūlymą dėl Tarybos rekomendacijos dėl profesinio mokymo siekiant tvaraus konkurencingumo, socialinio sąžiningumo ir atsparumo (COM(2020) 275 final). </w:t>
                </w:r>
                <w:r>
                  <w:rPr>
                    <w:szCs w:val="24"/>
                    <w:vertAlign w:val="superscript"/>
                    <w:lang w:eastAsia="lt-LT"/>
                  </w:rPr>
                  <w:footnoteReference w:id="10"/>
                </w:r>
                <w:r>
                  <w:rPr>
                    <w:szCs w:val="24"/>
                    <w:lang w:eastAsia="lt-LT"/>
                  </w:rPr>
                  <w:t>;</w:t>
                </w:r>
                <w:r>
                  <w:rPr>
                    <w:szCs w:val="24"/>
                  </w:rPr>
                  <w:t xml:space="preserve"> </w:t>
                </w:r>
              </w:p>
              <w:p w14:paraId="04E0A440" w14:textId="77777777">
                <w:pPr>
                  <w:ind w:left="596"/>
                  <w:jc w:val="both"/>
                  <w:textAlignment w:val="center"/>
                  <w:rPr>
                    <w:szCs w:val="24"/>
                  </w:rPr>
                </w:pPr>
                <w:r>
                  <w:rPr>
                    <w:szCs w:val="24"/>
                  </w:rPr>
                  <w:t>1.2.2. Lietuvos Respublikos švietimo įstatymą</w:t>
                </w:r>
                <w:r>
                  <w:rPr>
                    <w:szCs w:val="24"/>
                    <w:vertAlign w:val="superscript"/>
                  </w:rPr>
                  <w:footnoteReference w:id="11"/>
                </w:r>
                <w:r>
                  <w:rPr>
                    <w:szCs w:val="24"/>
                  </w:rPr>
                  <w:t xml:space="preserve">;  </w:t>
                </w:r>
              </w:p>
              <w:p w14:paraId="3909DDE7" w14:textId="77777777">
                <w:pPr>
                  <w:ind w:left="596"/>
                  <w:jc w:val="both"/>
                  <w:textAlignment w:val="center"/>
                  <w:rPr>
                    <w:szCs w:val="24"/>
                  </w:rPr>
                </w:pPr>
                <w:r>
                  <w:rPr>
                    <w:szCs w:val="24"/>
                  </w:rPr>
                  <w:t>1.2.3. Lietuvos Respublikos profesinio mokymo įstatymą</w:t>
                </w:r>
                <w:r>
                  <w:rPr>
                    <w:szCs w:val="24"/>
                    <w:vertAlign w:val="superscript"/>
                  </w:rPr>
                  <w:footnoteReference w:id="12"/>
                </w:r>
                <w:r>
                  <w:rPr>
                    <w:szCs w:val="24"/>
                  </w:rPr>
                  <w:t xml:space="preserve">; </w:t>
                </w:r>
              </w:p>
              <w:p w14:paraId="79C3321D" w14:textId="0FC60236">
                <w:pPr>
                  <w:ind w:left="576"/>
                  <w:rPr>
                    <w:szCs w:val="24"/>
                  </w:rPr>
                </w:pPr>
                <w:r>
                  <w:rPr>
                    <w:szCs w:val="24"/>
                  </w:rPr>
                  <w:t>1.2.4. Profesinio mokymo programų rengimo ir registravimo tvarkos aprašą, patvirtintą Lietuvos Respublikos švietimo, mokslo ir sporto ministro 2018 m. lapkričio 22 d. įsakymu Nr. V-925 „Dėl Profesinio mokymo programų rengimo ir registravimo tvarkos aprašo patvirtinimo“</w:t>
                </w:r>
                <w:r>
                  <w:rPr>
                    <w:szCs w:val="24"/>
                    <w:vertAlign w:val="superscript"/>
                  </w:rPr>
                  <w:footnoteReference w:id="13"/>
                </w:r>
                <w:r>
                  <w:rPr>
                    <w:szCs w:val="24"/>
                  </w:rPr>
                  <w:t xml:space="preserve">; </w:t>
                </w:r>
              </w:p>
              <w:p w14:paraId="50667300" w14:textId="14BEBBF4">
                <w:pPr>
                  <w:ind w:left="596"/>
                  <w:jc w:val="both"/>
                  <w:textAlignment w:val="center"/>
                  <w:rPr>
                    <w:szCs w:val="24"/>
                  </w:rPr>
                </w:pPr>
                <w:r>
                  <w:rPr>
                    <w:szCs w:val="24"/>
                  </w:rPr>
                  <w:t>1.2.5. Lietuvos kvalifikacijų sandaros aprašo, patvirtinto Lietuvos Respublikos Vyriausybės 2010 m. gegužės 4 d. nutarimu Nr. 535 „Dėl Lietuvos kvalifikacijų sandaros aprašo patvirtinimo“</w:t>
                </w:r>
                <w:r>
                  <w:rPr>
                    <w:szCs w:val="24"/>
                    <w:vertAlign w:val="superscript"/>
                  </w:rPr>
                  <w:footnoteReference w:id="14"/>
                </w:r>
                <w:r>
                  <w:rPr>
                    <w:szCs w:val="24"/>
                  </w:rPr>
                  <w:t xml:space="preserve">; </w:t>
                </w:r>
              </w:p>
              <w:p w14:paraId="0556B992" w14:textId="77777777">
                <w:pPr>
                  <w:ind w:left="596"/>
                  <w:jc w:val="both"/>
                  <w:textAlignment w:val="center"/>
                  <w:rPr>
                    <w:szCs w:val="24"/>
                  </w:rPr>
                </w:pPr>
                <w:r>
                  <w:rPr>
                    <w:szCs w:val="24"/>
                  </w:rPr>
                  <w:t>1.2.6. Mokytojo profesijos kompetencijos aprašą, patvirtintą Lietuvos Respublikos šveitimo ir mokslo ministro 2007 m. sausio 15 d. įsakymu Nr. ISAK-54 „Dėl Mokytojo profesijos kompetencijos aprašo patvirtinimo“</w:t>
                </w:r>
                <w:r>
                  <w:rPr>
                    <w:szCs w:val="24"/>
                    <w:vertAlign w:val="superscript"/>
                  </w:rPr>
                  <w:footnoteReference w:id="15"/>
                </w:r>
                <w:r>
                  <w:rPr>
                    <w:szCs w:val="24"/>
                  </w:rPr>
                  <w:t xml:space="preserve">; </w:t>
                </w:r>
              </w:p>
              <w:p w14:paraId="6B19BF19" w14:textId="4F1B1849">
                <w:pPr>
                  <w:ind w:left="576"/>
                  <w:jc w:val="both"/>
                  <w:rPr>
                    <w:szCs w:val="24"/>
                  </w:rPr>
                </w:pPr>
                <w:r>
                  <w:rPr>
                    <w:szCs w:val="24"/>
                  </w:rPr>
                  <w:t>1.2.7. Valstybinių ir savivaldybių mokyklų vadovų, jų pavaduotojų ugdymui, ugdymą organizuojančių skyrių vedėjų, mokytojų ir pagalbos mokiniui specialistų 2020–2022 metų kvalifikacijos tobulinimo prioritetus, patvirtintus Lietuvos Respublikos šveitimo, mokslo ir sporto ministro 2020 m. balandžio 2 d. įsakymu Nr. V-504 „Dėl valstybinių ir savivaldybių mokyklų vadovų, jų pavaduotojų ugdymui, ugdymą organizuojančių skyrių vedėjų, mokytojų ir pagalbos mokiniui specialistų 2020–2022 metų kvalifikacijos tobulinimo prioritetų patvirtinimo“</w:t>
                </w:r>
                <w:r>
                  <w:rPr>
                    <w:szCs w:val="24"/>
                    <w:vertAlign w:val="superscript"/>
                  </w:rPr>
                  <w:footnoteReference w:id="16"/>
                </w:r>
                <w:r>
                  <w:rPr>
                    <w:szCs w:val="24"/>
                  </w:rPr>
                  <w:t xml:space="preserve">; </w:t>
                </w:r>
              </w:p>
              <w:p w14:paraId="55C5109A" w14:textId="41EE3A96">
                <w:pPr>
                  <w:ind w:left="596"/>
                  <w:jc w:val="both"/>
                  <w:textAlignment w:val="center"/>
                  <w:rPr>
                    <w:szCs w:val="24"/>
                  </w:rPr>
                </w:pPr>
                <w:r>
                  <w:rPr>
                    <w:szCs w:val="24"/>
                  </w:rPr>
                  <w:t xml:space="preserve">1.2.8. 2019 m. gruodžio 11 d. Komisijos komunikatą Europos Parlamentui, Europos Vadovų Tarybai, Europos ekonomikos ir socialinių reikalų komitetui ir Regionų komitetui. Europos žaliasis kursas, COM (2019) 640 </w:t>
                </w:r>
                <w:r>
                  <w:rPr>
                    <w:szCs w:val="24"/>
                    <w:vertAlign w:val="superscript"/>
                  </w:rPr>
                  <w:footnoteReference w:id="17"/>
                </w:r>
                <w:r>
                  <w:rPr>
                    <w:szCs w:val="24"/>
                  </w:rPr>
                  <w:t xml:space="preserve">; </w:t>
                </w:r>
              </w:p>
              <w:p w14:paraId="041ABACB" w14:textId="4ACE7FDB">
                <w:pPr>
                  <w:ind w:left="596"/>
                  <w:jc w:val="both"/>
                  <w:textAlignment w:val="center"/>
                  <w:rPr>
                    <w:szCs w:val="24"/>
                  </w:rPr>
                </w:pPr>
                <w:r>
                  <w:rPr>
                    <w:szCs w:val="24"/>
                  </w:rPr>
                  <w:t>1.2.9. 2016 m. balandžio 27 d. Europos Parlamento ir Tarybos reglamentą (ES) 2016/679 dėl fizinių asmenų apsaugos tvarkant asmens duomenis ir dėl laisvo tokių duomenų judėjimo ir kuriuo panaikinama Direktyva 95/46/EB (Bendrasis duomenų apsaugos reglamentas)</w:t>
                </w:r>
                <w:r>
                  <w:rPr>
                    <w:szCs w:val="24"/>
                    <w:vertAlign w:val="superscript"/>
                  </w:rPr>
                  <w:footnoteReference w:id="18"/>
                </w:r>
                <w:r>
                  <w:rPr>
                    <w:szCs w:val="24"/>
                  </w:rPr>
                  <w:t xml:space="preserve">; </w:t>
                </w:r>
              </w:p>
              <w:p w14:paraId="107C9EDE" w14:textId="6EEA0388">
                <w:pPr>
                  <w:ind w:left="596"/>
                  <w:jc w:val="both"/>
                  <w:textAlignment w:val="center"/>
                  <w:rPr>
                    <w:szCs w:val="24"/>
                  </w:rPr>
                </w:pPr>
                <w:r>
                  <w:rPr>
                    <w:szCs w:val="24"/>
                  </w:rPr>
                  <w:t xml:space="preserve">1.2.10. 2013 m. gruodžio 18 d. Komisijos reglamentą </w:t>
                </w:r>
                <w:r>
                  <w:rPr>
                    <w:szCs w:val="24"/>
                    <w:u w:val="single"/>
                  </w:rPr>
                  <w:t>(ES) Nr. 1407/2013</w:t>
                </w:r>
                <w:r>
                  <w:rPr>
                    <w:szCs w:val="24"/>
                  </w:rPr>
                  <w:t xml:space="preserve"> dėl Sutarties dėl Europos Sąjungos veikimo 107 ir 108 straipsnių taikymo </w:t>
                </w:r>
                <w:r>
                  <w:rPr>
                    <w:i/>
                    <w:szCs w:val="24"/>
                  </w:rPr>
                  <w:t>de</w:t>
                </w:r>
                <w:r>
                  <w:rPr>
                    <w:szCs w:val="24"/>
                  </w:rPr>
                  <w:t xml:space="preserve"> </w:t>
                </w:r>
                <w:r>
                  <w:rPr>
                    <w:i/>
                    <w:szCs w:val="24"/>
                  </w:rPr>
                  <w:t>minimis</w:t>
                </w:r>
                <w:r>
                  <w:rPr>
                    <w:szCs w:val="24"/>
                  </w:rPr>
                  <w:t xml:space="preserve"> pagalbai (OL 2013 L 352, p. 9–17) (toliau – Komisijos reglamentas </w:t>
                </w:r>
                <w:r>
                  <w:rPr>
                    <w:szCs w:val="24"/>
                    <w:u w:val="single"/>
                  </w:rPr>
                  <w:t>(ES) Nr. 1407/2013</w:t>
                </w:r>
                <w:r>
                  <w:rPr>
                    <w:szCs w:val="24"/>
                  </w:rPr>
                  <w:t>)</w:t>
                </w:r>
                <w:r>
                  <w:rPr>
                    <w:szCs w:val="24"/>
                    <w:vertAlign w:val="superscript"/>
                  </w:rPr>
                  <w:footnoteReference w:id="19"/>
                </w:r>
                <w:r>
                  <w:rPr>
                    <w:szCs w:val="24"/>
                  </w:rPr>
                  <w:t>;</w:t>
                </w:r>
              </w:p>
              <w:p w14:paraId="76934916" w14:textId="6FF5491B">
                <w:pPr>
                  <w:ind w:left="596"/>
                  <w:jc w:val="both"/>
                  <w:textAlignment w:val="center"/>
                  <w:rPr>
                    <w:szCs w:val="24"/>
                  </w:rPr>
                </w:pPr>
                <w:r>
                  <w:rPr>
                    <w:szCs w:val="24"/>
                  </w:rPr>
                  <w:t xml:space="preserve">1.2.11. 2020 m. liepos 2 d. Komisijos reglamentą </w:t>
                </w:r>
                <w:r>
                  <w:rPr>
                    <w:szCs w:val="24"/>
                    <w:u w:val="single"/>
                  </w:rPr>
                  <w:t>(ES) Nr. 2020/972</w:t>
                </w:r>
                <w:r>
                  <w:rPr>
                    <w:szCs w:val="24"/>
                  </w:rPr>
                  <w:t xml:space="preserve">, kuriuo iš dalies keičiamas Komisijos reglamentas </w:t>
                </w:r>
                <w:r>
                  <w:rPr>
                    <w:szCs w:val="24"/>
                    <w:u w:val="single"/>
                  </w:rPr>
                  <w:t>(ES) Nr. 1407/2013</w:t>
                </w:r>
                <w:r>
                  <w:rPr>
                    <w:szCs w:val="24"/>
                  </w:rPr>
                  <w:t xml:space="preserve">, pratęsiant jo galiojimą ir iš dalies keičiant Komisijos reglamentą </w:t>
                </w:r>
                <w:r>
                  <w:rPr>
                    <w:szCs w:val="24"/>
                    <w:u w:val="single"/>
                  </w:rPr>
                  <w:t>(ES) Nr. 651/2014</w:t>
                </w:r>
                <w:r>
                  <w:rPr>
                    <w:szCs w:val="24"/>
                  </w:rPr>
                  <w:t>, pratęsiamas jo galiojimas ir įtraukiami patikslinimai</w:t>
                </w:r>
                <w:r>
                  <w:rPr>
                    <w:szCs w:val="24"/>
                    <w:vertAlign w:val="superscript"/>
                  </w:rPr>
                  <w:footnoteReference w:id="20"/>
                </w:r>
                <w:r>
                  <w:rPr>
                    <w:szCs w:val="24"/>
                  </w:rPr>
                  <w:t>;</w:t>
                </w:r>
              </w:p>
              <w:p w14:paraId="17E76911" w14:textId="30A6CCFC">
                <w:pPr>
                  <w:ind w:left="596"/>
                  <w:jc w:val="both"/>
                  <w:textAlignment w:val="center"/>
                  <w:rPr>
                    <w:szCs w:val="24"/>
                  </w:rPr>
                </w:pPr>
                <w:r>
                  <w:rPr>
                    <w:szCs w:val="24"/>
                  </w:rPr>
                  <w:t>1.2.12. Lietuvos Respublikos švietimo, mokslo ir sporto ministro 2022 m. kovo 20 d. įsakymą Nr. V-442 „Dėl Nacionalinės profesinio mokymo pažangos platformos darbo grupės sudarymo“;</w:t>
                </w:r>
              </w:p>
              <w:p w14:paraId="2903780A" w14:textId="63CE7BC2">
                <w:pPr>
                  <w:ind w:left="596"/>
                  <w:jc w:val="both"/>
                  <w:textAlignment w:val="center"/>
                  <w:rPr>
                    <w:szCs w:val="24"/>
                  </w:rPr>
                </w:pPr>
                <w:r>
                  <w:rPr>
                    <w:szCs w:val="24"/>
                  </w:rPr>
                  <w:t>1.2.13. Andragogo profesinės veiklos aprašą, patvirtintą Lietuvos Respublikos švietimo ir mokslo ministro 2013 m. spalio 22 d. įsakymu Nr. V-996 „Dėl pritarimo Andragogo profesinės veiklos aprašui“</w:t>
                </w:r>
                <w:r>
                  <w:rPr>
                    <w:szCs w:val="24"/>
                    <w:vertAlign w:val="superscript"/>
                  </w:rPr>
                  <w:footnoteReference w:id="21"/>
                </w:r>
                <w:r>
                  <w:rPr>
                    <w:szCs w:val="24"/>
                  </w:rPr>
                  <w:t>.</w:t>
                </w:r>
              </w:p>
              <w:p w14:paraId="0520CFD5" w14:textId="16913413">
                <w:pPr>
                  <w:jc w:val="both"/>
                  <w:textAlignment w:val="center"/>
                  <w:rPr>
                    <w:szCs w:val="24"/>
                  </w:rPr>
                </w:pPr>
                <w:r>
                  <w:rPr>
                    <w:szCs w:val="24"/>
                  </w:rPr>
                  <w:t>1.3. Apraše Nr. 5 vartojamos sąvokos suprantamos taip, kaip jos apibrėžtos Strateginio valdymo metodikoje, Taisyklėse, Projektų administravimo ir finansavimo taisyklėse, Lietuvos Respublikos švietimo įstatyme ir kituose anksčiau paminėtuose teisės aktuose.</w:t>
                </w:r>
              </w:p>
              <w:p w14:paraId="56D1DAB2" w14:textId="42376D73">
                <w:pPr>
                  <w:ind w:left="306"/>
                  <w:jc w:val="both"/>
                  <w:textAlignment w:val="center"/>
                  <w:rPr>
                    <w:szCs w:val="24"/>
                  </w:rPr>
                </w:pPr>
                <w:r>
                  <w:rPr>
                    <w:szCs w:val="24"/>
                  </w:rPr>
                  <w:t>1.3.1. Apraše Nr. 5 vartojamos kitos sąvokos:</w:t>
                </w:r>
              </w:p>
              <w:p w14:paraId="4BBFC0F8" w14:textId="714D2238">
                <w:pPr>
                  <w:ind w:left="589"/>
                  <w:jc w:val="both"/>
                  <w:rPr>
                    <w:szCs w:val="24"/>
                  </w:rPr>
                </w:pPr>
                <w:r>
                  <w:rPr>
                    <w:szCs w:val="24"/>
                  </w:rPr>
                  <w:t xml:space="preserve">1.3.1.1. </w:t>
                </w:r>
                <w:r>
                  <w:rPr>
                    <w:b/>
                    <w:bCs/>
                    <w:szCs w:val="24"/>
                  </w:rPr>
                  <w:t>Profesijos mokytojo techninė kompetencija</w:t>
                </w:r>
                <w:r>
                  <w:rPr>
                    <w:szCs w:val="24"/>
                  </w:rPr>
                  <w:t xml:space="preserve"> – profesijos mokytojo gebėjimas vykdyti tam tikrą technologinį procesą. Techninė kompetencija apima žinias apie technologinį procesą, ūkio sektorius</w:t>
                </w:r>
                <w:r>
                  <w:rPr>
                    <w:szCs w:val="24"/>
                    <w:vertAlign w:val="superscript"/>
                  </w:rPr>
                  <w:footnoteReference w:id="22"/>
                </w:r>
                <w:r>
                  <w:rPr>
                    <w:szCs w:val="24"/>
                  </w:rPr>
                  <w:t xml:space="preserve">, jų naujoves, gebėjimą atlikti technologines operacijas, mokėjimą dirbti su įvairiomis medžiagomis ir technologine įranga. </w:t>
                </w:r>
              </w:p>
              <w:p w14:paraId="165ACFED" w14:textId="16F5912E">
                <w:pPr>
                  <w:ind w:left="589"/>
                  <w:jc w:val="both"/>
                  <w:textAlignment w:val="center"/>
                  <w:rPr>
                    <w:szCs w:val="24"/>
                  </w:rPr>
                </w:pPr>
                <w:r>
                  <w:rPr>
                    <w:szCs w:val="24"/>
                  </w:rPr>
                  <w:t xml:space="preserve">1.3.1.2. </w:t>
                </w:r>
                <w:r>
                  <w:rPr>
                    <w:b/>
                    <w:bCs/>
                    <w:szCs w:val="24"/>
                  </w:rPr>
                  <w:t>Profesijos mokytojų techninių kompetencijų tobulinimas</w:t>
                </w:r>
                <w:r>
                  <w:rPr>
                    <w:szCs w:val="24"/>
                  </w:rPr>
                  <w:t xml:space="preserve"> – profesijos mokytojų mokymas įmonėse, įstaigose, sektoriniuose praktinio mokymo centruose, siekiant išplėsti ir pagilinti jų turimas technines kompetencijas.</w:t>
                </w:r>
              </w:p>
              <w:p w14:paraId="34E764CE" w14:textId="4AEE3A21">
                <w:pPr>
                  <w:ind w:left="589"/>
                  <w:jc w:val="both"/>
                  <w:textAlignment w:val="center"/>
                  <w:rPr>
                    <w:szCs w:val="24"/>
                  </w:rPr>
                </w:pPr>
                <w:r>
                  <w:rPr>
                    <w:szCs w:val="24"/>
                  </w:rPr>
                  <w:t>1.3.1.3.</w:t>
                </w:r>
                <w:r>
                  <w:rPr>
                    <w:b/>
                    <w:bCs/>
                    <w:szCs w:val="24"/>
                  </w:rPr>
                  <w:t xml:space="preserve"> Sektorinis praktinio mokymo centras</w:t>
                </w:r>
                <w:r>
                  <w:rPr>
                    <w:szCs w:val="24"/>
                  </w:rPr>
                  <w:t xml:space="preserve"> – vieno ar kelių Lietuvos ūkio sektorių modernia praktinio mokymo įranga aprūpinta profesinio mokymo įstaiga arba jos padalinys, teikiantis pirminio ir tęstinio praktinio profesinio mokymo paslaugas visiems Lietuvos gyventojams, siekiantiems įgyti kvalifikaciją arba ją tobulinti.</w:t>
                </w:r>
              </w:p>
              <w:p w14:paraId="2C130509" w14:textId="07495620">
                <w:pPr>
                  <w:ind w:left="589"/>
                  <w:jc w:val="both"/>
                  <w:textAlignment w:val="center"/>
                  <w:rPr>
                    <w:szCs w:val="24"/>
                  </w:rPr>
                </w:pPr>
                <w:r>
                  <w:rPr>
                    <w:szCs w:val="24"/>
                  </w:rPr>
                  <w:t xml:space="preserve">1.3.1.4. </w:t>
                </w:r>
                <w:r>
                  <w:rPr>
                    <w:b/>
                    <w:bCs/>
                    <w:szCs w:val="24"/>
                  </w:rPr>
                  <w:t xml:space="preserve">Profesijos mokytojų techninių, skaitmeninių kompetencijų tobulinimo programa </w:t>
                </w:r>
                <w:r>
                  <w:rPr>
                    <w:szCs w:val="24"/>
                  </w:rPr>
                  <w:t xml:space="preserve"> – </w:t>
                </w:r>
                <w:r>
                  <w:rPr>
                    <w:szCs w:val="24"/>
                    <w:shd w:val="clear" w:color="auto" w:fill="FFFFFF"/>
                  </w:rPr>
                  <w:t>neformaliojo švietimo programa, kurios turiniu, perteikimo būdais ir metodais siekiama suteikti reikalingas kompetencijas.</w:t>
                </w:r>
              </w:p>
              <w:p w14:paraId="70B4E7B5" w14:textId="2D6F277B">
                <w:pPr>
                  <w:ind w:left="589"/>
                  <w:jc w:val="both"/>
                  <w:textAlignment w:val="center"/>
                  <w:rPr>
                    <w:szCs w:val="24"/>
                  </w:rPr>
                </w:pPr>
                <w:r>
                  <w:rPr>
                    <w:szCs w:val="24"/>
                  </w:rPr>
                  <w:t xml:space="preserve">1.3.1.5. </w:t>
                </w:r>
                <w:r>
                  <w:rPr>
                    <w:b/>
                    <w:bCs/>
                    <w:szCs w:val="24"/>
                  </w:rPr>
                  <w:t>Meistras</w:t>
                </w:r>
                <w:r>
                  <w:rPr>
                    <w:szCs w:val="24"/>
                  </w:rPr>
                  <w:t xml:space="preserve"> – darbdavio paskirtas atstovas, atsakingas už pameistrio / mokinio darbinės veiklos ir praktinio mokymo koordinavimą.</w:t>
                </w:r>
              </w:p>
              <w:p w14:paraId="672A08DB" w14:textId="75A1B9B9">
                <w:pPr>
                  <w:ind w:left="589"/>
                  <w:jc w:val="both"/>
                  <w:textAlignment w:val="center"/>
                  <w:rPr>
                    <w:szCs w:val="24"/>
                  </w:rPr>
                </w:pPr>
                <w:r>
                  <w:rPr>
                    <w:szCs w:val="24"/>
                  </w:rPr>
                  <w:t xml:space="preserve">1.3.1.6. </w:t>
                </w:r>
                <w:r>
                  <w:rPr>
                    <w:b/>
                    <w:bCs/>
                    <w:szCs w:val="24"/>
                  </w:rPr>
                  <w:t>Skaitmeninės kompetencijos</w:t>
                </w:r>
                <w:r>
                  <w:rPr>
                    <w:szCs w:val="24"/>
                  </w:rPr>
                  <w:t xml:space="preserve"> – žinios ir praktiniai įgūdžiai bent vienoje iš sričių, aprašytų Europos skaitmeninės kompetencijos programoje (</w:t>
                </w:r>
                <w:r>
                  <w:rPr>
                    <w:i/>
                    <w:iCs/>
                    <w:szCs w:val="24"/>
                  </w:rPr>
                  <w:t>The</w:t>
                </w:r>
                <w:r>
                  <w:rPr>
                    <w:szCs w:val="24"/>
                  </w:rPr>
                  <w:t xml:space="preserve"> </w:t>
                </w:r>
                <w:r>
                  <w:rPr>
                    <w:i/>
                    <w:iCs/>
                    <w:szCs w:val="24"/>
                  </w:rPr>
                  <w:t>Digital Competence Framework for Citizens</w:t>
                </w:r>
                <w:r>
                  <w:rPr>
                    <w:szCs w:val="24"/>
                  </w:rPr>
                  <w:t>)</w:t>
                </w:r>
                <w:r>
                  <w:rPr>
                    <w:szCs w:val="24"/>
                    <w:vertAlign w:val="superscript"/>
                  </w:rPr>
                  <w:footnoteReference w:id="23"/>
                </w:r>
                <w:r>
                  <w:rPr>
                    <w:szCs w:val="24"/>
                  </w:rPr>
                  <w:t>.</w:t>
                </w:r>
              </w:p>
              <w:p w14:paraId="52A2AE5F" w14:textId="69BF08ED">
                <w:pPr>
                  <w:ind w:firstLine="627"/>
                  <w:jc w:val="both"/>
                  <w:textAlignment w:val="center"/>
                  <w:rPr>
                    <w:szCs w:val="24"/>
                  </w:rPr>
                </w:pPr>
                <w:r>
                  <w:rPr>
                    <w:szCs w:val="24"/>
                  </w:rPr>
                  <w:t xml:space="preserve">1.3.1.7. </w:t>
                </w:r>
                <w:r>
                  <w:rPr>
                    <w:b/>
                    <w:bCs/>
                    <w:szCs w:val="24"/>
                  </w:rPr>
                  <w:t>Kompetencijos, reikalingos žaliajai pertvarkai</w:t>
                </w:r>
                <w:r>
                  <w:rPr>
                    <w:szCs w:val="24"/>
                  </w:rPr>
                  <w:t xml:space="preserve"> – žinios ir praktiniai įgūdžiai bent vienoje iš sričių, aprašytų „GreenComp“, Europos tvarumo kompetencijos programoje</w:t>
                </w:r>
                <w:r>
                  <w:rPr>
                    <w:szCs w:val="24"/>
                    <w:vertAlign w:val="superscript"/>
                  </w:rPr>
                  <w:footnoteReference w:id="24"/>
                </w:r>
                <w:r>
                  <w:rPr>
                    <w:szCs w:val="24"/>
                  </w:rPr>
                  <w:t>.</w:t>
                </w:r>
              </w:p>
            </w:tc>
          </w:tr>
          <w:tr w14:paraId="5EE49596" w14:textId="77777777">
            <w:trPr>
              <w:gridAfter w:val="1"/>
              <w:wAfter w:w="34" w:type="dxa"/>
            </w:trPr>
            <w:tc>
              <w:tcPr>
                <w:tcW w:w="14709" w:type="dxa"/>
                <w:gridSpan w:val="5"/>
              </w:tcPr>
              <w:p w14:paraId="486B7E99" w14:textId="77777777">
                <w:pPr>
                  <w:rPr>
                    <w:b/>
                    <w:szCs w:val="24"/>
                  </w:rPr>
                </w:pPr>
                <w:r>
                  <w:rPr>
                    <w:b/>
                    <w:szCs w:val="24"/>
                  </w:rPr>
                  <w:t>2. Reikalavimai projektams</w:t>
                </w:r>
              </w:p>
            </w:tc>
          </w:tr>
          <w:tr w14:paraId="77ADACA4" w14:textId="77777777">
            <w:trPr>
              <w:gridAfter w:val="1"/>
              <w:wAfter w:w="34" w:type="dxa"/>
            </w:trPr>
            <w:tc>
              <w:tcPr>
                <w:tcW w:w="14709" w:type="dxa"/>
                <w:gridSpan w:val="5"/>
              </w:tcPr>
              <w:p w14:paraId="024B8BD0" w14:textId="636EB98E">
                <w:pPr>
                  <w:tabs>
                    <w:tab w:val="left" w:pos="459"/>
                  </w:tabs>
                  <w:jc w:val="both"/>
                  <w:rPr>
                    <w:szCs w:val="24"/>
                    <w:lang w:eastAsia="lt-LT"/>
                  </w:rPr>
                </w:pPr>
                <w:r>
                  <w:rPr>
                    <w:szCs w:val="24"/>
                    <w:lang w:eastAsia="lt-LT"/>
                  </w:rPr>
                  <w:t>2.1. Pagal Aprašą Nr. 5 bus finansuojami du projektai.</w:t>
                </w:r>
              </w:p>
              <w:p w14:paraId="273F68C1" w14:textId="77777777">
                <w:pPr>
                  <w:tabs>
                    <w:tab w:val="left" w:pos="459"/>
                  </w:tabs>
                  <w:jc w:val="both"/>
                  <w:rPr>
                    <w:szCs w:val="24"/>
                  </w:rPr>
                </w:pPr>
                <w:r>
                  <w:rPr>
                    <w:szCs w:val="24"/>
                  </w:rPr>
                  <w:t>2.2. Numatomas projektų atrankos būdas – planavimas.</w:t>
                </w:r>
              </w:p>
              <w:p w14:paraId="46A284D0" w14:textId="29D16231">
                <w:pPr>
                  <w:tabs>
                    <w:tab w:val="left" w:pos="459"/>
                  </w:tabs>
                  <w:jc w:val="both"/>
                  <w:rPr>
                    <w:szCs w:val="24"/>
                    <w:lang w:eastAsia="lt-LT"/>
                  </w:rPr>
                </w:pPr>
                <w:r>
                  <w:rPr>
                    <w:szCs w:val="24"/>
                    <w:lang w:eastAsia="lt-LT"/>
                  </w:rPr>
                  <w:t>2.3. Pagal Aprašą Nr. 5 numatoma skelbti 2 kvietimus pareiškėjui teikti projekto įgyvendinimo planą (toliau – PĮP).</w:t>
                </w:r>
              </w:p>
              <w:p w14:paraId="63CE0217" w14:textId="4E5A0F94">
                <w:pPr>
                  <w:tabs>
                    <w:tab w:val="left" w:pos="459"/>
                  </w:tabs>
                  <w:jc w:val="both"/>
                  <w:rPr>
                    <w:szCs w:val="24"/>
                  </w:rPr>
                </w:pPr>
                <w:r>
                  <w:rPr>
                    <w:szCs w:val="24"/>
                  </w:rPr>
                  <w:t>2.4. Planuojama kvietimų pareiškėjui teikti PĮP paskelbimo data – 2023 m. I ketvirtis.</w:t>
                </w:r>
              </w:p>
              <w:p w14:paraId="71332716" w14:textId="77777777">
                <w:pPr>
                  <w:jc w:val="both"/>
                  <w:rPr>
                    <w:szCs w:val="24"/>
                    <w:lang w:eastAsia="lt-LT"/>
                  </w:rPr>
                </w:pPr>
                <w:r>
                  <w:rPr>
                    <w:szCs w:val="24"/>
                    <w:lang w:eastAsia="lt-LT"/>
                  </w:rPr>
                  <w:t>2.5.</w:t>
                </w:r>
                <w:r>
                  <w:rPr>
                    <w:szCs w:val="24"/>
                  </w:rPr>
                  <w:t xml:space="preserve"> </w:t>
                </w:r>
                <w:r>
                  <w:rPr>
                    <w:szCs w:val="24"/>
                    <w:lang w:eastAsia="lt-LT"/>
                  </w:rPr>
                  <w:t>Galimas pareiškėjas – Europos socialinio fondo agentūra (toliau – ESFA).</w:t>
                </w:r>
              </w:p>
              <w:p w14:paraId="526F6510" w14:textId="77777777">
                <w:pPr>
                  <w:jc w:val="both"/>
                  <w:rPr>
                    <w:szCs w:val="24"/>
                    <w:lang w:eastAsia="lt-LT"/>
                  </w:rPr>
                </w:pPr>
                <w:r>
                  <w:rPr>
                    <w:szCs w:val="24"/>
                    <w:lang w:eastAsia="lt-LT"/>
                  </w:rPr>
                  <w:t>2.6. Projektai gali būti įgyvendinami su partneriu – Kvalifikacijų ir profesinio mokymo plėtros centru (toliau – Centras).</w:t>
                </w:r>
              </w:p>
              <w:p w14:paraId="1684EA36" w14:textId="77777777">
                <w:pPr>
                  <w:jc w:val="both"/>
                  <w:rPr>
                    <w:szCs w:val="24"/>
                    <w:lang w:eastAsia="lt-LT"/>
                  </w:rPr>
                </w:pPr>
                <w:r>
                  <w:rPr>
                    <w:szCs w:val="24"/>
                    <w:lang w:eastAsia="lt-LT"/>
                  </w:rPr>
                  <w:t>2.7. Projektai turi atitikti bendruosius projektų atrankos kriterijus, nurodytus Projektų taisyklių 2 priede.</w:t>
                </w:r>
              </w:p>
              <w:p w14:paraId="0419D377" w14:textId="77777777">
                <w:pPr>
                  <w:jc w:val="both"/>
                  <w:rPr>
                    <w:szCs w:val="24"/>
                    <w:lang w:eastAsia="lt-LT"/>
                  </w:rPr>
                </w:pPr>
                <w:r>
                  <w:rPr>
                    <w:szCs w:val="24"/>
                    <w:shd w:val="clear" w:color="auto" w:fill="FFFFFF"/>
                  </w:rPr>
                  <w:t>2.8. Projektams finansuoti taikoma finansavimo forma – dotacija. </w:t>
                </w:r>
              </w:p>
              <w:p w14:paraId="6DD23865" w14:textId="77777777">
                <w:pPr>
                  <w:tabs>
                    <w:tab w:val="left" w:pos="743"/>
                  </w:tabs>
                  <w:jc w:val="both"/>
                  <w:rPr>
                    <w:szCs w:val="24"/>
                  </w:rPr>
                </w:pPr>
                <w:r>
                  <w:rPr>
                    <w:szCs w:val="24"/>
                    <w:lang w:eastAsia="lt-LT"/>
                  </w:rPr>
                  <w:t xml:space="preserve">2.9. </w:t>
                </w:r>
                <w:r>
                  <w:rPr>
                    <w:szCs w:val="24"/>
                  </w:rPr>
                  <w:t>Didžiausia galima projektų finansuojamoji dalis sudaro 100 proc. visų tinkamų finansuoti projekto išlaidų. Projektų pareiškėjas savo iniciatyva ir savo, ir (arba) kitų šaltinių lėšomis gali prisidėti prie projekto įgyvendinimo.</w:t>
                </w:r>
              </w:p>
              <w:p w14:paraId="34CA756D" w14:textId="77777777">
                <w:pPr>
                  <w:tabs>
                    <w:tab w:val="left" w:pos="743"/>
                  </w:tabs>
                  <w:jc w:val="both"/>
                  <w:rPr>
                    <w:szCs w:val="24"/>
                  </w:rPr>
                </w:pPr>
                <w:r>
                  <w:rPr>
                    <w:szCs w:val="24"/>
                    <w:lang w:eastAsia="lt-LT"/>
                  </w:rPr>
                  <w:t>2.</w:t>
                </w:r>
                <w:r>
                  <w:rPr>
                    <w:szCs w:val="24"/>
                  </w:rPr>
                  <w:t>10. Projektų veiklos turi būti vykdomos Lietuvos Respublikoje.</w:t>
                </w:r>
              </w:p>
              <w:p w14:paraId="56079E74" w14:textId="7BAD0DE7">
                <w:pPr>
                  <w:tabs>
                    <w:tab w:val="left" w:pos="743"/>
                  </w:tabs>
                  <w:jc w:val="both"/>
                  <w:rPr>
                    <w:szCs w:val="24"/>
                  </w:rPr>
                </w:pPr>
                <w:r>
                  <w:rPr>
                    <w:szCs w:val="24"/>
                    <w:lang w:eastAsia="lt-LT"/>
                  </w:rPr>
                  <w:t>2.</w:t>
                </w:r>
                <w:r>
                  <w:rPr>
                    <w:szCs w:val="24"/>
                  </w:rPr>
                  <w:t>11. Projekto vykdytojas, įgyvendindamas  projektą, privalo pasiekti paraiškoje numatytus rezultatus ir prisidėti prie projekto siekiamų stebėsenos rodiklių, kurie nurodyti Apraše Nr. 5, ir laikytis Apraše Nr. 5, Projektų taisyklėse, kvietime teikti paraiškas finansuoti projektus ir  projektų vykdytojui nustatytų reikalavimų.</w:t>
                </w:r>
              </w:p>
              <w:p w14:paraId="7D56A965" w14:textId="77777777">
                <w:pPr>
                  <w:jc w:val="both"/>
                  <w:rPr>
                    <w:szCs w:val="24"/>
                    <w:lang w:eastAsia="lt-LT"/>
                  </w:rPr>
                </w:pPr>
                <w:r>
                  <w:rPr>
                    <w:szCs w:val="24"/>
                    <w:lang w:eastAsia="lt-LT"/>
                  </w:rPr>
                  <w:t xml:space="preserve">2.12. Privalomi komunikacijos ir informavimo (viešinimo) veiksmai atliekami vadovaujantis Projektų taisyklių VIII skyriaus pirmame skirsnyje „Informavimas apie projektą ir komunikacija“.  </w:t>
                </w:r>
              </w:p>
              <w:p w14:paraId="1AEFFD34" w14:textId="3D9512C8">
                <w:pPr>
                  <w:jc w:val="both"/>
                  <w:rPr>
                    <w:color w:val="000000"/>
                    <w:szCs w:val="24"/>
                    <w:lang w:eastAsia="lt-LT"/>
                  </w:rPr>
                </w:pPr>
                <w:r>
                  <w:rPr>
                    <w:color w:val="000000"/>
                    <w:szCs w:val="24"/>
                    <w:lang w:eastAsia="lt-LT"/>
                  </w:rPr>
                  <w:t xml:space="preserve">2.13. Projekto veiklos turi būti baigtos ne vėliau, kaip 2026 m. balandžio 30 d. </w:t>
                </w:r>
              </w:p>
              <w:p w14:paraId="03D16174" w14:textId="2170EC19">
                <w:pPr>
                  <w:jc w:val="both"/>
                  <w:rPr>
                    <w:color w:val="000000"/>
                    <w:szCs w:val="24"/>
                    <w:lang w:eastAsia="lt-LT"/>
                  </w:rPr>
                </w:pPr>
                <w:r>
                  <w:rPr>
                    <w:color w:val="000000"/>
                    <w:szCs w:val="24"/>
                    <w:lang w:eastAsia="lt-LT"/>
                  </w:rPr>
                  <w:t>2.14. Reikalavimai projektui, teikiamam pagal Aprašo Nr. 5 2.1 veiklą:</w:t>
                </w:r>
              </w:p>
              <w:p w14:paraId="1294488B" w14:textId="5682DBFB">
                <w:pPr>
                  <w:ind w:left="596"/>
                  <w:jc w:val="both"/>
                  <w:rPr>
                    <w:color w:val="000000"/>
                    <w:szCs w:val="24"/>
                    <w:lang w:eastAsia="lt-LT"/>
                  </w:rPr>
                </w:pPr>
                <w:r>
                  <w:rPr>
                    <w:color w:val="000000"/>
                    <w:szCs w:val="24"/>
                    <w:lang w:eastAsia="lt-LT"/>
                  </w:rPr>
                  <w:t>2.14.1. Pagal Aprašą Nr. 5 finansuojama veikla – formaliojo profesinio mokymo programų (toliau – Programos), kurias reikia atnaujinti arba naujai sukurti, poreikio nustatymas ir sąrašo sudarymas; Programų ir metodinių priemonių atnaujinimas ir (arba) parengimas.</w:t>
                </w:r>
              </w:p>
              <w:p w14:paraId="5DAFAA77" w14:textId="77777777">
                <w:pPr>
                  <w:ind w:left="596"/>
                  <w:jc w:val="both"/>
                  <w:rPr>
                    <w:szCs w:val="24"/>
                  </w:rPr>
                </w:pPr>
                <w:r>
                  <w:rPr>
                    <w:szCs w:val="24"/>
                    <w:lang w:eastAsia="lt-LT"/>
                  </w:rPr>
                  <w:t xml:space="preserve">2.14.2. </w:t>
                </w:r>
                <w:r>
                  <w:rPr>
                    <w:szCs w:val="24"/>
                  </w:rPr>
                  <w:t xml:space="preserve">Programų </w:t>
                </w:r>
                <w:r>
                  <w:rPr>
                    <w:szCs w:val="24"/>
                    <w:lang w:eastAsia="lt-LT"/>
                  </w:rPr>
                  <w:t>atnaujinimo ir (arba) rengimo</w:t>
                </w:r>
                <w:r>
                  <w:rPr>
                    <w:szCs w:val="24"/>
                  </w:rPr>
                  <w:t xml:space="preserve"> poreikiai turi būti aptarti su socialiniais partneriais dėl aktualumo ir atitikties darbo rinkos bei žaliosios ir skaitmeninės transformacijos poreikiams Nacionalinėje profesinio mokymo pažangos platformoje.</w:t>
                </w:r>
              </w:p>
              <w:p w14:paraId="372B6EA3" w14:textId="58B4E15B">
                <w:pPr>
                  <w:ind w:left="596"/>
                  <w:jc w:val="both"/>
                  <w:rPr>
                    <w:szCs w:val="24"/>
                  </w:rPr>
                </w:pPr>
                <w:r>
                  <w:rPr>
                    <w:szCs w:val="24"/>
                    <w:lang w:eastAsia="lt-LT"/>
                  </w:rPr>
                  <w:t>2.</w:t>
                </w:r>
                <w:r>
                  <w:rPr>
                    <w:szCs w:val="24"/>
                  </w:rPr>
                  <w:t xml:space="preserve">14.3. Programos turi būti įregistruotos </w:t>
                </w:r>
                <w:r>
                  <w:rPr>
                    <w:szCs w:val="24"/>
                    <w:shd w:val="clear" w:color="auto" w:fill="FFFFFF"/>
                  </w:rPr>
                  <w:t>Studijų, mokymo programų ir kvalifikacijų registre ir paskelbtos Centro tinklalapyje.</w:t>
                </w:r>
              </w:p>
              <w:p w14:paraId="6FE99C7E" w14:textId="6C48F060">
                <w:pPr>
                  <w:ind w:left="596"/>
                  <w:jc w:val="both"/>
                  <w:rPr>
                    <w:szCs w:val="24"/>
                    <w:lang w:eastAsia="lt-LT"/>
                  </w:rPr>
                </w:pPr>
                <w:r>
                  <w:rPr>
                    <w:szCs w:val="24"/>
                    <w:lang w:eastAsia="lt-LT"/>
                  </w:rPr>
                  <w:t>2.14.4. Pagal Aprašą Nr. 5 projektui įgyvendinti skiriama iki 1 900 000,00 Eur (vieno milijono devynių šimtų tūkstančių eurų) EGADP lėšų ir ne daugiau kaip 399 000,00 Eur (trijų šimtų devyniasdešimt devynių tūkstančių eurų) Lietuvos Respublikos valstybės biudžeto lėšų PVM kompensuoti.</w:t>
                </w:r>
              </w:p>
              <w:p w14:paraId="7025874E" w14:textId="121CDC9B">
                <w:pPr>
                  <w:jc w:val="both"/>
                  <w:rPr>
                    <w:color w:val="000000"/>
                    <w:szCs w:val="24"/>
                    <w:lang w:eastAsia="lt-LT"/>
                  </w:rPr>
                </w:pPr>
                <w:r>
                  <w:rPr>
                    <w:color w:val="000000"/>
                    <w:szCs w:val="24"/>
                    <w:lang w:eastAsia="lt-LT"/>
                  </w:rPr>
                  <w:t>2.15. Reikalavimai projektui, teikiamam pagal Aprašo Nr. 5 2.2 veiklą:</w:t>
                </w:r>
              </w:p>
              <w:p w14:paraId="6AC4AD26" w14:textId="7847E971">
                <w:pPr>
                  <w:ind w:left="596"/>
                  <w:jc w:val="both"/>
                  <w:rPr>
                    <w:szCs w:val="24"/>
                  </w:rPr>
                </w:pPr>
                <w:r>
                  <w:rPr>
                    <w:color w:val="000000"/>
                    <w:szCs w:val="24"/>
                    <w:lang w:eastAsia="lt-LT"/>
                  </w:rPr>
                  <w:t xml:space="preserve">2.15.1. Pagal Aprašą Nr. 5 finansuojama veikla – </w:t>
                </w:r>
                <w:r>
                  <w:rPr>
                    <w:szCs w:val="24"/>
                  </w:rPr>
                  <w:t>profesijos mokytojų technologinių, skaitmeninių kompetencijų tobulinimas, įmonių, įstaigų meistrų pedagoginių ir (arba) andragoginių kompetencijų tobulinimas, mokymo programų ir mokymo medžiagos atnaujinimas ir (arba) rengimas.</w:t>
                </w:r>
              </w:p>
              <w:p w14:paraId="163387B7" w14:textId="77777777">
                <w:pPr>
                  <w:ind w:left="596"/>
                  <w:jc w:val="both"/>
                  <w:rPr>
                    <w:szCs w:val="24"/>
                    <w:lang w:eastAsia="lt-LT"/>
                  </w:rPr>
                </w:pPr>
                <w:r>
                  <w:rPr>
                    <w:szCs w:val="24"/>
                    <w:lang w:eastAsia="lt-LT"/>
                  </w:rPr>
                  <w:t xml:space="preserve">2.15.2. Profesijos mokytojų technologinių, skaitmeninių kompetencijų tobulinimo programos turi būti aptartos profesinio mokymo metodinėse komisijose pagal švietimo posritį / posričius. </w:t>
                </w:r>
              </w:p>
              <w:p w14:paraId="51EA232A" w14:textId="77777777">
                <w:pPr>
                  <w:ind w:left="596"/>
                  <w:jc w:val="both"/>
                  <w:rPr>
                    <w:szCs w:val="24"/>
                    <w:lang w:eastAsia="lt-LT"/>
                  </w:rPr>
                </w:pPr>
                <w:r>
                  <w:rPr>
                    <w:szCs w:val="24"/>
                    <w:lang w:eastAsia="lt-LT"/>
                  </w:rPr>
                  <w:t>2.15.3. Tinkama projekto tikslinė grupė yra </w:t>
                </w:r>
                <w:r>
                  <w:rPr>
                    <w:szCs w:val="24"/>
                  </w:rPr>
                  <w:t xml:space="preserve"> profesinio mokymo įstaigų, kuriose Švietimo, mokslo ir sporto ministerija įgyvendina savininko (dalininko) teises ir pareigas,</w:t>
                </w:r>
                <w:r>
                  <w:rPr>
                    <w:szCs w:val="24"/>
                    <w:lang w:eastAsia="lt-LT"/>
                  </w:rPr>
                  <w:t xml:space="preserve"> profesijos mokytojai ir įmonių, įstaigų meistrai.</w:t>
                </w:r>
              </w:p>
              <w:p w14:paraId="1E53D821" w14:textId="7FA2CD02">
                <w:pPr>
                  <w:ind w:left="596"/>
                  <w:jc w:val="both"/>
                  <w:rPr>
                    <w:szCs w:val="24"/>
                    <w:lang w:eastAsia="lt-LT"/>
                  </w:rPr>
                </w:pPr>
                <w:r>
                  <w:rPr>
                    <w:szCs w:val="24"/>
                    <w:lang w:eastAsia="lt-LT"/>
                  </w:rPr>
                  <w:t>2.15.4. Tikslinės grupės mokymų trukmė turi būti ne trumpesnė kaip 8 akad. val. ir ne ilgesnė kaip 40 akad. val.</w:t>
                </w:r>
              </w:p>
              <w:p w14:paraId="1197239C" w14:textId="77777777">
                <w:pPr>
                  <w:ind w:left="596"/>
                  <w:jc w:val="both"/>
                  <w:rPr>
                    <w:szCs w:val="24"/>
                    <w:lang w:eastAsia="lt-LT"/>
                  </w:rPr>
                </w:pPr>
                <w:r>
                  <w:rPr>
                    <w:szCs w:val="24"/>
                    <w:lang w:eastAsia="lt-LT"/>
                  </w:rPr>
                  <w:t>2.15.5. Registruojant tikslinės grupės dalyvius į mokymus prioritetai turi būti skiriami:</w:t>
                </w:r>
              </w:p>
              <w:p w14:paraId="6E3DE54C" w14:textId="77777777">
                <w:pPr>
                  <w:ind w:left="880"/>
                  <w:jc w:val="both"/>
                  <w:rPr>
                    <w:szCs w:val="24"/>
                    <w:lang w:eastAsia="lt-LT"/>
                  </w:rPr>
                </w:pPr>
                <w:r>
                  <w:rPr>
                    <w:szCs w:val="24"/>
                    <w:lang w:eastAsia="lt-LT"/>
                  </w:rPr>
                  <w:t>2.15.5.1. profesijos mokytojams ir meistrams, mokantiems mokinius pagal iš EGADP skirto finansavimo parengtas Programas;</w:t>
                </w:r>
              </w:p>
              <w:p w14:paraId="57927557" w14:textId="77777777">
                <w:pPr>
                  <w:ind w:left="880"/>
                  <w:jc w:val="both"/>
                  <w:rPr>
                    <w:szCs w:val="24"/>
                    <w:lang w:eastAsia="lt-LT"/>
                  </w:rPr>
                </w:pPr>
                <w:r>
                  <w:rPr>
                    <w:szCs w:val="24"/>
                    <w:lang w:eastAsia="lt-LT"/>
                  </w:rPr>
                  <w:t xml:space="preserve">2.15.5.2. profesijos mokytojams ir meistrams, mokantiems mokinius, kurie dalyvaus nacionalinėje mobilumo programoje ir profesiniame mokyme pameistrystės forma; </w:t>
                </w:r>
              </w:p>
              <w:p w14:paraId="28AC77A1" w14:textId="77777777">
                <w:pPr>
                  <w:ind w:left="880"/>
                  <w:jc w:val="both"/>
                  <w:rPr>
                    <w:szCs w:val="24"/>
                    <w:lang w:eastAsia="lt-LT"/>
                  </w:rPr>
                </w:pPr>
                <w:r>
                  <w:rPr>
                    <w:szCs w:val="24"/>
                    <w:lang w:eastAsia="lt-LT"/>
                  </w:rPr>
                  <w:t>2.15.5.3. dėstomo dalyko darbo patirties neturintiems profesijos mokytojams, pedagoginės kvalifikacijos neturintiems smulkiojo ir vidutinio verslo įmonių meistrams.</w:t>
                </w:r>
              </w:p>
              <w:p w14:paraId="7CCF7863" w14:textId="453A8E6F">
                <w:pPr>
                  <w:ind w:left="596"/>
                  <w:jc w:val="both"/>
                  <w:rPr>
                    <w:szCs w:val="24"/>
                    <w:lang w:eastAsia="lt-LT"/>
                  </w:rPr>
                </w:pPr>
                <w:r>
                  <w:rPr>
                    <w:szCs w:val="24"/>
                    <w:lang w:eastAsia="lt-LT"/>
                  </w:rPr>
                  <w:t>2.15.6. Pagal Aprašą Nr. 5 projektui įgyvendinti skiriama iki 3 100 000,00 Eur (trijų milijonų šimto tūkstančių eurų) EGADP lėšų ir ne daugiau kaip 651 000,00 Eur (šešių šimtų penkiasdešimt vieno tūkstančio eurų) Lietuvos Respublikos valstybės biudžeto lėšų PVM kompensuoti.</w:t>
                </w:r>
              </w:p>
              <w:p w14:paraId="3E4A75CF" w14:textId="77777777">
                <w:pPr>
                  <w:ind w:firstLine="57"/>
                  <w:jc w:val="both"/>
                  <w:rPr>
                    <w:color w:val="000000"/>
                    <w:szCs w:val="24"/>
                    <w:lang w:eastAsia="lt-LT"/>
                  </w:rPr>
                </w:pPr>
                <w:r>
                  <w:rPr>
                    <w:szCs w:val="24"/>
                  </w:rPr>
                  <w:t xml:space="preserve">2.16. </w:t>
                </w:r>
                <w:r>
                  <w:rPr>
                    <w:color w:val="000000"/>
                    <w:szCs w:val="24"/>
                    <w:lang w:eastAsia="lt-LT"/>
                  </w:rPr>
                  <w:t>Kartu su PĮP turi būti pateikti lietuvių kalba šie dokumentai:</w:t>
                </w:r>
              </w:p>
              <w:p w14:paraId="49966C2D" w14:textId="77777777">
                <w:pPr>
                  <w:ind w:left="589"/>
                  <w:jc w:val="both"/>
                  <w:rPr>
                    <w:szCs w:val="24"/>
                    <w:lang w:eastAsia="lt-LT"/>
                  </w:rPr>
                </w:pPr>
                <w:r>
                  <w:rPr>
                    <w:szCs w:val="24"/>
                    <w:lang w:eastAsia="lt-LT"/>
                  </w:rPr>
                  <w:t>2.16.1. partnerio (-ių) deklaracijos (Projektų finansavimo ir administravimo taisyklės 1 priedo 1 priedas (kai projektas įgyvendinamas su partneriais);</w:t>
                </w:r>
              </w:p>
              <w:p w14:paraId="2AC0DC5B" w14:textId="1FC97DBE">
                <w:pPr>
                  <w:ind w:left="589"/>
                  <w:jc w:val="both"/>
                  <w:rPr>
                    <w:szCs w:val="24"/>
                    <w:lang w:eastAsia="lt-LT"/>
                  </w:rPr>
                </w:pPr>
                <w:r>
                  <w:rPr>
                    <w:szCs w:val="24"/>
                    <w:lang w:eastAsia="lt-LT"/>
                  </w:rPr>
                  <w:t>2.16.2. informacija apie projekto biudžeto paskirstymą pagal pareiškėjus (Projektų finansavimo ir administravimo taisyklės 1 priedo 2 priedas (jei taikoma);</w:t>
                </w:r>
              </w:p>
              <w:p w14:paraId="43D25903" w14:textId="77777777">
                <w:pPr>
                  <w:ind w:left="589"/>
                  <w:jc w:val="both"/>
                  <w:rPr>
                    <w:color w:val="000000"/>
                    <w:szCs w:val="24"/>
                    <w:lang w:eastAsia="lt-LT"/>
                  </w:rPr>
                </w:pPr>
                <w:r>
                  <w:rPr>
                    <w:szCs w:val="24"/>
                    <w:lang w:eastAsia="lt-LT"/>
                  </w:rPr>
                  <w:t>2.16.3. turi pateikti dokumentus, pagrindžiančius projekto išlaidų pagrįstumą (sudarytos sutartys, komerciniai pasiūlymai, nuorodos į rinkoje esančias kainas).</w:t>
                </w:r>
              </w:p>
            </w:tc>
          </w:tr>
          <w:tr w14:paraId="0D9C8D2F" w14:textId="77777777">
            <w:trPr>
              <w:gridAfter w:val="1"/>
              <w:wAfter w:w="34" w:type="dxa"/>
            </w:trPr>
            <w:tc>
              <w:tcPr>
                <w:tcW w:w="14709" w:type="dxa"/>
                <w:gridSpan w:val="5"/>
              </w:tcPr>
              <w:p w14:paraId="5CC506A3" w14:textId="77777777">
                <w:pPr>
                  <w:jc w:val="both"/>
                  <w:rPr>
                    <w:iCs/>
                    <w:szCs w:val="24"/>
                  </w:rPr>
                </w:pPr>
                <w:r>
                  <w:rPr>
                    <w:b/>
                    <w:szCs w:val="24"/>
                  </w:rPr>
                  <w:t>2.1. Reikalavimai jungtinio projekto projektams</w:t>
                </w:r>
              </w:p>
            </w:tc>
          </w:tr>
          <w:tr w14:paraId="581AFBA9" w14:textId="77777777">
            <w:trPr>
              <w:gridAfter w:val="1"/>
              <w:wAfter w:w="34" w:type="dxa"/>
              <w:trHeight w:val="411"/>
            </w:trPr>
            <w:tc>
              <w:tcPr>
                <w:tcW w:w="14709" w:type="dxa"/>
                <w:gridSpan w:val="5"/>
              </w:tcPr>
              <w:p w14:paraId="49E1021D" w14:textId="15D8DC74">
                <w:pPr>
                  <w:jc w:val="both"/>
                  <w:rPr>
                    <w:szCs w:val="24"/>
                  </w:rPr>
                </w:pPr>
                <w:r>
                  <w:rPr>
                    <w:szCs w:val="24"/>
                  </w:rPr>
                  <w:t>Netaikoma (Jungtinis projektas nenumatytas).</w:t>
                </w:r>
              </w:p>
            </w:tc>
          </w:tr>
          <w:tr w14:paraId="7F3765F1" w14:textId="77777777">
            <w:trPr>
              <w:gridAfter w:val="1"/>
              <w:wAfter w:w="34" w:type="dxa"/>
              <w:trHeight w:val="285"/>
            </w:trPr>
            <w:tc>
              <w:tcPr>
                <w:tcW w:w="14709" w:type="dxa"/>
                <w:gridSpan w:val="5"/>
              </w:tcPr>
              <w:p w14:paraId="1E35562B" w14:textId="77777777">
                <w:pPr>
                  <w:rPr>
                    <w:szCs w:val="24"/>
                  </w:rPr>
                </w:pPr>
                <w:r>
                  <w:rPr>
                    <w:b/>
                    <w:szCs w:val="24"/>
                  </w:rPr>
                  <w:t>3. Horizontaliųjų principų (toliau – HP) reikalavimai</w:t>
                </w:r>
              </w:p>
            </w:tc>
          </w:tr>
          <w:tr w14:paraId="45D46B6D" w14:textId="77777777">
            <w:trPr>
              <w:gridAfter w:val="1"/>
              <w:wAfter w:w="34" w:type="dxa"/>
            </w:trPr>
            <w:tc>
              <w:tcPr>
                <w:tcW w:w="14709" w:type="dxa"/>
                <w:gridSpan w:val="5"/>
              </w:tcPr>
              <w:p w14:paraId="0B4EC2D8" w14:textId="77777777">
                <w:pPr>
                  <w:jc w:val="both"/>
                  <w:rPr>
                    <w:szCs w:val="24"/>
                  </w:rPr>
                </w:pPr>
                <w:r>
                  <w:rPr>
                    <w:szCs w:val="24"/>
                  </w:rPr>
                  <w:t xml:space="preserve">3.1. Projektuose negali būti numatyti apribojimai, kurie turėtų neigiamą poveikį moterų ir vyrų lygybės ir nediskriminavimo dėl lyties, rasės, tautybės, kalbos, kilmės, socialinės padėties, tikėjimo, įsitikinimų ar pažiūrų, amžiaus, negalios, lytinės orientacijos, etninės priklausomybės, religijos principams įgyvendinti. </w:t>
                </w:r>
              </w:p>
              <w:p w14:paraId="67958859" w14:textId="77777777">
                <w:pPr>
                  <w:jc w:val="both"/>
                  <w:rPr>
                    <w:szCs w:val="24"/>
                  </w:rPr>
                </w:pPr>
                <w:r>
                  <w:rPr>
                    <w:szCs w:val="24"/>
                  </w:rPr>
                  <w:t xml:space="preserve">3.2. Projektuose neturi būti numatyti veiksmai, kurie turėtų neigiamą poveikį darnaus vystymosi principui įgyvendinti. </w:t>
                </w:r>
              </w:p>
              <w:p w14:paraId="6E9C9ACB" w14:textId="4D01B2D4">
                <w:pPr>
                  <w:jc w:val="both"/>
                  <w:rPr>
                    <w:szCs w:val="24"/>
                  </w:rPr>
                </w:pPr>
                <w:r>
                  <w:rPr>
                    <w:szCs w:val="24"/>
                  </w:rPr>
                  <w:t xml:space="preserve">3.3. Projektai turi atitikti reikšmingos žalos nedarymo HP, t. y. turi būti tvarūs aplinkos atžvilgiu ir vykdomi visapusiškai atsižvelgiant į Europos Sąjungos klimato ir aplinkos apsaugos standartus ir prioritetus, kaip tai suprantama pagal 2020 m. birželio 18 d. Europos Parlamento ir Tarybos reglamentą </w:t>
                </w:r>
                <w:r>
                  <w:rPr>
                    <w:color w:val="0563C1"/>
                    <w:szCs w:val="24"/>
                    <w:u w:val="single"/>
                  </w:rPr>
                  <w:t>(ES) Nr. 2020/852</w:t>
                </w:r>
                <w:r>
                  <w:rPr>
                    <w:szCs w:val="24"/>
                  </w:rPr>
                  <w:t xml:space="preserve"> dėl sistemos tvariam investavimui palengvinti sukūrimo, kuriuo iš dalies keičiamas Reglamentas </w:t>
                </w:r>
                <w:r>
                  <w:rPr>
                    <w:color w:val="0563C1"/>
                    <w:szCs w:val="24"/>
                    <w:u w:val="single"/>
                  </w:rPr>
                  <w:t>(ES) 2019/2088</w:t>
                </w:r>
                <w:r>
                  <w:rPr>
                    <w:szCs w:val="24"/>
                  </w:rPr>
                  <w:t xml:space="preserve">. Projektų (įskaitant jungtinį projektą) atitikties reikšmingos žalos nedarymo HP vertinimo reikalavimai pateikiami Aprašo Nr. 5 1 priede.  </w:t>
                </w:r>
              </w:p>
              <w:p w14:paraId="08EB3D22" w14:textId="63493C92">
                <w:pPr>
                  <w:jc w:val="both"/>
                  <w:rPr>
                    <w:szCs w:val="24"/>
                  </w:rPr>
                </w:pPr>
                <w:r>
                  <w:rPr>
                    <w:szCs w:val="24"/>
                  </w:rPr>
                  <w:t xml:space="preserve">3.4. Projektų vykdytojas turi užtikrinti, kad projektų veiklomis būtų aktyviai prisidedama prie darnaus vystymosi ir lygių galimybių visiems HP įgyvendinimo: prieš įgyvendinant Aprašo Nr. 5 2.2 veiklą, turi būti atliekama tikslinės grupės apklausa, siekiant nustatyti, ar jos nariai turi specialiųjų poreikių, į kuriuos veiklos organizatorius turėtų ir galėtų (atsižvelgiant į profesijos specifiškumą) atsižvelgti (t. y. siekiant išsiaiškinti visus dalyvių specialiuosius poreikius ir atsižvelgiant į juos visiems dalyviams užtikrinti galimybes dalyvauti projekto veiklose, į klausimyną reikėtų įtraukti tokius klausimus, pvz.: ar / kokių turite specialiųjų poreikių, susijusių su judėjimu?; ar / kokių turite specialiųjų poreikių, susijusių su klausa?; ar / kokių turite specialiųjų poreikių, susijusių su rega?; ar / kokių turite specialiųjų poreikių, susijusių su intelektu?; ar / kokių turite kitų specialiųjų poreikių?).  </w:t>
                </w:r>
              </w:p>
              <w:p w14:paraId="4394FDAB" w14:textId="77777777">
                <w:pPr>
                  <w:jc w:val="both"/>
                  <w:rPr>
                    <w:szCs w:val="24"/>
                  </w:rPr>
                </w:pPr>
                <w:r>
                  <w:rPr>
                    <w:szCs w:val="24"/>
                  </w:rPr>
                  <w:t>3.5. Tikslinės grupės asmens duomenys tvarkomi gavus duomenų subjekto sutikimą ir laikantis Bendrojo duomenų apsaugos reglamento reikalavimų.</w:t>
                </w:r>
              </w:p>
            </w:tc>
          </w:tr>
          <w:tr w14:paraId="47449BAB" w14:textId="77777777">
            <w:trPr>
              <w:gridAfter w:val="1"/>
              <w:wAfter w:w="34" w:type="dxa"/>
            </w:trPr>
            <w:tc>
              <w:tcPr>
                <w:tcW w:w="14709" w:type="dxa"/>
                <w:gridSpan w:val="5"/>
              </w:tcPr>
              <w:p w14:paraId="012A1A6E" w14:textId="77777777">
                <w:pPr>
                  <w:spacing w:line="259" w:lineRule="auto"/>
                  <w:jc w:val="both"/>
                  <w:rPr>
                    <w:b/>
                    <w:iCs/>
                    <w:szCs w:val="24"/>
                  </w:rPr>
                </w:pPr>
                <w:r>
                  <w:rPr>
                    <w:b/>
                    <w:iCs/>
                    <w:szCs w:val="24"/>
                  </w:rPr>
                  <w:t>3.1. Europos Sąjungos pagrindinių teisių chartijos (toliau – Chartija) reikalavimai</w:t>
                </w:r>
              </w:p>
            </w:tc>
          </w:tr>
          <w:tr w14:paraId="6D492FB1" w14:textId="77777777">
            <w:trPr>
              <w:gridAfter w:val="1"/>
              <w:wAfter w:w="34" w:type="dxa"/>
            </w:trPr>
            <w:tc>
              <w:tcPr>
                <w:tcW w:w="14709" w:type="dxa"/>
                <w:gridSpan w:val="5"/>
              </w:tcPr>
              <w:p w14:paraId="2E14C152" w14:textId="77777777">
                <w:pPr>
                  <w:jc w:val="both"/>
                  <w:rPr>
                    <w:iCs/>
                    <w:szCs w:val="24"/>
                  </w:rPr>
                </w:pPr>
                <w:r>
                  <w:rPr>
                    <w:iCs/>
                    <w:szCs w:val="24"/>
                  </w:rPr>
                  <w:t xml:space="preserve">Projektuose neturi būti numatyti veiksmai, kurie galėtų riboti ar pažeisti Chartijoje numatytas pagrindines teises. </w:t>
                </w:r>
              </w:p>
            </w:tc>
          </w:tr>
          <w:tr w14:paraId="3C04ACFF" w14:textId="77777777">
            <w:trPr>
              <w:gridAfter w:val="1"/>
              <w:wAfter w:w="34" w:type="dxa"/>
            </w:trPr>
            <w:tc>
              <w:tcPr>
                <w:tcW w:w="14709" w:type="dxa"/>
                <w:gridSpan w:val="5"/>
              </w:tcPr>
              <w:p w14:paraId="2BB78F64" w14:textId="77777777">
                <w:pPr>
                  <w:rPr>
                    <w:b/>
                    <w:szCs w:val="24"/>
                  </w:rPr>
                </w:pPr>
                <w:r>
                  <w:rPr>
                    <w:b/>
                    <w:szCs w:val="24"/>
                  </w:rPr>
                  <w:t>4. Apskritis, kurioje gali būti įgyvendinami projektai</w:t>
                </w:r>
              </w:p>
            </w:tc>
          </w:tr>
          <w:tr w14:paraId="74C4B7BE" w14:textId="77777777">
            <w:trPr>
              <w:gridAfter w:val="1"/>
              <w:wAfter w:w="34" w:type="dxa"/>
            </w:trPr>
            <w:tc>
              <w:tcPr>
                <w:tcW w:w="14709" w:type="dxa"/>
                <w:gridSpan w:val="5"/>
              </w:tcPr>
              <w:p w14:paraId="1A6D78EC" w14:textId="77777777">
                <w:pPr>
                  <w:jc w:val="both"/>
                  <w:rPr>
                    <w:szCs w:val="24"/>
                  </w:rPr>
                </w:pPr>
                <w:r>
                  <w:rPr>
                    <w:szCs w:val="24"/>
                  </w:rPr>
                  <w:t>Netaikoma.</w:t>
                </w:r>
              </w:p>
            </w:tc>
          </w:tr>
          <w:tr w14:paraId="13D08510" w14:textId="77777777">
            <w:trPr>
              <w:gridAfter w:val="1"/>
              <w:wAfter w:w="34" w:type="dxa"/>
            </w:trPr>
            <w:tc>
              <w:tcPr>
                <w:tcW w:w="14709" w:type="dxa"/>
                <w:gridSpan w:val="5"/>
              </w:tcPr>
              <w:p w14:paraId="39C9F533" w14:textId="77777777">
                <w:pPr>
                  <w:jc w:val="both"/>
                  <w:rPr>
                    <w:b/>
                    <w:szCs w:val="24"/>
                  </w:rPr>
                </w:pPr>
                <w:r>
                  <w:rPr>
                    <w:b/>
                    <w:szCs w:val="24"/>
                  </w:rPr>
                  <w:t xml:space="preserve">5. Reikalavimai valstybės pagalbai </w:t>
                </w:r>
              </w:p>
            </w:tc>
          </w:tr>
          <w:tr w14:paraId="0F40960C" w14:textId="77777777">
            <w:trPr>
              <w:gridAfter w:val="1"/>
              <w:wAfter w:w="34" w:type="dxa"/>
            </w:trPr>
            <w:tc>
              <w:tcPr>
                <w:tcW w:w="14709" w:type="dxa"/>
                <w:gridSpan w:val="5"/>
              </w:tcPr>
              <w:p w14:paraId="418D80FE" w14:textId="08D618AE">
                <w:pPr>
                  <w:jc w:val="both"/>
                  <w:rPr>
                    <w:szCs w:val="24"/>
                  </w:rPr>
                </w:pPr>
                <w:r>
                  <w:rPr>
                    <w:szCs w:val="24"/>
                  </w:rPr>
                  <w:t>5.1. Pagal Aprašą Nr. 5 valstybės pagalba, kaip ji apibrėžta Sutarties dėl Europos Sąjungos veikimo (OL 2010 C 83, p. 47) 107 straipsnyje, ir </w:t>
                </w:r>
                <w:r>
                  <w:rPr>
                    <w:i/>
                    <w:iCs/>
                    <w:szCs w:val="24"/>
                  </w:rPr>
                  <w:t>de minimis</w:t>
                </w:r>
                <w:r>
                  <w:rPr>
                    <w:szCs w:val="24"/>
                  </w:rPr>
                  <w:t> pagalba, kuri atitinka 2013 m. gruodžio 18 d. Komisijos reglamento </w:t>
                </w:r>
                <w:r>
                  <w:rPr>
                    <w:color w:val="0563C1"/>
                    <w:szCs w:val="24"/>
                    <w:u w:val="single"/>
                  </w:rPr>
                  <w:t>(ES) Nr. 1407/2013</w:t>
                </w:r>
                <w:r>
                  <w:rPr>
                    <w:szCs w:val="24"/>
                  </w:rPr>
                  <w:t> dėl Sutarties dėl Europos Sąjungos veikimo 107 ir 108 straipsnių taikymo </w:t>
                </w:r>
                <w:r>
                  <w:rPr>
                    <w:i/>
                    <w:iCs/>
                    <w:szCs w:val="24"/>
                  </w:rPr>
                  <w:t>de minimis</w:t>
                </w:r>
                <w:r>
                  <w:rPr>
                    <w:szCs w:val="24"/>
                  </w:rPr>
                  <w:t xml:space="preserve"> pagalbai (OL 2013 L 352, p. 1) nuostatas, neteikiama pagal </w:t>
                </w:r>
                <w:r>
                  <w:rPr>
                    <w:szCs w:val="24"/>
                    <w:lang w:eastAsia="lt-LT"/>
                  </w:rPr>
                  <w:t>projektą, teikiamą pagal Aprašo Nr. 5 2 2.1 veiklą</w:t>
                </w:r>
                <w:r>
                  <w:rPr>
                    <w:szCs w:val="24"/>
                  </w:rPr>
                  <w:t>.</w:t>
                </w:r>
              </w:p>
              <w:p w14:paraId="20DC13B0" w14:textId="77777777">
                <w:pPr>
                  <w:jc w:val="both"/>
                  <w:rPr>
                    <w:szCs w:val="24"/>
                  </w:rPr>
                </w:pPr>
              </w:p>
              <w:p w14:paraId="6C9A635E" w14:textId="56B1B229">
                <w:pPr>
                  <w:tabs>
                    <w:tab w:val="left" w:pos="459"/>
                  </w:tabs>
                  <w:ind w:left="34"/>
                  <w:jc w:val="both"/>
                  <w:rPr>
                    <w:szCs w:val="24"/>
                    <w:lang w:eastAsia="lt-LT"/>
                  </w:rPr>
                </w:pPr>
                <w:r>
                  <w:rPr>
                    <w:szCs w:val="24"/>
                    <w:lang w:eastAsia="lt-LT"/>
                  </w:rPr>
                  <w:t>5.2. Pagal Aprašo Nr. 5 2.2 veiklą teikiama </w:t>
                </w:r>
                <w:r>
                  <w:rPr>
                    <w:i/>
                    <w:iCs/>
                    <w:szCs w:val="24"/>
                    <w:lang w:eastAsia="lt-LT"/>
                  </w:rPr>
                  <w:t>de minimis</w:t>
                </w:r>
                <w:r>
                  <w:rPr>
                    <w:szCs w:val="24"/>
                    <w:lang w:eastAsia="lt-LT"/>
                  </w:rPr>
                  <w:t xml:space="preserve"> pagalba, kuri atitinka Komisijos reglamento </w:t>
                </w:r>
                <w:r>
                  <w:rPr>
                    <w:color w:val="0563C1"/>
                    <w:szCs w:val="24"/>
                    <w:u w:val="single"/>
                    <w:lang w:eastAsia="lt-LT"/>
                  </w:rPr>
                  <w:t>(ES) Nr. 1407/2013</w:t>
                </w:r>
                <w:r>
                  <w:rPr>
                    <w:szCs w:val="24"/>
                    <w:lang w:eastAsia="lt-LT"/>
                  </w:rPr>
                  <w:t xml:space="preserve"> nuostatas. Pagal Komisijos reglamento </w:t>
                </w:r>
                <w:r>
                  <w:rPr>
                    <w:color w:val="0563C1"/>
                    <w:szCs w:val="24"/>
                    <w:u w:val="single"/>
                    <w:lang w:eastAsia="lt-LT"/>
                  </w:rPr>
                  <w:t>(ES) Nr. 1407/2013</w:t>
                </w:r>
                <w:r>
                  <w:rPr>
                    <w:szCs w:val="24"/>
                    <w:lang w:eastAsia="lt-LT"/>
                  </w:rPr>
                  <w:t xml:space="preserve"> 3 straipsnį, bendra vienai įmonei </w:t>
                </w:r>
                <w:r>
                  <w:rPr>
                    <w:i/>
                    <w:iCs/>
                    <w:szCs w:val="24"/>
                    <w:lang w:eastAsia="lt-LT"/>
                  </w:rPr>
                  <w:t>de minimis</w:t>
                </w:r>
                <w:r>
                  <w:rPr>
                    <w:szCs w:val="24"/>
                    <w:lang w:eastAsia="lt-LT"/>
                  </w:rPr>
                  <w:t xml:space="preserve"> pagalbos suma kiekvienoje valstybėje narėje negali viršyti 200 000,00 Eur (dviejų šimtų tūkstančių eurų) per bet kurį trejų finansinių metų laikotarpį ribos, o jei įmonė vykdo krovinių vežimo keliais veiklą – 100 000,00 Eur (vieno šimto tūkstančio eurų) ribos. </w:t>
                </w:r>
              </w:p>
              <w:p w14:paraId="79E2F7D8" w14:textId="414E232A">
                <w:pPr>
                  <w:tabs>
                    <w:tab w:val="left" w:pos="459"/>
                  </w:tabs>
                  <w:ind w:left="34"/>
                  <w:jc w:val="both"/>
                  <w:rPr>
                    <w:szCs w:val="24"/>
                    <w:lang w:eastAsia="lt-LT"/>
                  </w:rPr>
                </w:pPr>
                <w:r>
                  <w:rPr>
                    <w:szCs w:val="24"/>
                    <w:lang w:eastAsia="lt-LT"/>
                  </w:rPr>
                  <w:t xml:space="preserve">5.3. </w:t>
                </w:r>
                <w:r>
                  <w:rPr>
                    <w:i/>
                    <w:szCs w:val="24"/>
                    <w:lang w:eastAsia="lt-LT"/>
                  </w:rPr>
                  <w:t>De minimis</w:t>
                </w:r>
                <w:r>
                  <w:rPr>
                    <w:szCs w:val="24"/>
                    <w:lang w:eastAsia="lt-LT"/>
                  </w:rPr>
                  <w:t xml:space="preserve"> pagalbos gavėjas – šiame Apraše Nr. 5 suprantamas kaip juridinis asmuo, kuris vykdo ar turi teisę vykdyti ūkinę veiklą Lietuvos Respublikoje, dalyvauja Aprašo Nr. 5 2.2 veikloje įmonių, įstaigų meistrų pedagoginių ir (arba) andragoginių kompetencijų tobulinimas.</w:t>
                </w:r>
              </w:p>
              <w:p w14:paraId="134B0C7D" w14:textId="159FFB70">
                <w:pPr>
                  <w:tabs>
                    <w:tab w:val="left" w:pos="459"/>
                  </w:tabs>
                  <w:ind w:left="34"/>
                  <w:jc w:val="both"/>
                  <w:rPr>
                    <w:szCs w:val="24"/>
                    <w:lang w:eastAsia="lt-LT"/>
                  </w:rPr>
                </w:pPr>
                <w:r>
                  <w:rPr>
                    <w:iCs/>
                    <w:szCs w:val="24"/>
                  </w:rPr>
                  <w:t>5.4.</w:t>
                  <w:tab/>
                </w:r>
                <w:r>
                  <w:rPr>
                    <w:szCs w:val="24"/>
                  </w:rPr>
                  <w:t>Pagal Aprašo Nr. 5 2.2</w:t>
                </w:r>
                <w:r>
                  <w:rPr>
                    <w:szCs w:val="24"/>
                    <w:lang w:eastAsia="lt-LT"/>
                  </w:rPr>
                  <w:t xml:space="preserve"> veiklą įmonių, įstaigų meistrų pedagoginių ir (arba) andragoginių kompetencijų tobulinimas </w:t>
                </w:r>
                <w:r>
                  <w:rPr>
                    <w:szCs w:val="24"/>
                  </w:rPr>
                  <w:t xml:space="preserve">tinkamos finansuoti išlaidos </w:t>
                </w:r>
                <w:r>
                  <w:rPr>
                    <w:i/>
                    <w:szCs w:val="24"/>
                  </w:rPr>
                  <w:t>de minimis</w:t>
                </w:r>
                <w:r>
                  <w:rPr>
                    <w:szCs w:val="24"/>
                  </w:rPr>
                  <w:t xml:space="preserve"> pagalbos gavėjui finansuojamos kaip </w:t>
                </w:r>
                <w:r>
                  <w:rPr>
                    <w:i/>
                    <w:szCs w:val="24"/>
                  </w:rPr>
                  <w:t>de minimis</w:t>
                </w:r>
                <w:r>
                  <w:rPr>
                    <w:szCs w:val="24"/>
                  </w:rPr>
                  <w:t xml:space="preserve"> pagalba visuose sektoriuose, išskyrus Komisijos reglamento </w:t>
                </w:r>
                <w:r>
                  <w:rPr>
                    <w:color w:val="0563C1"/>
                    <w:szCs w:val="24"/>
                    <w:u w:val="single"/>
                  </w:rPr>
                  <w:t>(ES) Nr. 1407/2013</w:t>
                </w:r>
                <w:r>
                  <w:rPr>
                    <w:szCs w:val="24"/>
                  </w:rPr>
                  <w:t xml:space="preserve"> 1 straipsnio 1 dalyje išvardytus sektorius, vadovaujantis šiomis sąlygomis:</w:t>
                </w:r>
              </w:p>
              <w:p w14:paraId="412AC3FE" w14:textId="77777777">
                <w:pPr>
                  <w:tabs>
                    <w:tab w:val="left" w:pos="1276"/>
                  </w:tabs>
                  <w:overflowPunct w:val="0"/>
                  <w:ind w:firstLine="447"/>
                  <w:jc w:val="both"/>
                  <w:textAlignment w:val="baseline"/>
                  <w:rPr>
                    <w:szCs w:val="24"/>
                  </w:rPr>
                </w:pPr>
                <w:r>
                  <w:rPr>
                    <w:szCs w:val="24"/>
                  </w:rPr>
                  <w:t xml:space="preserve">5.4.1. </w:t>
                </w:r>
                <w:r>
                  <w:rPr>
                    <w:i/>
                    <w:szCs w:val="24"/>
                  </w:rPr>
                  <w:t>de minimis</w:t>
                </w:r>
                <w:r>
                  <w:rPr>
                    <w:szCs w:val="24"/>
                  </w:rPr>
                  <w:t xml:space="preserve"> pagalbos dydis diskontuojamas vadovaujantis Komisijos reglamento </w:t>
                </w:r>
                <w:r>
                  <w:rPr>
                    <w:color w:val="0563C1"/>
                    <w:szCs w:val="24"/>
                    <w:u w:val="single"/>
                  </w:rPr>
                  <w:t>(ES) Nr. 1407/2013</w:t>
                </w:r>
                <w:r>
                  <w:rPr>
                    <w:szCs w:val="24"/>
                  </w:rPr>
                  <w:t xml:space="preserve"> 3 straipsnio 6 dalies nuostatomis;</w:t>
                </w:r>
              </w:p>
              <w:p w14:paraId="20ADC409" w14:textId="77777777">
                <w:pPr>
                  <w:tabs>
                    <w:tab w:val="left" w:pos="1276"/>
                  </w:tabs>
                  <w:overflowPunct w:val="0"/>
                  <w:ind w:firstLine="447"/>
                  <w:jc w:val="both"/>
                  <w:textAlignment w:val="baseline"/>
                  <w:rPr>
                    <w:szCs w:val="24"/>
                  </w:rPr>
                </w:pPr>
                <w:r>
                  <w:rPr>
                    <w:szCs w:val="24"/>
                  </w:rPr>
                  <w:t xml:space="preserve">5.4.2. </w:t>
                </w:r>
                <w:r>
                  <w:rPr>
                    <w:i/>
                    <w:szCs w:val="24"/>
                  </w:rPr>
                  <w:t>de minimis</w:t>
                </w:r>
                <w:r>
                  <w:rPr>
                    <w:szCs w:val="24"/>
                  </w:rPr>
                  <w:t xml:space="preserve"> pagalba nėra sumuojama su valstybės pagalba, skiriama toms pačioms tinkamoms išlaidoms finansuoti, jeigu dėl tokio pagalbos kaupimo būtų viršytas bendros išimties reglamente, arba Europos Komisijos priimtame sprendime nustatytas didžiausias atitinkamas pagalbos intensyvumas arba kiekvienu atveju atskirai nustatyta pagalbos suma;</w:t>
                </w:r>
              </w:p>
              <w:p w14:paraId="4546622A" w14:textId="77777777">
                <w:pPr>
                  <w:tabs>
                    <w:tab w:val="left" w:pos="1276"/>
                  </w:tabs>
                  <w:overflowPunct w:val="0"/>
                  <w:ind w:firstLine="447"/>
                  <w:jc w:val="both"/>
                  <w:textAlignment w:val="baseline"/>
                  <w:rPr>
                    <w:szCs w:val="24"/>
                  </w:rPr>
                </w:pPr>
                <w:r>
                  <w:rPr>
                    <w:szCs w:val="24"/>
                  </w:rPr>
                  <w:t xml:space="preserve">5.4.3. jeigu teisės aktas, kurio pagrindu suteikta </w:t>
                </w:r>
                <w:r>
                  <w:rPr>
                    <w:i/>
                    <w:szCs w:val="24"/>
                  </w:rPr>
                  <w:t>de minimis</w:t>
                </w:r>
                <w:r>
                  <w:rPr>
                    <w:szCs w:val="24"/>
                  </w:rPr>
                  <w:t xml:space="preserve"> pagalba, pripažįstamas netekusiu galios, nesuteikta </w:t>
                </w:r>
                <w:r>
                  <w:rPr>
                    <w:i/>
                    <w:szCs w:val="24"/>
                  </w:rPr>
                  <w:t>de minimis</w:t>
                </w:r>
                <w:r>
                  <w:rPr>
                    <w:szCs w:val="24"/>
                  </w:rPr>
                  <w:t xml:space="preserve"> pagalba išregistruojama iš Suteiktos valstybės pagalbos registro Suteiktos valstybės pagalbos registro nuostatuose nustatyta tvarka. </w:t>
                </w:r>
              </w:p>
              <w:p w14:paraId="3830B761" w14:textId="77777777">
                <w:pPr>
                  <w:tabs>
                    <w:tab w:val="left" w:pos="1276"/>
                  </w:tabs>
                  <w:overflowPunct w:val="0"/>
                  <w:jc w:val="both"/>
                  <w:textAlignment w:val="baseline"/>
                  <w:rPr>
                    <w:szCs w:val="24"/>
                  </w:rPr>
                </w:pPr>
                <w:r>
                  <w:rPr>
                    <w:szCs w:val="24"/>
                  </w:rPr>
                  <w:t xml:space="preserve">5.5. Prašomos (galimos) skirti </w:t>
                </w:r>
                <w:r>
                  <w:rPr>
                    <w:i/>
                    <w:szCs w:val="24"/>
                  </w:rPr>
                  <w:t>de minimis</w:t>
                </w:r>
                <w:r>
                  <w:rPr>
                    <w:szCs w:val="24"/>
                  </w:rPr>
                  <w:t xml:space="preserve"> pagalbos sumos konkrečiam </w:t>
                </w:r>
                <w:r>
                  <w:rPr>
                    <w:i/>
                    <w:szCs w:val="24"/>
                  </w:rPr>
                  <w:t>de minimis</w:t>
                </w:r>
                <w:r>
                  <w:rPr>
                    <w:szCs w:val="24"/>
                  </w:rPr>
                  <w:t xml:space="preserve"> pagalbos gavėjui teisėtumas turi būti įrodomas vadovaujantis projekto sutartyje ir Suteiktos valstybės pagalbos registre pateiktais duomenimis šia tvarka:</w:t>
                </w:r>
              </w:p>
              <w:p w14:paraId="3FF7E113" w14:textId="05B78DB6">
                <w:pPr>
                  <w:tabs>
                    <w:tab w:val="left" w:pos="1276"/>
                  </w:tabs>
                  <w:overflowPunct w:val="0"/>
                  <w:ind w:firstLine="447"/>
                  <w:jc w:val="both"/>
                  <w:textAlignment w:val="baseline"/>
                  <w:rPr>
                    <w:szCs w:val="24"/>
                  </w:rPr>
                </w:pPr>
                <w:r>
                  <w:rPr>
                    <w:szCs w:val="24"/>
                  </w:rPr>
                  <w:t>5.5.1. Projekto vykdytojas, gavęs informaciją iš įmonių, įstaigų, įvertina:</w:t>
                </w:r>
              </w:p>
              <w:p w14:paraId="238271C4" w14:textId="50134057">
                <w:pPr>
                  <w:tabs>
                    <w:tab w:val="left" w:pos="1276"/>
                  </w:tabs>
                  <w:overflowPunct w:val="0"/>
                  <w:ind w:firstLine="447"/>
                  <w:jc w:val="both"/>
                  <w:textAlignment w:val="baseline"/>
                  <w:rPr>
                    <w:szCs w:val="24"/>
                  </w:rPr>
                </w:pPr>
                <w:r>
                  <w:rPr>
                    <w:szCs w:val="24"/>
                  </w:rPr>
                  <w:t xml:space="preserve">5.5.1.1. kiekvieno </w:t>
                </w:r>
                <w:r>
                  <w:rPr>
                    <w:i/>
                    <w:szCs w:val="24"/>
                  </w:rPr>
                  <w:t>de minimis</w:t>
                </w:r>
                <w:r>
                  <w:rPr>
                    <w:szCs w:val="24"/>
                  </w:rPr>
                  <w:t xml:space="preserve"> pagalbos gavėjo atitiktį Komisijos reglamento </w:t>
                </w:r>
                <w:r>
                  <w:rPr>
                    <w:color w:val="0563C1"/>
                    <w:szCs w:val="24"/>
                    <w:u w:val="single"/>
                  </w:rPr>
                  <w:t>(ES) Nr. 1407/2013</w:t>
                </w:r>
                <w:r>
                  <w:rPr>
                    <w:szCs w:val="24"/>
                  </w:rPr>
                  <w:t xml:space="preserve"> nustatytiems reikalavimams, užpildydamas Projektų atitikties </w:t>
                </w:r>
                <w:r>
                  <w:rPr>
                    <w:i/>
                    <w:szCs w:val="24"/>
                  </w:rPr>
                  <w:t>de minimis</w:t>
                </w:r>
                <w:r>
                  <w:rPr>
                    <w:szCs w:val="24"/>
                  </w:rPr>
                  <w:t xml:space="preserve"> pagalbos taisyklėms patikros lapą; </w:t>
                </w:r>
              </w:p>
              <w:p w14:paraId="5E533A34" w14:textId="11468433">
                <w:pPr>
                  <w:tabs>
                    <w:tab w:val="left" w:pos="459"/>
                  </w:tabs>
                  <w:ind w:left="34" w:firstLine="387"/>
                  <w:jc w:val="both"/>
                  <w:rPr>
                    <w:szCs w:val="24"/>
                    <w:lang w:eastAsia="lt-LT"/>
                  </w:rPr>
                </w:pPr>
                <w:r>
                  <w:rPr>
                    <w:szCs w:val="24"/>
                  </w:rPr>
                  <w:t xml:space="preserve">5.5.1.2. </w:t>
                </w:r>
                <w:r>
                  <w:rPr>
                    <w:i/>
                    <w:szCs w:val="24"/>
                  </w:rPr>
                  <w:t>de minimis</w:t>
                </w:r>
                <w:r>
                  <w:rPr>
                    <w:szCs w:val="24"/>
                  </w:rPr>
                  <w:t xml:space="preserve"> pagalbos gavėjo sąsajas pagal Komisijos reglamento </w:t>
                </w:r>
                <w:r>
                  <w:rPr>
                    <w:color w:val="0563C1"/>
                    <w:szCs w:val="24"/>
                    <w:u w:val="single"/>
                  </w:rPr>
                  <w:t>(ES) Nr. 1407/2013</w:t>
                </w:r>
                <w:r>
                  <w:rPr>
                    <w:szCs w:val="24"/>
                  </w:rPr>
                  <w:t xml:space="preserve"> „Vienos įmonės“ sąvoką, kaip apibrėžta Komisijos reglamento </w:t>
                </w:r>
                <w:r>
                  <w:rPr>
                    <w:color w:val="0563C1"/>
                    <w:szCs w:val="24"/>
                    <w:u w:val="single"/>
                  </w:rPr>
                  <w:t>(ES) Nr. 1407/2013</w:t>
                </w:r>
                <w:r>
                  <w:rPr>
                    <w:color w:val="0563C1"/>
                    <w:szCs w:val="24"/>
                    <w:u w:val="single"/>
                  </w:rPr>
                  <w:t xml:space="preserve"> </w:t>
                </w:r>
                <w:r>
                  <w:rPr>
                    <w:szCs w:val="24"/>
                  </w:rPr>
                  <w:t>2 straipsnio 2 dalyje,</w:t>
                </w:r>
                <w:r>
                  <w:rPr>
                    <w:i/>
                    <w:szCs w:val="24"/>
                  </w:rPr>
                  <w:t xml:space="preserve"> de minimis</w:t>
                </w:r>
                <w:r>
                  <w:rPr>
                    <w:szCs w:val="24"/>
                  </w:rPr>
                  <w:t xml:space="preserve"> pagalbos gavėjui užpildžius „Vienos įmonės“ deklaraciją, kurios forma yra Aprašo Nr. 5 2  priede;</w:t>
                </w:r>
              </w:p>
              <w:p w14:paraId="39ECBA1A" w14:textId="14CCE8D9">
                <w:pPr>
                  <w:tabs>
                    <w:tab w:val="left" w:pos="1276"/>
                  </w:tabs>
                  <w:overflowPunct w:val="0"/>
                  <w:ind w:firstLine="413"/>
                  <w:jc w:val="both"/>
                  <w:textAlignment w:val="baseline"/>
                  <w:rPr>
                    <w:szCs w:val="24"/>
                  </w:rPr>
                </w:pPr>
                <w:r>
                  <w:rPr>
                    <w:szCs w:val="24"/>
                  </w:rPr>
                  <w:t xml:space="preserve">5.5.1.3. ar nebus viršyta </w:t>
                </w:r>
                <w:r>
                  <w:rPr>
                    <w:i/>
                    <w:szCs w:val="24"/>
                  </w:rPr>
                  <w:t>de minimis</w:t>
                </w:r>
                <w:r>
                  <w:rPr>
                    <w:szCs w:val="24"/>
                  </w:rPr>
                  <w:t xml:space="preserve"> pagalbos suteikimo riba: bendra </w:t>
                </w:r>
                <w:r>
                  <w:rPr>
                    <w:i/>
                    <w:szCs w:val="24"/>
                  </w:rPr>
                  <w:t>de minimis</w:t>
                </w:r>
                <w:r>
                  <w:rPr>
                    <w:szCs w:val="24"/>
                  </w:rPr>
                  <w:t xml:space="preserve"> pagalbos suma, suteikta „vienai įmonei“ pagal Komisijos reglamentą </w:t>
                </w:r>
                <w:r>
                  <w:rPr>
                    <w:color w:val="0563C1"/>
                    <w:szCs w:val="24"/>
                    <w:u w:val="single"/>
                  </w:rPr>
                  <w:t>(ES) Nr. 1407/2013</w:t>
                </w:r>
                <w:r>
                  <w:rPr>
                    <w:szCs w:val="24"/>
                  </w:rPr>
                  <w:t xml:space="preserve">, negali viršyti 200 000 Eur (dviejų šimtų tūkstančių eurų) ribos per bet kurį trejų finansinių metų laikotarpį, </w:t>
                </w:r>
                <w:r>
                  <w:rPr>
                    <w:szCs w:val="24"/>
                    <w:lang w:eastAsia="lt-LT"/>
                  </w:rPr>
                  <w:t>o jei įmonė vykdo krovinių vežimo keliais veiklą – 100 000,00 Eur (vieno šimto tūkstančio eurų) ribos</w:t>
                </w:r>
                <w:r>
                  <w:rPr>
                    <w:color w:val="1F4E79"/>
                    <w:szCs w:val="24"/>
                  </w:rPr>
                  <w:t>.</w:t>
                </w:r>
                <w:r>
                  <w:rPr>
                    <w:szCs w:val="24"/>
                  </w:rPr>
                  <w:t xml:space="preserve"> </w:t>
                </w:r>
              </w:p>
              <w:p w14:paraId="49AC4FC9" w14:textId="0F4E3AD4">
                <w:pPr>
                  <w:tabs>
                    <w:tab w:val="left" w:pos="993"/>
                  </w:tabs>
                  <w:overflowPunct w:val="0"/>
                  <w:jc w:val="both"/>
                  <w:textAlignment w:val="baseline"/>
                  <w:rPr>
                    <w:szCs w:val="24"/>
                  </w:rPr>
                </w:pPr>
                <w:r>
                  <w:rPr>
                    <w:szCs w:val="24"/>
                  </w:rPr>
                  <w:t xml:space="preserve">5.6. Projekto vykdytojas, atlikęs Aprašo Nr. 5 5.5 papunktyje nurodytą įvertinimą, priima sprendimą dėl </w:t>
                </w:r>
                <w:r>
                  <w:rPr>
                    <w:i/>
                    <w:szCs w:val="24"/>
                  </w:rPr>
                  <w:t>de minimis</w:t>
                </w:r>
                <w:r>
                  <w:rPr>
                    <w:szCs w:val="24"/>
                  </w:rPr>
                  <w:t xml:space="preserve"> pagalbos priskyrimo konkretiems </w:t>
                </w:r>
                <w:r>
                  <w:rPr>
                    <w:i/>
                    <w:szCs w:val="24"/>
                  </w:rPr>
                  <w:t xml:space="preserve">de minimis </w:t>
                </w:r>
                <w:r>
                  <w:rPr>
                    <w:szCs w:val="24"/>
                  </w:rPr>
                  <w:t xml:space="preserve">pagalbos gavėjams ir </w:t>
                </w:r>
                <w:r>
                  <w:rPr>
                    <w:i/>
                    <w:szCs w:val="24"/>
                  </w:rPr>
                  <w:t>de minimis</w:t>
                </w:r>
                <w:r>
                  <w:rPr>
                    <w:szCs w:val="24"/>
                  </w:rPr>
                  <w:t xml:space="preserve"> pagalbos sumą registruoja Suteiktos valstybės pagalbos registre per 5 darbo dienas nuo priimto sprendimo ją suteikti. </w:t>
                </w:r>
              </w:p>
              <w:p w14:paraId="727DB1C6" w14:textId="7C01956B">
                <w:pPr>
                  <w:tabs>
                    <w:tab w:val="left" w:pos="1276"/>
                  </w:tabs>
                  <w:overflowPunct w:val="0"/>
                  <w:jc w:val="both"/>
                  <w:textAlignment w:val="baseline"/>
                  <w:rPr>
                    <w:szCs w:val="24"/>
                  </w:rPr>
                </w:pPr>
                <w:r>
                  <w:rPr>
                    <w:szCs w:val="24"/>
                  </w:rPr>
                  <w:t xml:space="preserve">5.7. Projekto vykdytojas informuoja administruojančią instituciją apie priimtą sprendimą dėl </w:t>
                </w:r>
                <w:r>
                  <w:rPr>
                    <w:i/>
                    <w:szCs w:val="24"/>
                  </w:rPr>
                  <w:t>de minimis</w:t>
                </w:r>
                <w:r>
                  <w:rPr>
                    <w:szCs w:val="24"/>
                  </w:rPr>
                  <w:t xml:space="preserve"> pagalbos priskyrimo konkretiems </w:t>
                </w:r>
                <w:r>
                  <w:rPr>
                    <w:i/>
                    <w:szCs w:val="24"/>
                  </w:rPr>
                  <w:t>de minimis</w:t>
                </w:r>
                <w:r>
                  <w:rPr>
                    <w:szCs w:val="24"/>
                  </w:rPr>
                  <w:t xml:space="preserve"> pagalbos gavėjams, nurodydamas </w:t>
                </w:r>
                <w:r>
                  <w:rPr>
                    <w:i/>
                    <w:szCs w:val="24"/>
                  </w:rPr>
                  <w:t>de minimis</w:t>
                </w:r>
                <w:r>
                  <w:rPr>
                    <w:szCs w:val="24"/>
                  </w:rPr>
                  <w:t xml:space="preserve"> pagalbos dydį bei pobūdį konkretiems </w:t>
                </w:r>
                <w:r>
                  <w:rPr>
                    <w:i/>
                    <w:szCs w:val="24"/>
                  </w:rPr>
                  <w:t>de minimis</w:t>
                </w:r>
                <w:r>
                  <w:rPr>
                    <w:szCs w:val="24"/>
                  </w:rPr>
                  <w:t xml:space="preserve"> pagalbos gavėjams, pateikdamas aiškią nuorodą į Komisijos reglamentą </w:t>
                </w:r>
                <w:r>
                  <w:rPr>
                    <w:color w:val="0563C1"/>
                    <w:szCs w:val="24"/>
                    <w:u w:val="single"/>
                  </w:rPr>
                  <w:t>(ES) Nr. 1407/2013</w:t>
                </w:r>
                <w:r>
                  <w:rPr>
                    <w:szCs w:val="24"/>
                  </w:rPr>
                  <w:t xml:space="preserve"> (nurodydamas reglamento pavadinimą bei skelbimo Europos Sąjungos oficialiajame leidinyje numerį), išskyrus tuos atvejus, kai priskaičiuotos </w:t>
                </w:r>
                <w:r>
                  <w:rPr>
                    <w:i/>
                    <w:szCs w:val="24"/>
                  </w:rPr>
                  <w:t>de minimis</w:t>
                </w:r>
                <w:r>
                  <w:rPr>
                    <w:szCs w:val="24"/>
                  </w:rPr>
                  <w:t xml:space="preserve"> pagalbos dydis lygus 0. </w:t>
                </w:r>
              </w:p>
              <w:p w14:paraId="7E0D5FD6" w14:textId="441D2806">
                <w:pPr>
                  <w:tabs>
                    <w:tab w:val="left" w:pos="1276"/>
                  </w:tabs>
                  <w:overflowPunct w:val="0"/>
                  <w:jc w:val="both"/>
                  <w:textAlignment w:val="baseline"/>
                  <w:rPr>
                    <w:szCs w:val="24"/>
                  </w:rPr>
                </w:pPr>
                <w:r>
                  <w:rPr>
                    <w:szCs w:val="24"/>
                  </w:rPr>
                  <w:t xml:space="preserve">5.8. Projekto vykdytojas raštu arba elektroniniu paštu informuoja </w:t>
                </w:r>
                <w:r>
                  <w:rPr>
                    <w:i/>
                    <w:szCs w:val="24"/>
                  </w:rPr>
                  <w:t>de minimis</w:t>
                </w:r>
                <w:r>
                  <w:rPr>
                    <w:szCs w:val="24"/>
                  </w:rPr>
                  <w:t xml:space="preserve"> pagalbos gavėjus apie priimtą sprendimą, nurodydamas </w:t>
                </w:r>
                <w:r>
                  <w:rPr>
                    <w:i/>
                    <w:szCs w:val="24"/>
                  </w:rPr>
                  <w:t>de minimis</w:t>
                </w:r>
                <w:r>
                  <w:rPr>
                    <w:szCs w:val="24"/>
                  </w:rPr>
                  <w:t xml:space="preserve"> pagalbos dydį bei pobūdį, pateikdamas aiškią nuorodą į Komisijos reglamentą </w:t>
                </w:r>
                <w:r>
                  <w:rPr>
                    <w:color w:val="0563C1"/>
                    <w:szCs w:val="24"/>
                    <w:u w:val="single"/>
                  </w:rPr>
                  <w:t>(ES) Nr. 1407/2013</w:t>
                </w:r>
                <w:r>
                  <w:rPr>
                    <w:szCs w:val="24"/>
                  </w:rPr>
                  <w:t xml:space="preserve"> (nurodydamas reglamento pavadinimą bei skelbimo Europos Sąjungos oficialiajame leidinyje numerį), išskyrus tuos atvejus, kai priskaičiuotos </w:t>
                </w:r>
                <w:r>
                  <w:rPr>
                    <w:i/>
                    <w:szCs w:val="24"/>
                  </w:rPr>
                  <w:t>de minimis</w:t>
                </w:r>
                <w:r>
                  <w:rPr>
                    <w:szCs w:val="24"/>
                  </w:rPr>
                  <w:t xml:space="preserve"> pagalbos dydis lygus 0. </w:t>
                </w:r>
              </w:p>
              <w:p w14:paraId="5B19FE60" w14:textId="5A49063A">
                <w:pPr>
                  <w:tabs>
                    <w:tab w:val="left" w:pos="1276"/>
                  </w:tabs>
                  <w:overflowPunct w:val="0"/>
                  <w:jc w:val="both"/>
                  <w:textAlignment w:val="baseline"/>
                  <w:rPr>
                    <w:szCs w:val="24"/>
                  </w:rPr>
                </w:pPr>
                <w:r>
                  <w:rPr>
                    <w:szCs w:val="24"/>
                  </w:rPr>
                  <w:t xml:space="preserve">5.9. Vadovaujantis Komisijos reglamento  (ES) Nr. 1407/2013 6 straipsnio 4 punkte numatytomis nuostatomis,  duomenys apie individualiai suteiktą de minimis pagalbą saugomi 10 finansinių metų nuo pagalbos suteikimo datos. Duomenys apie de minimis pagalbos schemą saugomi 10 finansinių metų nuo datos, kada paskutinį kartą pagal tokią schemą buvo suteikta individuali pagalba.</w:t>
                </w:r>
              </w:p>
            </w:tc>
          </w:tr>
          <w:tr w14:paraId="2C7C015A" w14:textId="77777777">
            <w:trPr>
              <w:gridAfter w:val="1"/>
              <w:wAfter w:w="34" w:type="dxa"/>
            </w:trPr>
            <w:tc>
              <w:tcPr>
                <w:tcW w:w="14709" w:type="dxa"/>
                <w:gridSpan w:val="5"/>
              </w:tcPr>
              <w:p w14:paraId="3BC916C9" w14:textId="77777777">
                <w:pPr>
                  <w:ind w:left="426" w:hanging="426"/>
                  <w:jc w:val="both"/>
                  <w:rPr>
                    <w:i/>
                    <w:szCs w:val="24"/>
                  </w:rPr>
                </w:pPr>
                <w:r>
                  <w:rPr>
                    <w:b/>
                    <w:szCs w:val="24"/>
                  </w:rPr>
                  <w:t>6. Projektų atrankos kriterijai</w:t>
                </w:r>
              </w:p>
            </w:tc>
          </w:tr>
          <w:tr w14:paraId="110FB44E" w14:textId="77777777">
            <w:trPr>
              <w:gridAfter w:val="1"/>
              <w:wAfter w:w="34" w:type="dxa"/>
              <w:trHeight w:val="363"/>
            </w:trPr>
            <w:tc>
              <w:tcPr>
                <w:tcW w:w="14709" w:type="dxa"/>
                <w:gridSpan w:val="5"/>
              </w:tcPr>
              <w:p w14:paraId="2C4C957D" w14:textId="77777777">
                <w:pPr>
                  <w:jc w:val="both"/>
                  <w:rPr>
                    <w:iCs/>
                    <w:szCs w:val="24"/>
                  </w:rPr>
                </w:pPr>
                <w:r>
                  <w:rPr>
                    <w:iCs/>
                    <w:szCs w:val="24"/>
                  </w:rPr>
                  <w:t>Projektų specialieji ir (arba) prioritetiniai atrankos kriterijai nėra nustatomi.</w:t>
                </w:r>
              </w:p>
            </w:tc>
          </w:tr>
          <w:tr w14:paraId="5B5123F7" w14:textId="77777777">
            <w:trPr>
              <w:gridAfter w:val="1"/>
              <w:wAfter w:w="34" w:type="dxa"/>
              <w:trHeight w:val="309"/>
            </w:trPr>
            <w:tc>
              <w:tcPr>
                <w:tcW w:w="14709" w:type="dxa"/>
                <w:gridSpan w:val="5"/>
              </w:tcPr>
              <w:p w14:paraId="2284CA49" w14:textId="77777777">
                <w:pPr>
                  <w:jc w:val="both"/>
                  <w:rPr>
                    <w:i/>
                    <w:szCs w:val="24"/>
                  </w:rPr>
                </w:pPr>
                <w:r>
                  <w:rPr>
                    <w:b/>
                    <w:szCs w:val="24"/>
                  </w:rPr>
                  <w:t xml:space="preserve">6.1. Jungtinio projekto projektų atrankos kriterijai </w:t>
                </w:r>
                <w:r>
                  <w:rPr>
                    <w:szCs w:val="24"/>
                  </w:rPr>
                  <w:t>(</w:t>
                </w:r>
                <w:r>
                  <w:rPr>
                    <w:i/>
                    <w:szCs w:val="24"/>
                  </w:rPr>
                  <w:t>pildoma tik jungtiniam projektui)</w:t>
                </w:r>
              </w:p>
            </w:tc>
          </w:tr>
          <w:tr w14:paraId="1C25F95B" w14:textId="77777777">
            <w:trPr>
              <w:gridAfter w:val="1"/>
              <w:wAfter w:w="34" w:type="dxa"/>
              <w:trHeight w:val="302"/>
            </w:trPr>
            <w:tc>
              <w:tcPr>
                <w:tcW w:w="14709" w:type="dxa"/>
                <w:gridSpan w:val="5"/>
              </w:tcPr>
              <w:p w14:paraId="52DDA594" w14:textId="77777777">
                <w:pPr>
                  <w:jc w:val="both"/>
                  <w:rPr>
                    <w:iCs/>
                    <w:szCs w:val="24"/>
                  </w:rPr>
                </w:pPr>
                <w:r>
                  <w:rPr>
                    <w:iCs/>
                    <w:szCs w:val="24"/>
                  </w:rPr>
                  <w:t>Jungtinis projektas nenumatytas. Jungtinio projekto specialieji ir (arba) prioritetiniai atrankos kriterijai netaikomi.</w:t>
                </w:r>
              </w:p>
            </w:tc>
          </w:tr>
          <w:tr w14:paraId="4994507B" w14:textId="77777777">
            <w:trPr>
              <w:gridAfter w:val="1"/>
              <w:wAfter w:w="34" w:type="dxa"/>
            </w:trPr>
            <w:tc>
              <w:tcPr>
                <w:tcW w:w="14709" w:type="dxa"/>
                <w:gridSpan w:val="5"/>
              </w:tcPr>
              <w:p w14:paraId="77DBE2AF" w14:textId="77777777">
                <w:pPr>
                  <w:rPr>
                    <w:b/>
                    <w:szCs w:val="24"/>
                  </w:rPr>
                </w:pPr>
                <w:r>
                  <w:rPr>
                    <w:b/>
                    <w:szCs w:val="24"/>
                  </w:rPr>
                  <w:t xml:space="preserve">7. Reikalavimai įgyvendinus projektų veiklas </w:t>
                </w:r>
              </w:p>
            </w:tc>
          </w:tr>
          <w:tr w14:paraId="0D85EBCE" w14:textId="77777777">
            <w:trPr>
              <w:gridAfter w:val="1"/>
              <w:wAfter w:w="34" w:type="dxa"/>
            </w:trPr>
            <w:tc>
              <w:tcPr>
                <w:tcW w:w="14709" w:type="dxa"/>
                <w:gridSpan w:val="5"/>
              </w:tcPr>
              <w:p w14:paraId="59E050BB" w14:textId="77777777">
                <w:pPr>
                  <w:rPr>
                    <w:iCs/>
                    <w:szCs w:val="24"/>
                  </w:rPr>
                </w:pPr>
                <w:r>
                  <w:rPr>
                    <w:iCs/>
                    <w:szCs w:val="24"/>
                  </w:rPr>
                  <w:t>Papildomi reikalavimai įgyvendinus projekto veiklas, kurie nenumatyti Projektų administravimo ir finansavimo taisyklėse, nėra taikomi.</w:t>
                </w:r>
              </w:p>
            </w:tc>
          </w:tr>
          <w:tr w14:paraId="44291121" w14:textId="77777777">
            <w:trPr>
              <w:gridAfter w:val="1"/>
              <w:wAfter w:w="34" w:type="dxa"/>
            </w:trPr>
            <w:tc>
              <w:tcPr>
                <w:tcW w:w="14709" w:type="dxa"/>
                <w:gridSpan w:val="5"/>
              </w:tcPr>
              <w:p w14:paraId="65B3F774" w14:textId="77777777">
                <w:pPr>
                  <w:rPr>
                    <w:szCs w:val="24"/>
                  </w:rPr>
                </w:pPr>
                <w:r>
                  <w:rPr>
                    <w:b/>
                    <w:szCs w:val="24"/>
                  </w:rPr>
                  <w:t>8. Kiti reikalavimai</w:t>
                </w:r>
              </w:p>
            </w:tc>
          </w:tr>
          <w:tr w14:paraId="1A9922CB" w14:textId="77777777">
            <w:trPr>
              <w:gridAfter w:val="1"/>
              <w:wAfter w:w="34" w:type="dxa"/>
            </w:trPr>
            <w:tc>
              <w:tcPr>
                <w:tcW w:w="14709" w:type="dxa"/>
                <w:gridSpan w:val="5"/>
              </w:tcPr>
              <w:p w14:paraId="7682FFB8" w14:textId="77777777">
                <w:pPr>
                  <w:tabs>
                    <w:tab w:val="left" w:pos="1134"/>
                  </w:tabs>
                  <w:jc w:val="both"/>
                  <w:rPr>
                    <w:iCs/>
                    <w:szCs w:val="24"/>
                  </w:rPr>
                </w:pPr>
                <w:r>
                  <w:rPr>
                    <w:iCs/>
                    <w:szCs w:val="24"/>
                  </w:rPr>
                  <w:t xml:space="preserve">Kiti reikalavimai, kurie nenumatyti Projektų administravimo ir finansavimo taisyklėse, nėra taikomi.   </w:t>
                </w:r>
              </w:p>
            </w:tc>
          </w:tr>
          <w:tr w14:paraId="2F504A23" w14:textId="77777777">
            <w:trPr>
              <w:gridAfter w:val="1"/>
              <w:wAfter w:w="34" w:type="dxa"/>
            </w:trPr>
            <w:tc>
              <w:tcPr>
                <w:tcW w:w="14709" w:type="dxa"/>
                <w:gridSpan w:val="5"/>
              </w:tcPr>
              <w:p w14:paraId="7FD87D6A" w14:textId="77777777">
                <w:pPr>
                  <w:rPr>
                    <w:b/>
                    <w:szCs w:val="24"/>
                  </w:rPr>
                </w:pPr>
                <w:r>
                  <w:rPr>
                    <w:b/>
                    <w:szCs w:val="24"/>
                  </w:rPr>
                  <w:t>IŠLAIDŲ TINKAMUMO FINANSUOTI REIKALAVIMAI</w:t>
                </w:r>
              </w:p>
            </w:tc>
          </w:tr>
          <w:tr w14:paraId="42CE6CCF" w14:textId="77777777">
            <w:trPr>
              <w:gridAfter w:val="1"/>
              <w:wAfter w:w="34" w:type="dxa"/>
            </w:trPr>
            <w:tc>
              <w:tcPr>
                <w:tcW w:w="14709" w:type="dxa"/>
                <w:gridSpan w:val="5"/>
              </w:tcPr>
              <w:p w14:paraId="3638F9A8" w14:textId="77777777">
                <w:pPr>
                  <w:jc w:val="both"/>
                  <w:rPr>
                    <w:b/>
                    <w:szCs w:val="24"/>
                  </w:rPr>
                </w:pPr>
                <w:r>
                  <w:rPr>
                    <w:b/>
                    <w:szCs w:val="24"/>
                  </w:rPr>
                  <w:t>9. Išlaidų tinkamumo finansuoti reikalavimai</w:t>
                </w:r>
              </w:p>
            </w:tc>
          </w:tr>
          <w:tr w14:paraId="5DD50FA9" w14:textId="77777777">
            <w:trPr>
              <w:gridAfter w:val="1"/>
              <w:wAfter w:w="34" w:type="dxa"/>
            </w:trPr>
            <w:tc>
              <w:tcPr>
                <w:tcW w:w="14709" w:type="dxa"/>
                <w:gridSpan w:val="5"/>
              </w:tcPr>
              <w:p w14:paraId="043125AF" w14:textId="1112632D">
                <w:pPr>
                  <w:jc w:val="both"/>
                  <w:rPr>
                    <w:bCs/>
                    <w:szCs w:val="24"/>
                  </w:rPr>
                </w:pPr>
                <w:r>
                  <w:rPr>
                    <w:bCs/>
                    <w:szCs w:val="24"/>
                  </w:rPr>
                  <w:t xml:space="preserve">9.1. Projektų išlaidos turi atitikti Projektų administravimo ir finansavimo taisyklių VII skyriuje „Projektų išlaidų reikalavimai“ išdėstytus projektų išlaidoms taikomus reikalavimus. </w:t>
                </w:r>
              </w:p>
              <w:p w14:paraId="48649026" w14:textId="6F12BC27">
                <w:pPr>
                  <w:jc w:val="both"/>
                  <w:rPr>
                    <w:szCs w:val="24"/>
                  </w:rPr>
                </w:pPr>
                <w:r>
                  <w:rPr>
                    <w:bCs/>
                    <w:szCs w:val="24"/>
                  </w:rPr>
                  <w:t xml:space="preserve">9.2. </w:t>
                </w:r>
                <w:r>
                  <w:rPr>
                    <w:szCs w:val="24"/>
                  </w:rPr>
                  <w:t>Kryžminis finansavimas netaikomas.</w:t>
                </w:r>
              </w:p>
              <w:p w14:paraId="52BD5B03" w14:textId="0412BF83">
                <w:pPr>
                  <w:jc w:val="both"/>
                  <w:rPr>
                    <w:szCs w:val="24"/>
                  </w:rPr>
                </w:pPr>
                <w:r>
                  <w:rPr>
                    <w:szCs w:val="24"/>
                  </w:rPr>
                  <w:t>9.3. Įgyvendinant projektą nepiniginis projekto vykdytojo / projekto partnerio įnašas yra netinkamos finansuoti išlaidos.</w:t>
                </w:r>
              </w:p>
              <w:p w14:paraId="6C7F4DF0" w14:textId="59522C2B">
                <w:pPr>
                  <w:jc w:val="both"/>
                  <w:rPr>
                    <w:bCs/>
                    <w:szCs w:val="24"/>
                  </w:rPr>
                </w:pPr>
                <w:r>
                  <w:rPr>
                    <w:bCs/>
                    <w:szCs w:val="24"/>
                  </w:rPr>
                  <w:t>9.4. Pagal Aprašą Nr. 5 tinkamų finansuoti išlaidų rūšys yra šios:</w:t>
                </w:r>
              </w:p>
              <w:p w14:paraId="6ADDE633" w14:textId="77777777">
                <w:pPr>
                  <w:ind w:left="447"/>
                  <w:jc w:val="both"/>
                  <w:rPr>
                    <w:b/>
                    <w:szCs w:val="24"/>
                  </w:rPr>
                </w:pPr>
              </w:p>
            </w:tc>
          </w:tr>
          <w:tr w14:paraId="071B6F33" w14:textId="77777777">
            <w:trPr>
              <w:gridAfter w:val="1"/>
              <w:wAfter w:w="34" w:type="dxa"/>
              <w:trHeight w:val="2835"/>
            </w:trPr>
            <w:tc>
              <w:tcPr>
                <w:tcW w:w="14709" w:type="dxa"/>
                <w:gridSpan w:val="5"/>
              </w:tcPr>
              <w:tbl>
                <w:tblPr>
                  <w:tblW w:w="14325" w:type="dxa"/>
                  <w:tblBorders>
                    <w:top w:val="outset" w:sz="6" w:space="0" w:color="auto"/>
                    <w:left w:val="outset" w:sz="6" w:space="0" w:color="auto"/>
                    <w:bottom w:val="outset" w:sz="6" w:space="0" w:color="auto"/>
                    <w:right w:val="outset" w:sz="6" w:space="0" w:color="auto"/>
                  </w:tblBorders>
                  <w:tblLayout w:type="fixed"/>
                  <w:tblCellMar>
                    <w:left w:w="0" w:type="dxa"/>
                    <w:right w:w="0" w:type="dxa"/>
                  </w:tblCellMar>
                  <w:tblLook w:val="04A0" w:firstRow="1" w:lastRow="0" w:firstColumn="1" w:lastColumn="0" w:noHBand="0" w:noVBand="1"/>
                </w:tblPr>
                <w:tblGrid>
                  <w:gridCol w:w="855"/>
                  <w:gridCol w:w="3270"/>
                  <w:gridCol w:w="10200"/>
                </w:tblGrid>
                <w:tr w14:paraId="24EE8DE1" w14:textId="77777777">
                  <w:tc>
                    <w:tcPr>
                      <w:tcW w:w="855" w:type="dxa"/>
                      <w:tcBorders>
                        <w:top w:val="single" w:sz="6" w:space="0" w:color="auto"/>
                        <w:left w:val="single" w:sz="6" w:space="0" w:color="auto"/>
                        <w:bottom w:val="single" w:sz="6" w:space="0" w:color="auto"/>
                        <w:right w:val="single" w:sz="6" w:space="0" w:color="auto"/>
                      </w:tcBorders>
                      <w:shd w:val="clear" w:color="auto" w:fill="auto"/>
                      <w:hideMark/>
                    </w:tcPr>
                    <w:p w14:paraId="51C6BE34" w14:textId="77777777">
                      <w:pPr>
                        <w:jc w:val="center"/>
                        <w:textAlignment w:val="baseline"/>
                        <w:rPr>
                          <w:szCs w:val="24"/>
                          <w:lang w:eastAsia="lt-LT"/>
                        </w:rPr>
                      </w:pPr>
                      <w:r>
                        <w:rPr>
                          <w:b/>
                          <w:bCs/>
                          <w:szCs w:val="24"/>
                          <w:lang w:eastAsia="lt-LT"/>
                        </w:rPr>
                        <w:t>Eil. Nr.</w:t>
                      </w:r>
                      <w:r>
                        <w:rPr>
                          <w:szCs w:val="24"/>
                          <w:lang w:eastAsia="lt-LT"/>
                        </w:rPr>
                        <w:t> </w:t>
                      </w:r>
                    </w:p>
                  </w:tc>
                  <w:tc>
                    <w:tcPr>
                      <w:tcW w:w="3270" w:type="dxa"/>
                      <w:tcBorders>
                        <w:top w:val="single" w:sz="6" w:space="0" w:color="auto"/>
                        <w:left w:val="single" w:sz="6" w:space="0" w:color="auto"/>
                        <w:bottom w:val="single" w:sz="6" w:space="0" w:color="auto"/>
                        <w:right w:val="single" w:sz="6" w:space="0" w:color="auto"/>
                      </w:tcBorders>
                      <w:shd w:val="clear" w:color="auto" w:fill="auto"/>
                      <w:hideMark/>
                    </w:tcPr>
                    <w:p w14:paraId="507BBBBD" w14:textId="77777777">
                      <w:pPr>
                        <w:jc w:val="center"/>
                        <w:textAlignment w:val="baseline"/>
                        <w:rPr>
                          <w:szCs w:val="24"/>
                          <w:lang w:eastAsia="lt-LT"/>
                        </w:rPr>
                      </w:pPr>
                      <w:r>
                        <w:rPr>
                          <w:b/>
                          <w:bCs/>
                          <w:szCs w:val="24"/>
                          <w:lang w:eastAsia="lt-LT"/>
                        </w:rPr>
                        <w:t>Išlaidų rūšis</w:t>
                      </w:r>
                      <w:r>
                        <w:rPr>
                          <w:szCs w:val="24"/>
                          <w:lang w:eastAsia="lt-LT"/>
                        </w:rPr>
                        <w:t> </w:t>
                      </w:r>
                    </w:p>
                  </w:tc>
                  <w:tc>
                    <w:tcPr>
                      <w:tcW w:w="10200" w:type="dxa"/>
                      <w:tcBorders>
                        <w:top w:val="single" w:sz="6" w:space="0" w:color="auto"/>
                        <w:left w:val="single" w:sz="6" w:space="0" w:color="auto"/>
                        <w:bottom w:val="single" w:sz="6" w:space="0" w:color="auto"/>
                        <w:right w:val="single" w:sz="6" w:space="0" w:color="auto"/>
                      </w:tcBorders>
                      <w:shd w:val="clear" w:color="auto" w:fill="auto"/>
                      <w:hideMark/>
                    </w:tcPr>
                    <w:p w14:paraId="35DE1C40" w14:textId="77777777">
                      <w:pPr>
                        <w:jc w:val="center"/>
                        <w:textAlignment w:val="baseline"/>
                        <w:rPr>
                          <w:szCs w:val="24"/>
                          <w:lang w:eastAsia="lt-LT"/>
                        </w:rPr>
                      </w:pPr>
                      <w:r>
                        <w:rPr>
                          <w:b/>
                          <w:bCs/>
                          <w:szCs w:val="24"/>
                          <w:lang w:eastAsia="lt-LT"/>
                        </w:rPr>
                        <w:t>Reikalavimai ir paaiškinimai</w:t>
                      </w:r>
                      <w:r>
                        <w:rPr>
                          <w:szCs w:val="24"/>
                          <w:lang w:eastAsia="lt-LT"/>
                        </w:rPr>
                        <w:t> </w:t>
                      </w:r>
                    </w:p>
                  </w:tc>
                </w:tr>
                <w:tr w14:paraId="06DCF2CB" w14:textId="77777777">
                  <w:tc>
                    <w:tcPr>
                      <w:tcW w:w="855" w:type="dxa"/>
                      <w:tcBorders>
                        <w:top w:val="single" w:sz="6" w:space="0" w:color="auto"/>
                        <w:left w:val="single" w:sz="6" w:space="0" w:color="auto"/>
                        <w:bottom w:val="single" w:sz="6" w:space="0" w:color="auto"/>
                        <w:right w:val="single" w:sz="6" w:space="0" w:color="auto"/>
                      </w:tcBorders>
                      <w:shd w:val="clear" w:color="auto" w:fill="auto"/>
                    </w:tcPr>
                    <w:p w14:paraId="2CEA13C4" w14:textId="0F10F936">
                      <w:pPr>
                        <w:jc w:val="both"/>
                        <w:textAlignment w:val="baseline"/>
                        <w:rPr>
                          <w:szCs w:val="24"/>
                          <w:lang w:eastAsia="lt-LT"/>
                        </w:rPr>
                      </w:pPr>
                      <w:r>
                        <w:rPr>
                          <w:szCs w:val="24"/>
                          <w:lang w:eastAsia="lt-LT"/>
                        </w:rPr>
                        <w:t>1.</w:t>
                      </w:r>
                    </w:p>
                  </w:tc>
                  <w:tc>
                    <w:tcPr>
                      <w:tcW w:w="3270" w:type="dxa"/>
                      <w:tcBorders>
                        <w:top w:val="single" w:sz="6" w:space="0" w:color="auto"/>
                        <w:left w:val="single" w:sz="6" w:space="0" w:color="auto"/>
                        <w:bottom w:val="single" w:sz="6" w:space="0" w:color="auto"/>
                        <w:right w:val="single" w:sz="6" w:space="0" w:color="auto"/>
                      </w:tcBorders>
                      <w:shd w:val="clear" w:color="auto" w:fill="auto"/>
                    </w:tcPr>
                    <w:p w14:paraId="2B051900" w14:textId="1296739C">
                      <w:pPr>
                        <w:jc w:val="both"/>
                        <w:textAlignment w:val="baseline"/>
                        <w:rPr>
                          <w:szCs w:val="24"/>
                          <w:lang w:eastAsia="lt-LT"/>
                        </w:rPr>
                      </w:pPr>
                      <w:r>
                        <w:rPr>
                          <w:szCs w:val="24"/>
                          <w:lang w:eastAsia="lt-LT"/>
                        </w:rPr>
                        <w:t>Žemė</w:t>
                      </w:r>
                    </w:p>
                  </w:tc>
                  <w:tc>
                    <w:tcPr>
                      <w:tcW w:w="10200" w:type="dxa"/>
                      <w:tcBorders>
                        <w:top w:val="single" w:sz="6" w:space="0" w:color="auto"/>
                        <w:left w:val="single" w:sz="6" w:space="0" w:color="auto"/>
                        <w:bottom w:val="single" w:sz="6" w:space="0" w:color="auto"/>
                        <w:right w:val="single" w:sz="6" w:space="0" w:color="auto"/>
                      </w:tcBorders>
                      <w:shd w:val="clear" w:color="auto" w:fill="auto"/>
                    </w:tcPr>
                    <w:p w14:paraId="7D9CE3D2" w14:textId="2B09B6B2">
                      <w:pPr>
                        <w:jc w:val="both"/>
                        <w:rPr>
                          <w:szCs w:val="24"/>
                          <w:lang w:eastAsia="lt-LT"/>
                        </w:rPr>
                      </w:pPr>
                      <w:r>
                        <w:rPr>
                          <w:szCs w:val="24"/>
                          <w:lang w:eastAsia="lt-LT"/>
                        </w:rPr>
                        <w:t>Netinkama finansuoti.</w:t>
                      </w:r>
                    </w:p>
                  </w:tc>
                </w:tr>
                <w:tr w14:paraId="0D1F1543" w14:textId="77777777">
                  <w:tc>
                    <w:tcPr>
                      <w:tcW w:w="855" w:type="dxa"/>
                      <w:tcBorders>
                        <w:top w:val="single" w:sz="6" w:space="0" w:color="auto"/>
                        <w:left w:val="single" w:sz="6" w:space="0" w:color="auto"/>
                        <w:bottom w:val="single" w:sz="6" w:space="0" w:color="auto"/>
                        <w:right w:val="single" w:sz="6" w:space="0" w:color="auto"/>
                      </w:tcBorders>
                      <w:shd w:val="clear" w:color="auto" w:fill="auto"/>
                    </w:tcPr>
                    <w:p w14:paraId="7AF88DDF" w14:textId="2D8F0BDF">
                      <w:pPr>
                        <w:jc w:val="both"/>
                        <w:textAlignment w:val="baseline"/>
                        <w:rPr>
                          <w:szCs w:val="24"/>
                          <w:lang w:eastAsia="lt-LT"/>
                        </w:rPr>
                      </w:pPr>
                      <w:r>
                        <w:rPr>
                          <w:szCs w:val="24"/>
                          <w:lang w:eastAsia="lt-LT"/>
                        </w:rPr>
                        <w:t>2.</w:t>
                      </w:r>
                    </w:p>
                  </w:tc>
                  <w:tc>
                    <w:tcPr>
                      <w:tcW w:w="3270" w:type="dxa"/>
                      <w:tcBorders>
                        <w:top w:val="single" w:sz="6" w:space="0" w:color="auto"/>
                        <w:left w:val="single" w:sz="6" w:space="0" w:color="auto"/>
                        <w:bottom w:val="single" w:sz="6" w:space="0" w:color="auto"/>
                        <w:right w:val="single" w:sz="6" w:space="0" w:color="auto"/>
                      </w:tcBorders>
                      <w:shd w:val="clear" w:color="auto" w:fill="auto"/>
                    </w:tcPr>
                    <w:p w14:paraId="298F3FA7" w14:textId="77777777">
                      <w:pPr>
                        <w:jc w:val="both"/>
                        <w:textAlignment w:val="baseline"/>
                        <w:rPr>
                          <w:szCs w:val="24"/>
                          <w:lang w:eastAsia="lt-LT"/>
                        </w:rPr>
                      </w:pPr>
                      <w:r>
                        <w:rPr>
                          <w:szCs w:val="24"/>
                          <w:lang w:eastAsia="lt-LT"/>
                        </w:rPr>
                        <w:t>Nekilnojamasis turtas</w:t>
                      </w:r>
                    </w:p>
                    <w:p w14:paraId="2C678CB0" w14:textId="005CFF28">
                      <w:pPr>
                        <w:jc w:val="both"/>
                        <w:textAlignment w:val="baseline"/>
                        <w:rPr>
                          <w:szCs w:val="24"/>
                          <w:lang w:eastAsia="lt-LT"/>
                        </w:rPr>
                      </w:pPr>
                    </w:p>
                  </w:tc>
                  <w:tc>
                    <w:tcPr>
                      <w:tcW w:w="10200" w:type="dxa"/>
                      <w:tcBorders>
                        <w:top w:val="single" w:sz="6" w:space="0" w:color="auto"/>
                        <w:left w:val="single" w:sz="6" w:space="0" w:color="auto"/>
                        <w:bottom w:val="single" w:sz="6" w:space="0" w:color="auto"/>
                        <w:right w:val="single" w:sz="6" w:space="0" w:color="auto"/>
                      </w:tcBorders>
                      <w:shd w:val="clear" w:color="auto" w:fill="auto"/>
                    </w:tcPr>
                    <w:p w14:paraId="1B8D0C57" w14:textId="52F05924">
                      <w:pPr>
                        <w:jc w:val="both"/>
                        <w:rPr>
                          <w:szCs w:val="24"/>
                          <w:lang w:eastAsia="lt-LT"/>
                        </w:rPr>
                      </w:pPr>
                      <w:r>
                        <w:rPr>
                          <w:szCs w:val="24"/>
                          <w:lang w:eastAsia="lt-LT"/>
                        </w:rPr>
                        <w:t>Netinkama finansuoti.</w:t>
                      </w:r>
                    </w:p>
                  </w:tc>
                </w:tr>
                <w:tr w14:paraId="5E6BE3BB" w14:textId="77777777">
                  <w:tc>
                    <w:tcPr>
                      <w:tcW w:w="855" w:type="dxa"/>
                      <w:tcBorders>
                        <w:top w:val="single" w:sz="6" w:space="0" w:color="auto"/>
                        <w:left w:val="single" w:sz="6" w:space="0" w:color="auto"/>
                        <w:bottom w:val="single" w:sz="6" w:space="0" w:color="auto"/>
                        <w:right w:val="single" w:sz="6" w:space="0" w:color="auto"/>
                      </w:tcBorders>
                      <w:shd w:val="clear" w:color="auto" w:fill="auto"/>
                    </w:tcPr>
                    <w:p w14:paraId="2965E0F1" w14:textId="6C6C2BEB">
                      <w:pPr>
                        <w:jc w:val="both"/>
                        <w:textAlignment w:val="baseline"/>
                        <w:rPr>
                          <w:szCs w:val="24"/>
                          <w:lang w:eastAsia="lt-LT"/>
                        </w:rPr>
                      </w:pPr>
                      <w:r>
                        <w:rPr>
                          <w:szCs w:val="24"/>
                          <w:lang w:eastAsia="lt-LT"/>
                        </w:rPr>
                        <w:t>3.</w:t>
                      </w:r>
                    </w:p>
                  </w:tc>
                  <w:tc>
                    <w:tcPr>
                      <w:tcW w:w="3270" w:type="dxa"/>
                      <w:tcBorders>
                        <w:top w:val="single" w:sz="6" w:space="0" w:color="auto"/>
                        <w:left w:val="single" w:sz="6" w:space="0" w:color="auto"/>
                        <w:bottom w:val="single" w:sz="6" w:space="0" w:color="auto"/>
                        <w:right w:val="single" w:sz="6" w:space="0" w:color="auto"/>
                      </w:tcBorders>
                      <w:shd w:val="clear" w:color="auto" w:fill="auto"/>
                    </w:tcPr>
                    <w:p w14:paraId="447336F2" w14:textId="0AB542BA">
                      <w:pPr>
                        <w:jc w:val="both"/>
                        <w:textAlignment w:val="baseline"/>
                        <w:rPr>
                          <w:szCs w:val="24"/>
                          <w:lang w:eastAsia="lt-LT"/>
                        </w:rPr>
                      </w:pPr>
                      <w:r>
                        <w:rPr>
                          <w:szCs w:val="24"/>
                          <w:lang w:eastAsia="lt-LT"/>
                        </w:rPr>
                        <w:t>Statyba, rekonstravimas, remontas ir kiti darbai</w:t>
                      </w:r>
                    </w:p>
                  </w:tc>
                  <w:tc>
                    <w:tcPr>
                      <w:tcW w:w="10200" w:type="dxa"/>
                      <w:tcBorders>
                        <w:top w:val="single" w:sz="6" w:space="0" w:color="auto"/>
                        <w:left w:val="single" w:sz="6" w:space="0" w:color="auto"/>
                        <w:bottom w:val="single" w:sz="6" w:space="0" w:color="auto"/>
                        <w:right w:val="single" w:sz="6" w:space="0" w:color="auto"/>
                      </w:tcBorders>
                      <w:shd w:val="clear" w:color="auto" w:fill="auto"/>
                    </w:tcPr>
                    <w:p w14:paraId="130FC100" w14:textId="151C9FC4">
                      <w:pPr>
                        <w:jc w:val="both"/>
                        <w:rPr>
                          <w:szCs w:val="24"/>
                          <w:lang w:eastAsia="lt-LT"/>
                        </w:rPr>
                      </w:pPr>
                      <w:r>
                        <w:rPr>
                          <w:szCs w:val="24"/>
                          <w:lang w:eastAsia="lt-LT"/>
                        </w:rPr>
                        <w:t>Netinkama finansuoti.</w:t>
                      </w:r>
                    </w:p>
                  </w:tc>
                </w:tr>
                <w:tr w14:paraId="5D31C74F" w14:textId="77777777">
                  <w:tc>
                    <w:tcPr>
                      <w:tcW w:w="855" w:type="dxa"/>
                      <w:tcBorders>
                        <w:top w:val="single" w:sz="6" w:space="0" w:color="auto"/>
                        <w:left w:val="single" w:sz="6" w:space="0" w:color="auto"/>
                        <w:bottom w:val="single" w:sz="6" w:space="0" w:color="auto"/>
                        <w:right w:val="single" w:sz="6" w:space="0" w:color="auto"/>
                      </w:tcBorders>
                      <w:shd w:val="clear" w:color="auto" w:fill="auto"/>
                      <w:hideMark/>
                    </w:tcPr>
                    <w:p w14:paraId="6EC5C747" w14:textId="77777777">
                      <w:pPr>
                        <w:jc w:val="both"/>
                        <w:textAlignment w:val="baseline"/>
                        <w:rPr>
                          <w:szCs w:val="24"/>
                          <w:lang w:eastAsia="lt-LT"/>
                        </w:rPr>
                      </w:pPr>
                      <w:r>
                        <w:rPr>
                          <w:szCs w:val="24"/>
                          <w:lang w:eastAsia="lt-LT"/>
                        </w:rPr>
                        <w:t>4. </w:t>
                      </w:r>
                    </w:p>
                  </w:tc>
                  <w:tc>
                    <w:tcPr>
                      <w:tcW w:w="3270" w:type="dxa"/>
                      <w:tcBorders>
                        <w:top w:val="single" w:sz="6" w:space="0" w:color="auto"/>
                        <w:left w:val="single" w:sz="6" w:space="0" w:color="auto"/>
                        <w:bottom w:val="single" w:sz="6" w:space="0" w:color="auto"/>
                        <w:right w:val="single" w:sz="6" w:space="0" w:color="auto"/>
                      </w:tcBorders>
                      <w:shd w:val="clear" w:color="auto" w:fill="auto"/>
                      <w:hideMark/>
                    </w:tcPr>
                    <w:p w14:paraId="347AE721" w14:textId="77777777">
                      <w:pPr>
                        <w:jc w:val="both"/>
                        <w:textAlignment w:val="baseline"/>
                        <w:rPr>
                          <w:szCs w:val="24"/>
                          <w:highlight w:val="yellow"/>
                          <w:lang w:eastAsia="lt-LT"/>
                        </w:rPr>
                      </w:pPr>
                      <w:r>
                        <w:rPr>
                          <w:szCs w:val="24"/>
                          <w:lang w:eastAsia="lt-LT"/>
                        </w:rPr>
                        <w:t>Įranga, įrenginiai ir kitas turtas </w:t>
                      </w:r>
                    </w:p>
                  </w:tc>
                  <w:tc>
                    <w:tcPr>
                      <w:tcW w:w="10200" w:type="dxa"/>
                      <w:tcBorders>
                        <w:top w:val="single" w:sz="6" w:space="0" w:color="auto"/>
                        <w:left w:val="single" w:sz="6" w:space="0" w:color="auto"/>
                        <w:bottom w:val="single" w:sz="6" w:space="0" w:color="auto"/>
                        <w:right w:val="single" w:sz="6" w:space="0" w:color="auto"/>
                      </w:tcBorders>
                      <w:shd w:val="clear" w:color="auto" w:fill="auto"/>
                      <w:hideMark/>
                    </w:tcPr>
                    <w:p w14:paraId="6A01AC09" w14:textId="1478DDED">
                      <w:pPr>
                        <w:jc w:val="both"/>
                        <w:rPr>
                          <w:szCs w:val="24"/>
                          <w:highlight w:val="yellow"/>
                          <w:lang w:eastAsia="lt-LT"/>
                        </w:rPr>
                      </w:pPr>
                      <w:r>
                        <w:rPr>
                          <w:szCs w:val="24"/>
                          <w:lang w:eastAsia="lt-LT"/>
                        </w:rPr>
                        <w:t>Tinkamos finansuoti išlaidos 2.1 ir 2.2 veikloms vykdyti. Kompiuterinės, programinės įrangos, mobiliųjų telefonų ir pan. išlaidos.</w:t>
                      </w:r>
                    </w:p>
                  </w:tc>
                </w:tr>
                <w:tr w14:paraId="1B020CB6" w14:textId="77777777">
                  <w:tc>
                    <w:tcPr>
                      <w:tcW w:w="855" w:type="dxa"/>
                      <w:tcBorders>
                        <w:top w:val="single" w:sz="6" w:space="0" w:color="auto"/>
                        <w:left w:val="single" w:sz="6" w:space="0" w:color="auto"/>
                        <w:bottom w:val="single" w:sz="6" w:space="0" w:color="auto"/>
                        <w:right w:val="single" w:sz="6" w:space="0" w:color="auto"/>
                      </w:tcBorders>
                      <w:shd w:val="clear" w:color="auto" w:fill="auto"/>
                      <w:hideMark/>
                    </w:tcPr>
                    <w:p w14:paraId="59B80D12" w14:textId="77777777">
                      <w:pPr>
                        <w:jc w:val="both"/>
                        <w:textAlignment w:val="baseline"/>
                        <w:rPr>
                          <w:szCs w:val="24"/>
                          <w:lang w:eastAsia="lt-LT"/>
                        </w:rPr>
                      </w:pPr>
                      <w:r>
                        <w:rPr>
                          <w:szCs w:val="24"/>
                          <w:lang w:eastAsia="lt-LT"/>
                        </w:rPr>
                        <w:t>5. </w:t>
                      </w:r>
                    </w:p>
                  </w:tc>
                  <w:tc>
                    <w:tcPr>
                      <w:tcW w:w="3270" w:type="dxa"/>
                      <w:tcBorders>
                        <w:top w:val="single" w:sz="6" w:space="0" w:color="auto"/>
                        <w:left w:val="single" w:sz="6" w:space="0" w:color="auto"/>
                        <w:bottom w:val="single" w:sz="6" w:space="0" w:color="auto"/>
                        <w:right w:val="single" w:sz="6" w:space="0" w:color="auto"/>
                      </w:tcBorders>
                      <w:shd w:val="clear" w:color="auto" w:fill="auto"/>
                      <w:hideMark/>
                    </w:tcPr>
                    <w:p w14:paraId="04DA508C" w14:textId="77777777">
                      <w:pPr>
                        <w:jc w:val="both"/>
                        <w:textAlignment w:val="baseline"/>
                        <w:rPr>
                          <w:szCs w:val="24"/>
                          <w:lang w:eastAsia="lt-LT"/>
                        </w:rPr>
                      </w:pPr>
                      <w:r>
                        <w:rPr>
                          <w:szCs w:val="24"/>
                          <w:lang w:eastAsia="lt-LT"/>
                        </w:rPr>
                        <w:t>Projekto vykdymas  </w:t>
                      </w:r>
                    </w:p>
                  </w:tc>
                  <w:tc>
                    <w:tcPr>
                      <w:tcW w:w="10200" w:type="dxa"/>
                      <w:tcBorders>
                        <w:top w:val="single" w:sz="6" w:space="0" w:color="auto"/>
                        <w:left w:val="single" w:sz="6" w:space="0" w:color="auto"/>
                        <w:bottom w:val="single" w:sz="6" w:space="0" w:color="auto"/>
                        <w:right w:val="single" w:sz="6" w:space="0" w:color="auto"/>
                      </w:tcBorders>
                      <w:shd w:val="clear" w:color="auto" w:fill="auto"/>
                      <w:hideMark/>
                    </w:tcPr>
                    <w:p w14:paraId="7E766150" w14:textId="3466699D">
                      <w:pPr>
                        <w:jc w:val="both"/>
                        <w:textAlignment w:val="baseline"/>
                        <w:rPr>
                          <w:szCs w:val="24"/>
                        </w:rPr>
                      </w:pPr>
                      <w:r>
                        <w:rPr>
                          <w:szCs w:val="24"/>
                          <w:lang w:eastAsia="lt-LT"/>
                        </w:rPr>
                        <w:t xml:space="preserve">Tinkamos finansuoti išlaidos, reikalingos </w:t>
                      </w:r>
                      <w:r>
                        <w:rPr>
                          <w:szCs w:val="24"/>
                        </w:rPr>
                        <w:t>2.1 veiklai įgyvendinti: programų poreikio nustatymo ir sąrašo sudarymo išlaidos; Programų, metodinių priemonių rengimo, atnaujinimo išlaidos.</w:t>
                      </w:r>
                    </w:p>
                    <w:p w14:paraId="21C844BF" w14:textId="76F78D1E">
                      <w:pPr>
                        <w:jc w:val="both"/>
                        <w:textAlignment w:val="baseline"/>
                        <w:rPr>
                          <w:szCs w:val="24"/>
                          <w:lang w:eastAsia="lt-LT"/>
                        </w:rPr>
                      </w:pPr>
                      <w:r>
                        <w:rPr>
                          <w:szCs w:val="24"/>
                        </w:rPr>
                        <w:t>Tinkamos finansuoti išlaidos reikalingos 2.2 veiklai įgyvendinti: mokymo programų ir mokymo medžiagos atnaujinimo / rengimo, tvirtinimo išlaidos; profesijos mokytojų, įmonių, įstaigų meistrų mokymų organizavimo ir įgyvendinimo išlaidos.</w:t>
                      </w:r>
                    </w:p>
                  </w:tc>
                </w:tr>
                <w:tr w14:paraId="04E072E9" w14:textId="77777777">
                  <w:tc>
                    <w:tcPr>
                      <w:tcW w:w="855" w:type="dxa"/>
                      <w:tcBorders>
                        <w:top w:val="single" w:sz="6" w:space="0" w:color="auto"/>
                        <w:left w:val="single" w:sz="6" w:space="0" w:color="auto"/>
                        <w:bottom w:val="single" w:sz="6" w:space="0" w:color="auto"/>
                        <w:right w:val="single" w:sz="6" w:space="0" w:color="auto"/>
                      </w:tcBorders>
                      <w:shd w:val="clear" w:color="auto" w:fill="auto"/>
                      <w:hideMark/>
                    </w:tcPr>
                    <w:p w14:paraId="38AE53DF" w14:textId="77777777">
                      <w:pPr>
                        <w:jc w:val="both"/>
                        <w:textAlignment w:val="baseline"/>
                        <w:rPr>
                          <w:szCs w:val="24"/>
                          <w:lang w:eastAsia="lt-LT"/>
                        </w:rPr>
                      </w:pPr>
                      <w:r>
                        <w:rPr>
                          <w:szCs w:val="24"/>
                          <w:lang w:eastAsia="lt-LT"/>
                        </w:rPr>
                        <w:t>6. </w:t>
                      </w:r>
                    </w:p>
                  </w:tc>
                  <w:tc>
                    <w:tcPr>
                      <w:tcW w:w="3270" w:type="dxa"/>
                      <w:tcBorders>
                        <w:top w:val="single" w:sz="6" w:space="0" w:color="auto"/>
                        <w:left w:val="single" w:sz="6" w:space="0" w:color="auto"/>
                        <w:bottom w:val="single" w:sz="6" w:space="0" w:color="auto"/>
                        <w:right w:val="single" w:sz="6" w:space="0" w:color="auto"/>
                      </w:tcBorders>
                      <w:shd w:val="clear" w:color="auto" w:fill="auto"/>
                      <w:hideMark/>
                    </w:tcPr>
                    <w:p w14:paraId="12D45CDE" w14:textId="77777777">
                      <w:pPr>
                        <w:jc w:val="both"/>
                        <w:textAlignment w:val="baseline"/>
                        <w:rPr>
                          <w:szCs w:val="24"/>
                          <w:lang w:eastAsia="lt-LT"/>
                        </w:rPr>
                      </w:pPr>
                      <w:r>
                        <w:rPr>
                          <w:szCs w:val="24"/>
                          <w:lang w:eastAsia="lt-LT"/>
                        </w:rPr>
                        <w:t>Informavimas apie projektą </w:t>
                      </w:r>
                    </w:p>
                  </w:tc>
                  <w:tc>
                    <w:tcPr>
                      <w:tcW w:w="10200" w:type="dxa"/>
                      <w:tcBorders>
                        <w:top w:val="single" w:sz="6" w:space="0" w:color="auto"/>
                        <w:left w:val="single" w:sz="6" w:space="0" w:color="auto"/>
                        <w:bottom w:val="single" w:sz="6" w:space="0" w:color="auto"/>
                        <w:right w:val="single" w:sz="6" w:space="0" w:color="auto"/>
                      </w:tcBorders>
                      <w:shd w:val="clear" w:color="auto" w:fill="auto"/>
                      <w:hideMark/>
                    </w:tcPr>
                    <w:p w14:paraId="77FB75BB" w14:textId="77777777">
                      <w:pPr>
                        <w:jc w:val="both"/>
                        <w:textAlignment w:val="baseline"/>
                        <w:rPr>
                          <w:szCs w:val="24"/>
                          <w:lang w:eastAsia="lt-LT"/>
                        </w:rPr>
                      </w:pPr>
                      <w:r>
                        <w:rPr>
                          <w:szCs w:val="24"/>
                          <w:lang w:eastAsia="lt-LT"/>
                        </w:rPr>
                        <w:t>Tinkamos finansuoti išlaidos, skirtos privalomoms projektų matomumo ir informavimo apie projektus priemonėms, nurodytoms Projektų administravimo ir finansavimo taisyklių 341 punkte. Išlaidos apmokamos pagal Įgyvendintų privalomų matomumo ir informavimo priemonių apie ES fondų investicijų veiklas išlaidų fiksuotųjų sumų nustatymo tyrimą. </w:t>
                      </w:r>
                    </w:p>
                  </w:tc>
                </w:tr>
                <w:tr w14:paraId="2C070B0A" w14:textId="77777777">
                  <w:tc>
                    <w:tcPr>
                      <w:tcW w:w="855" w:type="dxa"/>
                      <w:tcBorders>
                        <w:top w:val="single" w:sz="6" w:space="0" w:color="auto"/>
                        <w:left w:val="single" w:sz="6" w:space="0" w:color="auto"/>
                        <w:bottom w:val="single" w:sz="6" w:space="0" w:color="auto"/>
                        <w:right w:val="single" w:sz="6" w:space="0" w:color="auto"/>
                      </w:tcBorders>
                      <w:shd w:val="clear" w:color="auto" w:fill="auto"/>
                      <w:hideMark/>
                    </w:tcPr>
                    <w:p w14:paraId="31A4FE61" w14:textId="77777777">
                      <w:pPr>
                        <w:jc w:val="both"/>
                        <w:textAlignment w:val="baseline"/>
                        <w:rPr>
                          <w:szCs w:val="24"/>
                          <w:lang w:eastAsia="lt-LT"/>
                        </w:rPr>
                      </w:pPr>
                      <w:r>
                        <w:rPr>
                          <w:szCs w:val="24"/>
                          <w:lang w:eastAsia="lt-LT"/>
                        </w:rPr>
                        <w:t>7. </w:t>
                      </w:r>
                    </w:p>
                  </w:tc>
                  <w:tc>
                    <w:tcPr>
                      <w:tcW w:w="3270" w:type="dxa"/>
                      <w:tcBorders>
                        <w:top w:val="single" w:sz="6" w:space="0" w:color="auto"/>
                        <w:left w:val="single" w:sz="6" w:space="0" w:color="auto"/>
                        <w:bottom w:val="single" w:sz="6" w:space="0" w:color="auto"/>
                        <w:right w:val="single" w:sz="6" w:space="0" w:color="auto"/>
                      </w:tcBorders>
                      <w:shd w:val="clear" w:color="auto" w:fill="auto"/>
                      <w:hideMark/>
                    </w:tcPr>
                    <w:p w14:paraId="21BFAFC0" w14:textId="77777777">
                      <w:pPr>
                        <w:jc w:val="both"/>
                        <w:textAlignment w:val="baseline"/>
                        <w:rPr>
                          <w:szCs w:val="24"/>
                          <w:lang w:eastAsia="lt-LT"/>
                        </w:rPr>
                      </w:pPr>
                      <w:r>
                        <w:rPr>
                          <w:szCs w:val="24"/>
                          <w:lang w:eastAsia="lt-LT"/>
                        </w:rPr>
                        <w:t>Netiesioginės išlaidos ir kitos išlaidos pagal fiksuotąją projekto išlaidų normą </w:t>
                      </w:r>
                    </w:p>
                  </w:tc>
                  <w:tc>
                    <w:tcPr>
                      <w:tcW w:w="10200" w:type="dxa"/>
                      <w:tcBorders>
                        <w:top w:val="single" w:sz="6" w:space="0" w:color="auto"/>
                        <w:left w:val="single" w:sz="6" w:space="0" w:color="auto"/>
                        <w:bottom w:val="single" w:sz="6" w:space="0" w:color="auto"/>
                        <w:right w:val="single" w:sz="6" w:space="0" w:color="auto"/>
                      </w:tcBorders>
                      <w:shd w:val="clear" w:color="auto" w:fill="auto"/>
                      <w:hideMark/>
                    </w:tcPr>
                    <w:p w14:paraId="51C60A6D" w14:textId="77777777">
                      <w:pPr>
                        <w:jc w:val="both"/>
                        <w:textAlignment w:val="baseline"/>
                        <w:rPr>
                          <w:szCs w:val="24"/>
                          <w:lang w:eastAsia="lt-LT"/>
                        </w:rPr>
                      </w:pPr>
                      <w:r>
                        <w:rPr>
                          <w:szCs w:val="24"/>
                          <w:lang w:eastAsia="lt-LT"/>
                        </w:rPr>
                        <w:t>Tinkamos finansuoti.  </w:t>
                      </w:r>
                    </w:p>
                    <w:p w14:paraId="358AE1D9" w14:textId="40755E2A">
                      <w:pPr>
                        <w:jc w:val="both"/>
                        <w:textAlignment w:val="baseline"/>
                        <w:rPr>
                          <w:szCs w:val="24"/>
                          <w:lang w:eastAsia="lt-LT"/>
                        </w:rPr>
                      </w:pPr>
                      <w:r>
                        <w:rPr>
                          <w:szCs w:val="24"/>
                          <w:lang w:eastAsia="lt-LT"/>
                        </w:rPr>
                        <w:t>Išlaidos aptartos Aprašo Nr. 5 10.5 papunktyje. </w:t>
                      </w:r>
                    </w:p>
                  </w:tc>
                </w:tr>
              </w:tbl>
              <w:p w14:paraId="253F43DE" w14:textId="77777777">
                <w:pPr>
                  <w:jc w:val="both"/>
                  <w:rPr>
                    <w:szCs w:val="24"/>
                  </w:rPr>
                </w:pPr>
              </w:p>
            </w:tc>
          </w:tr>
          <w:tr w14:paraId="1A495635" w14:textId="77777777">
            <w:trPr>
              <w:gridAfter w:val="1"/>
              <w:wAfter w:w="34" w:type="dxa"/>
              <w:trHeight w:val="349"/>
            </w:trPr>
            <w:tc>
              <w:tcPr>
                <w:tcW w:w="14709" w:type="dxa"/>
                <w:gridSpan w:val="5"/>
              </w:tcPr>
              <w:p w14:paraId="428598F2" w14:textId="0A292B99">
                <w:pPr>
                  <w:jc w:val="both"/>
                  <w:rPr>
                    <w:szCs w:val="24"/>
                  </w:rPr>
                </w:pPr>
                <w:r>
                  <w:rPr>
                    <w:b/>
                    <w:szCs w:val="24"/>
                  </w:rPr>
                  <w:t>10. Projektų veiklų ir jungtinio projekto projektų įgyvendinimui taikomi supaprastintai apmokamų išlaidų dydžiai</w:t>
                </w:r>
              </w:p>
            </w:tc>
          </w:tr>
          <w:tr w14:paraId="3F2545C4" w14:textId="77777777">
            <w:tblPrEx>
              <w:tblBorders>
                <w:top w:val="outset" w:sz="6" w:space="0" w:color="auto"/>
                <w:left w:val="outset" w:sz="6" w:space="0" w:color="auto"/>
                <w:bottom w:val="outset" w:sz="6" w:space="0" w:color="auto"/>
                <w:right w:val="outset" w:sz="6" w:space="0" w:color="auto"/>
                <w:insideH w:val="none" w:sz="0" w:space="0" w:color="auto"/>
                <w:insideV w:val="none" w:sz="0" w:space="0" w:color="auto"/>
              </w:tblBorders>
              <w:tblCellMar>
                <w:left w:w="0" w:type="dxa"/>
                <w:right w:w="0" w:type="dxa"/>
              </w:tblCellMar>
            </w:tblPrEx>
            <w:tc>
              <w:tcPr>
                <w:tcW w:w="2880" w:type="dxa"/>
                <w:tcBorders>
                  <w:top w:val="single" w:sz="6" w:space="0" w:color="auto"/>
                  <w:left w:val="single" w:sz="6" w:space="0" w:color="auto"/>
                  <w:bottom w:val="single" w:sz="6" w:space="0" w:color="auto"/>
                  <w:right w:val="single" w:sz="6" w:space="0" w:color="auto"/>
                </w:tcBorders>
                <w:shd w:val="clear" w:color="auto" w:fill="auto"/>
                <w:hideMark/>
              </w:tcPr>
              <w:p w14:paraId="5B917F8B" w14:textId="77777777">
                <w:pPr>
                  <w:textAlignment w:val="baseline"/>
                  <w:rPr>
                    <w:szCs w:val="24"/>
                    <w:lang w:eastAsia="lt-LT"/>
                  </w:rPr>
                </w:pPr>
                <w:r>
                  <w:rPr>
                    <w:szCs w:val="24"/>
                    <w:lang w:eastAsia="lt-LT"/>
                  </w:rPr>
                  <w:t>Netiesioginės išlaidos </w:t>
                </w:r>
              </w:p>
            </w:tc>
            <w:tc>
              <w:tcPr>
                <w:tcW w:w="2880" w:type="dxa"/>
                <w:tcBorders>
                  <w:top w:val="single" w:sz="6" w:space="0" w:color="auto"/>
                  <w:left w:val="single" w:sz="6" w:space="0" w:color="auto"/>
                  <w:bottom w:val="single" w:sz="6" w:space="0" w:color="auto"/>
                  <w:right w:val="single" w:sz="6" w:space="0" w:color="auto"/>
                </w:tcBorders>
                <w:shd w:val="clear" w:color="auto" w:fill="auto"/>
                <w:hideMark/>
              </w:tcPr>
              <w:p w14:paraId="77D6CD10" w14:textId="77777777">
                <w:pPr>
                  <w:jc w:val="center"/>
                  <w:textAlignment w:val="baseline"/>
                  <w:rPr>
                    <w:szCs w:val="24"/>
                    <w:lang w:eastAsia="lt-LT"/>
                  </w:rPr>
                </w:pPr>
                <w:r>
                  <w:rPr>
                    <w:szCs w:val="24"/>
                    <w:lang w:eastAsia="lt-LT"/>
                  </w:rPr>
                  <w:t>FN-01 </w:t>
                </w:r>
              </w:p>
            </w:tc>
            <w:tc>
              <w:tcPr>
                <w:tcW w:w="2880" w:type="dxa"/>
                <w:tcBorders>
                  <w:top w:val="single" w:sz="6" w:space="0" w:color="auto"/>
                  <w:left w:val="single" w:sz="6" w:space="0" w:color="auto"/>
                  <w:bottom w:val="single" w:sz="6" w:space="0" w:color="auto"/>
                  <w:right w:val="single" w:sz="6" w:space="0" w:color="auto"/>
                </w:tcBorders>
                <w:shd w:val="clear" w:color="auto" w:fill="auto"/>
                <w:hideMark/>
              </w:tcPr>
              <w:p w14:paraId="0685C94A" w14:textId="77777777">
                <w:pPr>
                  <w:jc w:val="center"/>
                  <w:textAlignment w:val="baseline"/>
                  <w:rPr>
                    <w:szCs w:val="24"/>
                    <w:lang w:eastAsia="lt-LT"/>
                  </w:rPr>
                </w:pPr>
                <w:r>
                  <w:rPr>
                    <w:szCs w:val="24"/>
                    <w:lang w:eastAsia="lt-LT"/>
                  </w:rPr>
                  <w:t>01 </w:t>
                </w:r>
              </w:p>
            </w:tc>
            <w:tc>
              <w:tcPr>
                <w:tcW w:w="2880" w:type="dxa"/>
                <w:tcBorders>
                  <w:top w:val="single" w:sz="6" w:space="0" w:color="auto"/>
                  <w:left w:val="single" w:sz="6" w:space="0" w:color="auto"/>
                  <w:bottom w:val="single" w:sz="6" w:space="0" w:color="auto"/>
                  <w:right w:val="single" w:sz="6" w:space="0" w:color="auto"/>
                </w:tcBorders>
                <w:shd w:val="clear" w:color="auto" w:fill="auto"/>
                <w:hideMark/>
              </w:tcPr>
              <w:p w14:paraId="5587D3B4" w14:textId="77777777">
                <w:pPr>
                  <w:textAlignment w:val="baseline"/>
                  <w:rPr>
                    <w:szCs w:val="24"/>
                    <w:lang w:eastAsia="lt-LT"/>
                  </w:rPr>
                </w:pPr>
                <w:r>
                  <w:rPr>
                    <w:szCs w:val="24"/>
                    <w:lang w:eastAsia="lt-LT"/>
                  </w:rPr>
                  <w:t>7 proc. netiesioginių išlaidų fiksuotoji norma</w:t>
                </w:r>
              </w:p>
            </w:tc>
            <w:tc>
              <w:tcPr>
                <w:tcW w:w="3223" w:type="dxa"/>
                <w:gridSpan w:val="2"/>
                <w:tcBorders>
                  <w:top w:val="single" w:sz="6" w:space="0" w:color="auto"/>
                  <w:left w:val="single" w:sz="6" w:space="0" w:color="auto"/>
                  <w:bottom w:val="single" w:sz="6" w:space="0" w:color="auto"/>
                  <w:right w:val="single" w:sz="6" w:space="0" w:color="auto"/>
                </w:tcBorders>
                <w:shd w:val="clear" w:color="auto" w:fill="auto"/>
                <w:hideMark/>
              </w:tcPr>
              <w:p w14:paraId="56D18697" w14:textId="77777777">
                <w:pPr>
                  <w:textAlignment w:val="baseline"/>
                  <w:rPr>
                    <w:szCs w:val="24"/>
                    <w:lang w:eastAsia="lt-LT"/>
                  </w:rPr>
                </w:pPr>
                <w:r>
                  <w:rPr>
                    <w:szCs w:val="24"/>
                    <w:lang w:eastAsia="lt-LT"/>
                  </w:rPr>
                  <w:t>Iš fiksuotosios projekto išlaidų normos dengiamos projektų vykdytojų netiesioginės išlaidos</w:t>
                </w:r>
              </w:p>
            </w:tc>
          </w:tr>
          <w:tr w14:paraId="01A6C533" w14:textId="77777777">
            <w:trPr>
              <w:gridAfter w:val="1"/>
              <w:wAfter w:w="34" w:type="dxa"/>
            </w:trPr>
            <w:tc>
              <w:tcPr>
                <w:tcW w:w="14709" w:type="dxa"/>
                <w:gridSpan w:val="5"/>
              </w:tcPr>
              <w:p w14:paraId="0A7CDE03" w14:textId="4631E30F">
                <w:pPr>
                  <w:jc w:val="both"/>
                  <w:rPr>
                    <w:szCs w:val="24"/>
                  </w:rPr>
                </w:pPr>
                <w:r>
                  <w:rPr>
                    <w:szCs w:val="24"/>
                  </w:rPr>
                  <w:t xml:space="preserve">10.1. Projekto vykdytojas supaprastintai apmokamų išlaidų finansinę apskaitą tvarko vadovaudamasis ES ir Lietuvos Respublikos teisės aktais, tačiau veiklos ataskaitoje, deklaruodamas išlaidas, nurodomą tinkamų finansuoti išlaidų sumą apskaičiuoja pagal projekto sutartyje nustatytus supaprastintai apmokamų išlaidų dydžius. </w:t>
                </w:r>
              </w:p>
              <w:p w14:paraId="735DD9C0" w14:textId="77777777">
                <w:pPr>
                  <w:jc w:val="both"/>
                  <w:rPr>
                    <w:szCs w:val="24"/>
                  </w:rPr>
                </w:pPr>
                <w:r>
                  <w:rPr>
                    <w:szCs w:val="24"/>
                  </w:rPr>
                  <w:t xml:space="preserve">10.2. Projekto vykdytojo faktiškai patirtos išlaidos (įsigytos prekės ar paslaugos, apskaičiuotas darbo užmokestis, išmokos ir pan.) yra didesnės už apskaičiuotas taikant nustatytus supaprastintai apmokamų išlaidų dydžius, skirtumas apmokamas iš projekto vykdytojo nuosavų lėšų. </w:t>
                </w:r>
              </w:p>
              <w:p w14:paraId="72779195" w14:textId="16F7A84F">
                <w:pPr>
                  <w:jc w:val="both"/>
                  <w:rPr>
                    <w:szCs w:val="24"/>
                  </w:rPr>
                </w:pPr>
                <w:r>
                  <w:rPr>
                    <w:szCs w:val="24"/>
                  </w:rPr>
                  <w:t xml:space="preserve">10.3. Kai išlaidos apmokamos supaprastintai, o informacija apie patirtas išlaidas reikalinga rengiant ar atnaujinant Supaprastintai apmokamų išlaidų nustatymo aprašus, projekto vykdytojas projekto įgyvendinimo metu ir po projekto finansavimo pabaigos, per projekto sutartyje nurodytą projekto dokumentų saugojimo laikotarpį, Švietimo, mokslo ir sporto ministerijos, vadovaujančiosios ar administruojančiosios institucijų prašymu privalo pateikti šią informaciją. </w:t>
                </w:r>
              </w:p>
              <w:p w14:paraId="701904A0" w14:textId="77777777">
                <w:pPr>
                  <w:jc w:val="both"/>
                  <w:rPr>
                    <w:szCs w:val="24"/>
                  </w:rPr>
                </w:pPr>
                <w:r>
                  <w:rPr>
                    <w:szCs w:val="24"/>
                  </w:rPr>
                  <w:t xml:space="preserve">10.4. Išlaidos pagal fiksuotąją sumą (toliau – FS) yra tinkamos finansuoti tik tuo atveju, jei yra įvykdytos numatytos FS sąlygos. Jei numatytos FS sąlygos nėra įvykdytos, visos išlaidos pagal FS nėra tinkamos finansuoti. </w:t>
                </w:r>
              </w:p>
              <w:p w14:paraId="0AD365F0" w14:textId="77777777">
                <w:pPr>
                  <w:jc w:val="both"/>
                  <w:rPr>
                    <w:szCs w:val="24"/>
                  </w:rPr>
                </w:pPr>
                <w:r>
                  <w:rPr>
                    <w:szCs w:val="24"/>
                  </w:rPr>
                  <w:t xml:space="preserve">10.5. Netiesioginės išlaidos apmokamos taikant fiksuotąją normą (toliau – FN) pagal Projektų administravimo ir finansavimo taisyklių 332.1 papunktį – 7 proc. netiesioginių išlaidų FN.   </w:t>
                </w:r>
              </w:p>
              <w:p w14:paraId="6AFA6CBF" w14:textId="77777777">
                <w:pPr>
                  <w:jc w:val="both"/>
                  <w:rPr>
                    <w:szCs w:val="24"/>
                  </w:rPr>
                </w:pPr>
                <w:r>
                  <w:rPr>
                    <w:szCs w:val="24"/>
                  </w:rPr>
                  <w:t xml:space="preserve">10.6. Projekto sutartyje nustatyta netiesioginių išlaidų FN projekto įgyvendinimo metu negali būti keičiama. </w:t>
                </w:r>
              </w:p>
              <w:p w14:paraId="242ABCF2" w14:textId="7702E8F1">
                <w:pPr>
                  <w:jc w:val="both"/>
                  <w:rPr>
                    <w:szCs w:val="24"/>
                  </w:rPr>
                </w:pPr>
                <w:r>
                  <w:rPr>
                    <w:szCs w:val="24"/>
                  </w:rPr>
                  <w:t>10.7. Vadovaujančiajai arba audito institucijoms nustačius, kad supaprastintai apmokamų išlaidų dydis ar jo taikymo sąlygos buvo netinkamai nustatyti (kai dydis turėjo būti mažesnis arba kitaip taikomas), patikslintas supaprastintai apmokamų išlaidų dydis ar jo taikymo sąlygos turi būti taikomi jau įgyvendinamų projektų veiklų, vykdomų nuo supaprastintai apmokamų išlaidų dydžio ar jo taikymo sąlygų patikslinimo įsigaliojimo dienos, išlaidoms apmokėti.</w:t>
                </w:r>
              </w:p>
              <w:p w14:paraId="7F54C378" w14:textId="6ADC1D54">
                <w:pPr>
                  <w:jc w:val="both"/>
                  <w:rPr>
                    <w:szCs w:val="24"/>
                  </w:rPr>
                </w:pPr>
                <w:r>
                  <w:rPr>
                    <w:szCs w:val="24"/>
                  </w:rPr>
                  <w:t>Įtraukti dėl kryžminio</w:t>
                </w:r>
              </w:p>
              <w:p w14:paraId="45AF4CBA" w14:textId="77777777">
                <w:pPr>
                  <w:jc w:val="both"/>
                  <w:rPr>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449"/>
                </w:tblGrid>
                <w:tr w14:paraId="2FA72E67" w14:textId="77777777">
                  <w:tc>
                    <w:tcPr>
                      <w:tcW w:w="14449" w:type="dxa"/>
                      <w:tcBorders>
                        <w:top w:val="single" w:sz="8" w:space="0" w:color="auto"/>
                        <w:left w:val="single" w:sz="8" w:space="0" w:color="auto"/>
                        <w:bottom w:val="single" w:sz="8" w:space="0" w:color="auto"/>
                        <w:right w:val="single" w:sz="8" w:space="0" w:color="auto"/>
                      </w:tcBorders>
                    </w:tcPr>
                    <w:p w14:paraId="169F5693" w14:textId="77777777">
                      <w:pPr>
                        <w:ind w:firstLine="114"/>
                        <w:jc w:val="both"/>
                        <w:rPr>
                          <w:b/>
                          <w:bCs/>
                          <w:szCs w:val="24"/>
                        </w:rPr>
                      </w:pPr>
                      <w:r>
                        <w:rPr>
                          <w:rFonts w:eastAsia="Calibri"/>
                          <w:szCs w:val="24"/>
                        </w:rPr>
                        <w:fldChar w:fldCharType="begin" w:fldLock="1">
                          <w:ffData>
                            <w:name w:val="Tikrinti2"/>
                            <w:enabled/>
                            <w:calcOnExit w:val="0"/>
                            <w:checkBox>
                              <w:sizeAuto/>
                              <w:default w:val="1"/>
                            </w:checkBox>
                          </w:ffData>
                        </w:fldChar>
                      </w:r>
                      <w:r>
                        <w:rPr>
                          <w:rFonts w:eastAsia="Calibri"/>
                          <w:szCs w:val="24"/>
                        </w:rPr>
                        <w:instrText xml:space="preserve">FORMCHECKBOX </w:instrText>
                      </w:r>
                      <w:r>
                        <w:rPr>
                          <w:rFonts w:eastAsia="Calibri"/>
                          <w:szCs w:val="24"/>
                        </w:rPr>
                        <w:fldChar w:fldCharType="separate"/>
                      </w:r>
                      <w:r>
                        <w:rPr>
                          <w:rFonts w:eastAsia="Calibri"/>
                          <w:szCs w:val="24"/>
                        </w:rPr>
                        <w:fldChar w:fldCharType="end"/>
                      </w:r>
                      <w:r>
                        <w:rPr>
                          <w:b/>
                          <w:bCs/>
                          <w:szCs w:val="24"/>
                        </w:rPr>
                        <w:t>Indeksuojama</w:t>
                      </w:r>
                    </w:p>
                    <w:p w14:paraId="79C903E4" w14:textId="77777777">
                      <w:pPr>
                        <w:jc w:val="both"/>
                        <w:rPr>
                          <w:b/>
                          <w:bCs/>
                          <w:szCs w:val="24"/>
                        </w:rPr>
                      </w:pPr>
                      <w:r>
                        <w:rPr>
                          <w:rFonts w:ascii="Segoe UI Symbol" w:eastAsia="MS Gothic" w:hAnsi="Segoe UI Symbol" w:cs="Segoe UI Symbol"/>
                          <w:b/>
                          <w:bCs/>
                          <w:szCs w:val="24"/>
                        </w:rPr>
                        <w:t>☐</w:t>
                      </w:r>
                      <w:r>
                        <w:rPr>
                          <w:b/>
                          <w:bCs/>
                          <w:szCs w:val="24"/>
                        </w:rPr>
                        <w:t xml:space="preserve"> Neindeksuojama</w:t>
                      </w:r>
                    </w:p>
                  </w:tc>
                </w:tr>
              </w:tbl>
              <w:p w14:paraId="3BABE089" w14:textId="77777777">
                <w:pPr>
                  <w:jc w:val="both"/>
                  <w:rPr>
                    <w:i/>
                    <w:iCs/>
                    <w:szCs w:val="24"/>
                  </w:rPr>
                </w:pPr>
              </w:p>
              <w:tbl>
                <w:tblPr>
                  <w:tblW w:w="14445" w:type="dxa"/>
                  <w:tblBorders>
                    <w:top w:val="outset" w:sz="6" w:space="0" w:color="auto"/>
                    <w:left w:val="outset" w:sz="6" w:space="0" w:color="auto"/>
                    <w:bottom w:val="outset" w:sz="6" w:space="0" w:color="auto"/>
                    <w:right w:val="outset" w:sz="6" w:space="0" w:color="auto"/>
                  </w:tblBorders>
                  <w:tblLayout w:type="fixed"/>
                  <w:tblCellMar>
                    <w:left w:w="0" w:type="dxa"/>
                    <w:right w:w="0" w:type="dxa"/>
                  </w:tblCellMar>
                  <w:tblLook w:val="04A0" w:firstRow="1" w:lastRow="0" w:firstColumn="1" w:lastColumn="0" w:noHBand="0" w:noVBand="1"/>
                </w:tblPr>
                <w:tblGrid>
                  <w:gridCol w:w="2880"/>
                  <w:gridCol w:w="2880"/>
                  <w:gridCol w:w="2880"/>
                  <w:gridCol w:w="2880"/>
                  <w:gridCol w:w="2925"/>
                </w:tblGrid>
                <w:tr w14:paraId="5512D65D" w14:textId="77777777">
                  <w:tc>
                    <w:tcPr>
                      <w:tcW w:w="2880"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4BD1CDAC" w14:textId="687A3784">
                      <w:pPr>
                        <w:jc w:val="center"/>
                        <w:textAlignment w:val="baseline"/>
                        <w:rPr>
                          <w:szCs w:val="24"/>
                          <w:lang w:eastAsia="lt-LT"/>
                        </w:rPr>
                      </w:pPr>
                      <w:r>
                        <w:rPr>
                          <w:b/>
                          <w:bCs/>
                          <w:szCs w:val="24"/>
                          <w:lang w:eastAsia="lt-LT"/>
                        </w:rPr>
                        <w:t>Veiklos ir (ar) išlaidos, kurioms taikomi supaprastintai apmokamų išlaidų dydžiai</w:t>
                      </w:r>
                      <w:r>
                        <w:rPr>
                          <w:szCs w:val="24"/>
                          <w:lang w:eastAsia="lt-LT"/>
                        </w:rPr>
                        <w:t> </w:t>
                      </w:r>
                    </w:p>
                  </w:tc>
                  <w:tc>
                    <w:tcPr>
                      <w:tcW w:w="2880"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4ACC1A86" w14:textId="77777777">
                      <w:pPr>
                        <w:jc w:val="center"/>
                        <w:textAlignment w:val="baseline"/>
                        <w:rPr>
                          <w:szCs w:val="24"/>
                          <w:lang w:eastAsia="lt-LT"/>
                        </w:rPr>
                      </w:pPr>
                      <w:r>
                        <w:rPr>
                          <w:b/>
                          <w:bCs/>
                          <w:szCs w:val="24"/>
                          <w:lang w:eastAsia="lt-LT"/>
                        </w:rPr>
                        <w:t>Supaprastintai apmokamų išlaidų dydžio kodas</w:t>
                      </w:r>
                      <w:r>
                        <w:rPr>
                          <w:szCs w:val="24"/>
                          <w:lang w:eastAsia="lt-LT"/>
                        </w:rPr>
                        <w:t> </w:t>
                      </w:r>
                    </w:p>
                  </w:tc>
                  <w:tc>
                    <w:tcPr>
                      <w:tcW w:w="2880"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132254C2" w14:textId="77777777">
                      <w:pPr>
                        <w:jc w:val="center"/>
                        <w:textAlignment w:val="baseline"/>
                        <w:rPr>
                          <w:szCs w:val="24"/>
                          <w:lang w:eastAsia="lt-LT"/>
                        </w:rPr>
                      </w:pPr>
                      <w:r>
                        <w:rPr>
                          <w:b/>
                          <w:bCs/>
                          <w:szCs w:val="24"/>
                          <w:lang w:eastAsia="lt-LT"/>
                        </w:rPr>
                        <w:t>Supaprastintai apmokamų išlaidų dydžio versija</w:t>
                      </w:r>
                      <w:r>
                        <w:rPr>
                          <w:szCs w:val="24"/>
                          <w:lang w:eastAsia="lt-LT"/>
                        </w:rPr>
                        <w:t> </w:t>
                      </w:r>
                    </w:p>
                  </w:tc>
                  <w:tc>
                    <w:tcPr>
                      <w:tcW w:w="2880"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271A544B" w14:textId="77777777">
                      <w:pPr>
                        <w:jc w:val="center"/>
                        <w:textAlignment w:val="baseline"/>
                        <w:rPr>
                          <w:szCs w:val="24"/>
                          <w:lang w:eastAsia="lt-LT"/>
                        </w:rPr>
                      </w:pPr>
                      <w:r>
                        <w:rPr>
                          <w:b/>
                          <w:bCs/>
                          <w:szCs w:val="24"/>
                          <w:lang w:eastAsia="lt-LT"/>
                        </w:rPr>
                        <w:t>Supaprastintai apmokamų išlaidų dydžio pavadinimas</w:t>
                      </w:r>
                      <w:r>
                        <w:rPr>
                          <w:szCs w:val="24"/>
                          <w:lang w:eastAsia="lt-LT"/>
                        </w:rPr>
                        <w:t> </w:t>
                      </w:r>
                    </w:p>
                  </w:tc>
                  <w:tc>
                    <w:tcPr>
                      <w:tcW w:w="2925"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38209577" w14:textId="77777777">
                      <w:pPr>
                        <w:jc w:val="center"/>
                        <w:textAlignment w:val="baseline"/>
                        <w:rPr>
                          <w:szCs w:val="24"/>
                          <w:lang w:eastAsia="lt-LT"/>
                        </w:rPr>
                      </w:pPr>
                      <w:r>
                        <w:rPr>
                          <w:b/>
                          <w:bCs/>
                          <w:szCs w:val="24"/>
                          <w:lang w:eastAsia="lt-LT"/>
                        </w:rPr>
                        <w:t>Papildoma informacija</w:t>
                      </w:r>
                      <w:r>
                        <w:rPr>
                          <w:szCs w:val="24"/>
                          <w:lang w:eastAsia="lt-LT"/>
                        </w:rPr>
                        <w:t> </w:t>
                      </w:r>
                    </w:p>
                  </w:tc>
                </w:tr>
                <w:tr w14:paraId="5CDED819" w14:textId="77777777">
                  <w:tc>
                    <w:tcPr>
                      <w:tcW w:w="2880" w:type="dxa"/>
                      <w:tcBorders>
                        <w:top w:val="single" w:sz="6" w:space="0" w:color="auto"/>
                        <w:left w:val="single" w:sz="6" w:space="0" w:color="auto"/>
                        <w:bottom w:val="single" w:sz="6" w:space="0" w:color="auto"/>
                        <w:right w:val="single" w:sz="6" w:space="0" w:color="auto"/>
                      </w:tcBorders>
                      <w:shd w:val="clear" w:color="auto" w:fill="auto"/>
                    </w:tcPr>
                    <w:p w14:paraId="59DB9319" w14:textId="77777777">
                      <w:pPr>
                        <w:textAlignment w:val="baseline"/>
                        <w:rPr>
                          <w:szCs w:val="24"/>
                          <w:lang w:eastAsia="lt-LT"/>
                        </w:rPr>
                      </w:pPr>
                      <w:r>
                        <w:rPr>
                          <w:szCs w:val="24"/>
                          <w:lang w:eastAsia="lt-LT"/>
                        </w:rPr>
                        <w:t>Išlaidos, skirtos privalomoms projektų matomumo ir informavimo apie projektus priemonėms </w:t>
                      </w:r>
                    </w:p>
                  </w:tc>
                  <w:tc>
                    <w:tcPr>
                      <w:tcW w:w="2880" w:type="dxa"/>
                      <w:tcBorders>
                        <w:top w:val="single" w:sz="6" w:space="0" w:color="auto"/>
                        <w:left w:val="single" w:sz="6" w:space="0" w:color="auto"/>
                        <w:bottom w:val="single" w:sz="6" w:space="0" w:color="auto"/>
                        <w:right w:val="single" w:sz="6" w:space="0" w:color="auto"/>
                      </w:tcBorders>
                      <w:shd w:val="clear" w:color="auto" w:fill="auto"/>
                    </w:tcPr>
                    <w:p w14:paraId="57A705D7" w14:textId="77777777">
                      <w:pPr>
                        <w:jc w:val="center"/>
                        <w:textAlignment w:val="baseline"/>
                        <w:rPr>
                          <w:szCs w:val="24"/>
                          <w:lang w:eastAsia="lt-LT"/>
                        </w:rPr>
                      </w:pPr>
                      <w:r>
                        <w:rPr>
                          <w:szCs w:val="24"/>
                          <w:lang w:eastAsia="lt-LT"/>
                        </w:rPr>
                        <w:t>FS-01-01</w:t>
                      </w:r>
                    </w:p>
                  </w:tc>
                  <w:tc>
                    <w:tcPr>
                      <w:tcW w:w="2880" w:type="dxa"/>
                      <w:tcBorders>
                        <w:top w:val="single" w:sz="6" w:space="0" w:color="auto"/>
                        <w:left w:val="single" w:sz="6" w:space="0" w:color="auto"/>
                        <w:bottom w:val="single" w:sz="6" w:space="0" w:color="auto"/>
                        <w:right w:val="single" w:sz="6" w:space="0" w:color="auto"/>
                      </w:tcBorders>
                      <w:shd w:val="clear" w:color="auto" w:fill="auto"/>
                    </w:tcPr>
                    <w:p w14:paraId="3D97E831" w14:textId="19FA5C36">
                      <w:pPr>
                        <w:jc w:val="center"/>
                        <w:textAlignment w:val="baseline"/>
                        <w:rPr>
                          <w:szCs w:val="24"/>
                          <w:lang w:eastAsia="lt-LT"/>
                        </w:rPr>
                      </w:pPr>
                      <w:r>
                        <w:rPr>
                          <w:szCs w:val="24"/>
                          <w:lang w:eastAsia="lt-LT"/>
                        </w:rPr>
                        <w:t>-</w:t>
                      </w:r>
                    </w:p>
                  </w:tc>
                  <w:tc>
                    <w:tcPr>
                      <w:tcW w:w="2880" w:type="dxa"/>
                      <w:tcBorders>
                        <w:top w:val="single" w:sz="6" w:space="0" w:color="auto"/>
                        <w:left w:val="single" w:sz="6" w:space="0" w:color="auto"/>
                        <w:bottom w:val="single" w:sz="6" w:space="0" w:color="auto"/>
                        <w:right w:val="single" w:sz="6" w:space="0" w:color="auto"/>
                      </w:tcBorders>
                      <w:shd w:val="clear" w:color="auto" w:fill="auto"/>
                    </w:tcPr>
                    <w:p w14:paraId="07B36689" w14:textId="77777777">
                      <w:pPr>
                        <w:tabs>
                          <w:tab w:val="left" w:pos="810"/>
                        </w:tabs>
                        <w:ind w:left="22" w:hanging="22"/>
                        <w:rPr>
                          <w:szCs w:val="24"/>
                        </w:rPr>
                      </w:pPr>
                      <w:r>
                        <w:rPr>
                          <w:szCs w:val="24"/>
                        </w:rPr>
                        <w:t>Įgyvendintų privalomų matomumo ir informavimo priemonių apie ES fondų investicijų veiklas fiksuotoji suma, pirmojo rinkinio FS be PVM</w:t>
                      </w:r>
                    </w:p>
                    <w:p w14:paraId="08715B3B" w14:textId="77777777">
                      <w:pPr>
                        <w:textAlignment w:val="baseline"/>
                        <w:rPr>
                          <w:szCs w:val="24"/>
                          <w:lang w:eastAsia="lt-LT"/>
                        </w:rPr>
                      </w:pPr>
                    </w:p>
                  </w:tc>
                  <w:tc>
                    <w:tcPr>
                      <w:tcW w:w="2925" w:type="dxa"/>
                      <w:tcBorders>
                        <w:top w:val="single" w:sz="6" w:space="0" w:color="auto"/>
                        <w:left w:val="single" w:sz="6" w:space="0" w:color="auto"/>
                        <w:bottom w:val="single" w:sz="6" w:space="0" w:color="auto"/>
                        <w:right w:val="single" w:sz="6" w:space="0" w:color="auto"/>
                      </w:tcBorders>
                      <w:shd w:val="clear" w:color="auto" w:fill="auto"/>
                    </w:tcPr>
                    <w:p w14:paraId="7FC5A884" w14:textId="34B053A4">
                      <w:pPr>
                        <w:jc w:val="center"/>
                        <w:textAlignment w:val="baseline"/>
                        <w:rPr>
                          <w:szCs w:val="24"/>
                          <w:lang w:eastAsia="lt-LT"/>
                        </w:rPr>
                      </w:pPr>
                      <w:r>
                        <w:rPr>
                          <w:szCs w:val="24"/>
                          <w:lang w:eastAsia="lt-LT"/>
                        </w:rPr>
                        <w:t>-</w:t>
                      </w:r>
                    </w:p>
                  </w:tc>
                </w:tr>
                <w:tr w14:paraId="17E106FB" w14:textId="77777777">
                  <w:tc>
                    <w:tcPr>
                      <w:tcW w:w="2880" w:type="dxa"/>
                      <w:tcBorders>
                        <w:top w:val="single" w:sz="6" w:space="0" w:color="auto"/>
                        <w:left w:val="single" w:sz="6" w:space="0" w:color="auto"/>
                        <w:bottom w:val="single" w:sz="6" w:space="0" w:color="auto"/>
                        <w:right w:val="single" w:sz="6" w:space="0" w:color="auto"/>
                      </w:tcBorders>
                      <w:shd w:val="clear" w:color="auto" w:fill="auto"/>
                      <w:hideMark/>
                    </w:tcPr>
                    <w:p w14:paraId="4EB68959" w14:textId="33B09FDE">
                      <w:pPr>
                        <w:textAlignment w:val="baseline"/>
                        <w:rPr>
                          <w:szCs w:val="24"/>
                          <w:lang w:eastAsia="lt-LT"/>
                        </w:rPr>
                      </w:pPr>
                      <w:r>
                        <w:rPr>
                          <w:szCs w:val="24"/>
                          <w:lang w:eastAsia="lt-LT"/>
                        </w:rPr>
                        <w:t>Išlaidos, skirtos privalomoms projektų matomumo ir informavimo apie projektus priemonėms </w:t>
                      </w:r>
                    </w:p>
                  </w:tc>
                  <w:tc>
                    <w:tcPr>
                      <w:tcW w:w="2880" w:type="dxa"/>
                      <w:tcBorders>
                        <w:top w:val="single" w:sz="6" w:space="0" w:color="auto"/>
                        <w:left w:val="single" w:sz="6" w:space="0" w:color="auto"/>
                        <w:bottom w:val="single" w:sz="6" w:space="0" w:color="auto"/>
                        <w:right w:val="single" w:sz="6" w:space="0" w:color="auto"/>
                      </w:tcBorders>
                      <w:shd w:val="clear" w:color="auto" w:fill="auto"/>
                      <w:hideMark/>
                    </w:tcPr>
                    <w:p w14:paraId="4BBFF3D2" w14:textId="4D3DA546">
                      <w:pPr>
                        <w:jc w:val="center"/>
                        <w:textAlignment w:val="baseline"/>
                        <w:rPr>
                          <w:szCs w:val="24"/>
                          <w:lang w:eastAsia="lt-LT"/>
                        </w:rPr>
                      </w:pPr>
                      <w:r>
                        <w:rPr>
                          <w:szCs w:val="24"/>
                          <w:lang w:eastAsia="lt-LT"/>
                        </w:rPr>
                        <w:t>FS-01-02</w:t>
                      </w:r>
                    </w:p>
                  </w:tc>
                  <w:tc>
                    <w:tcPr>
                      <w:tcW w:w="2880" w:type="dxa"/>
                      <w:tcBorders>
                        <w:top w:val="single" w:sz="6" w:space="0" w:color="auto"/>
                        <w:left w:val="single" w:sz="6" w:space="0" w:color="auto"/>
                        <w:bottom w:val="single" w:sz="6" w:space="0" w:color="auto"/>
                        <w:right w:val="single" w:sz="6" w:space="0" w:color="auto"/>
                      </w:tcBorders>
                      <w:shd w:val="clear" w:color="auto" w:fill="auto"/>
                      <w:hideMark/>
                    </w:tcPr>
                    <w:p w14:paraId="1DF9ACFD" w14:textId="77777777">
                      <w:pPr>
                        <w:jc w:val="center"/>
                        <w:textAlignment w:val="baseline"/>
                        <w:rPr>
                          <w:szCs w:val="24"/>
                          <w:lang w:eastAsia="lt-LT"/>
                        </w:rPr>
                      </w:pPr>
                      <w:r>
                        <w:rPr>
                          <w:szCs w:val="24"/>
                          <w:lang w:eastAsia="lt-LT"/>
                        </w:rPr>
                        <w:t>-</w:t>
                      </w:r>
                    </w:p>
                  </w:tc>
                  <w:tc>
                    <w:tcPr>
                      <w:tcW w:w="2880" w:type="dxa"/>
                      <w:tcBorders>
                        <w:top w:val="single" w:sz="6" w:space="0" w:color="auto"/>
                        <w:left w:val="single" w:sz="6" w:space="0" w:color="auto"/>
                        <w:bottom w:val="single" w:sz="6" w:space="0" w:color="auto"/>
                        <w:right w:val="single" w:sz="6" w:space="0" w:color="auto"/>
                      </w:tcBorders>
                      <w:shd w:val="clear" w:color="auto" w:fill="auto"/>
                      <w:hideMark/>
                    </w:tcPr>
                    <w:p w14:paraId="0E6E1664" w14:textId="77777777">
                      <w:pPr>
                        <w:textAlignment w:val="baseline"/>
                        <w:rPr>
                          <w:szCs w:val="24"/>
                          <w:lang w:eastAsia="lt-LT"/>
                        </w:rPr>
                      </w:pPr>
                      <w:r>
                        <w:rPr>
                          <w:szCs w:val="24"/>
                          <w:lang w:eastAsia="lt-LT"/>
                        </w:rPr>
                        <w:t>Įgyvendintų privalomų matomumo ir informavimo priemonių apie ES fondų investicijų veiklas fiksuotoji suma, pirmojo rinkinio fiksuotoji suma su PVM </w:t>
                      </w:r>
                    </w:p>
                  </w:tc>
                  <w:tc>
                    <w:tcPr>
                      <w:tcW w:w="2925" w:type="dxa"/>
                      <w:tcBorders>
                        <w:top w:val="single" w:sz="6" w:space="0" w:color="auto"/>
                        <w:left w:val="single" w:sz="6" w:space="0" w:color="auto"/>
                        <w:bottom w:val="single" w:sz="6" w:space="0" w:color="auto"/>
                        <w:right w:val="single" w:sz="6" w:space="0" w:color="auto"/>
                      </w:tcBorders>
                      <w:shd w:val="clear" w:color="auto" w:fill="auto"/>
                      <w:hideMark/>
                    </w:tcPr>
                    <w:p w14:paraId="305DC1D0" w14:textId="6B85941D">
                      <w:pPr>
                        <w:ind w:firstLine="57"/>
                        <w:jc w:val="center"/>
                        <w:textAlignment w:val="baseline"/>
                        <w:rPr>
                          <w:szCs w:val="24"/>
                          <w:lang w:eastAsia="lt-LT"/>
                        </w:rPr>
                      </w:pPr>
                      <w:r>
                        <w:rPr>
                          <w:szCs w:val="24"/>
                          <w:lang w:eastAsia="lt-LT"/>
                        </w:rPr>
                        <w:t>-</w:t>
                      </w:r>
                    </w:p>
                  </w:tc>
                </w:tr>
                <w:tr w14:paraId="2A65156C" w14:textId="77777777">
                  <w:tc>
                    <w:tcPr>
                      <w:tcW w:w="2880" w:type="dxa"/>
                      <w:tcBorders>
                        <w:top w:val="single" w:sz="6" w:space="0" w:color="auto"/>
                        <w:left w:val="single" w:sz="6" w:space="0" w:color="auto"/>
                        <w:bottom w:val="single" w:sz="6" w:space="0" w:color="auto"/>
                        <w:right w:val="single" w:sz="6" w:space="0" w:color="auto"/>
                      </w:tcBorders>
                      <w:shd w:val="clear" w:color="auto" w:fill="auto"/>
                    </w:tcPr>
                    <w:p w14:paraId="5A22D30B" w14:textId="0429361A">
                      <w:pPr>
                        <w:textAlignment w:val="baseline"/>
                        <w:rPr>
                          <w:szCs w:val="24"/>
                          <w:lang w:eastAsia="lt-LT"/>
                        </w:rPr>
                      </w:pPr>
                      <w:r>
                        <w:rPr>
                          <w:szCs w:val="24"/>
                        </w:rPr>
                        <w:t>Projektą vykdančio personalo darbo užmokesčio išlaidų dalis per mėnesį, skirta kasmetinėms atostogoms, kuri apskaičiuojama nuo tinkamų finansuoti faktiškai patirtų darbo užmokesčio išlaidų už faktiškai dirbtą laiką (8,63 proc.)</w:t>
                      </w:r>
                    </w:p>
                  </w:tc>
                  <w:tc>
                    <w:tcPr>
                      <w:tcW w:w="2880" w:type="dxa"/>
                      <w:tcBorders>
                        <w:top w:val="single" w:sz="6" w:space="0" w:color="auto"/>
                        <w:left w:val="single" w:sz="6" w:space="0" w:color="auto"/>
                        <w:bottom w:val="single" w:sz="6" w:space="0" w:color="auto"/>
                        <w:right w:val="single" w:sz="6" w:space="0" w:color="auto"/>
                      </w:tcBorders>
                      <w:shd w:val="clear" w:color="auto" w:fill="auto"/>
                    </w:tcPr>
                    <w:p w14:paraId="279765D6" w14:textId="6D3D9ABE">
                      <w:pPr>
                        <w:jc w:val="center"/>
                        <w:rPr>
                          <w:szCs w:val="24"/>
                        </w:rPr>
                      </w:pPr>
                      <w:r>
                        <w:rPr>
                          <w:szCs w:val="24"/>
                        </w:rPr>
                        <w:t>FN-05-01</w:t>
                      </w:r>
                    </w:p>
                    <w:p w14:paraId="05073766" w14:textId="77777777">
                      <w:pPr>
                        <w:jc w:val="center"/>
                        <w:textAlignment w:val="baseline"/>
                        <w:rPr>
                          <w:szCs w:val="24"/>
                          <w:lang w:eastAsia="lt-LT"/>
                        </w:rPr>
                      </w:pPr>
                    </w:p>
                  </w:tc>
                  <w:tc>
                    <w:tcPr>
                      <w:tcW w:w="2880" w:type="dxa"/>
                      <w:tcBorders>
                        <w:top w:val="single" w:sz="6" w:space="0" w:color="auto"/>
                        <w:left w:val="single" w:sz="6" w:space="0" w:color="auto"/>
                        <w:bottom w:val="single" w:sz="6" w:space="0" w:color="auto"/>
                        <w:right w:val="single" w:sz="6" w:space="0" w:color="auto"/>
                      </w:tcBorders>
                      <w:shd w:val="clear" w:color="auto" w:fill="auto"/>
                    </w:tcPr>
                    <w:p w14:paraId="00E4F4D6" w14:textId="08CB7493">
                      <w:pPr>
                        <w:jc w:val="center"/>
                        <w:textAlignment w:val="baseline"/>
                        <w:rPr>
                          <w:szCs w:val="24"/>
                          <w:lang w:eastAsia="lt-LT"/>
                        </w:rPr>
                      </w:pPr>
                      <w:r>
                        <w:rPr>
                          <w:szCs w:val="24"/>
                          <w:lang w:eastAsia="lt-LT"/>
                        </w:rPr>
                        <w:t>-</w:t>
                      </w:r>
                    </w:p>
                  </w:tc>
                  <w:tc>
                    <w:tcPr>
                      <w:tcW w:w="2880" w:type="dxa"/>
                      <w:tcBorders>
                        <w:top w:val="single" w:sz="6" w:space="0" w:color="auto"/>
                        <w:left w:val="single" w:sz="6" w:space="0" w:color="auto"/>
                        <w:bottom w:val="single" w:sz="6" w:space="0" w:color="auto"/>
                        <w:right w:val="single" w:sz="6" w:space="0" w:color="auto"/>
                      </w:tcBorders>
                      <w:shd w:val="clear" w:color="auto" w:fill="auto"/>
                    </w:tcPr>
                    <w:p w14:paraId="6A9172BB" w14:textId="1B6C1075">
                      <w:pPr>
                        <w:textAlignment w:val="baseline"/>
                        <w:rPr>
                          <w:szCs w:val="24"/>
                          <w:lang w:eastAsia="lt-LT"/>
                        </w:rPr>
                      </w:pPr>
                      <w:r>
                        <w:rPr>
                          <w:szCs w:val="24"/>
                        </w:rPr>
                        <w:t>Fiksuotoji norma taikoma, kai priklauso 20 darbo dienų (toliau – d. d.) (jeigu dirbama 5 d. d. per savaitę) arba 24 d. d. (jeigu dirbama 6 d. d. per savaitę) kasmetinės atostogos</w:t>
                      </w:r>
                    </w:p>
                  </w:tc>
                  <w:tc>
                    <w:tcPr>
                      <w:tcW w:w="2925" w:type="dxa"/>
                      <w:tcBorders>
                        <w:top w:val="single" w:sz="6" w:space="0" w:color="auto"/>
                        <w:left w:val="single" w:sz="6" w:space="0" w:color="auto"/>
                        <w:bottom w:val="single" w:sz="6" w:space="0" w:color="auto"/>
                        <w:right w:val="single" w:sz="6" w:space="0" w:color="auto"/>
                      </w:tcBorders>
                      <w:shd w:val="clear" w:color="auto" w:fill="auto"/>
                    </w:tcPr>
                    <w:p w14:paraId="68EB6A97" w14:textId="4BB51FD1">
                      <w:pPr>
                        <w:textAlignment w:val="baseline"/>
                        <w:rPr>
                          <w:szCs w:val="24"/>
                          <w:lang w:eastAsia="lt-LT"/>
                        </w:rPr>
                      </w:pPr>
                      <w:r>
                        <w:rPr>
                          <w:szCs w:val="24"/>
                        </w:rPr>
                        <w:t>Projektą vykdančio personalo darbo užmokesčio išlaidos už kasmetines atostogas, kurios apskaičiuojamos nuo tinkamų finansuoti faktiškai patirtų vykdančiojo personalo darbo užmokesčio išlaidų</w:t>
                      </w:r>
                    </w:p>
                  </w:tc>
                </w:tr>
                <w:tr w14:paraId="3860E4A8" w14:textId="77777777">
                  <w:tc>
                    <w:tcPr>
                      <w:tcW w:w="2880" w:type="dxa"/>
                      <w:tcBorders>
                        <w:top w:val="single" w:sz="6" w:space="0" w:color="auto"/>
                        <w:left w:val="single" w:sz="6" w:space="0" w:color="auto"/>
                        <w:bottom w:val="single" w:sz="6" w:space="0" w:color="auto"/>
                        <w:right w:val="single" w:sz="6" w:space="0" w:color="auto"/>
                      </w:tcBorders>
                      <w:shd w:val="clear" w:color="auto" w:fill="auto"/>
                    </w:tcPr>
                    <w:p w14:paraId="0F2A8BE1" w14:textId="317B34A6">
                      <w:pPr>
                        <w:textAlignment w:val="baseline"/>
                        <w:rPr>
                          <w:szCs w:val="24"/>
                        </w:rPr>
                      </w:pPr>
                      <w:r>
                        <w:rPr>
                          <w:szCs w:val="24"/>
                        </w:rPr>
                        <w:t>Darbo užmokesčio išlaidų dalis per mėnesį, skirta kasmetinėms atostogoms, kuri apskaičiuojama nuo tinkamų finansuoti faktiškai patirtų darbo užmokesčio išlaidų už faktiškai dirbtą laiką (10,44 proc.)</w:t>
                      </w:r>
                    </w:p>
                  </w:tc>
                  <w:tc>
                    <w:tcPr>
                      <w:tcW w:w="2880" w:type="dxa"/>
                      <w:tcBorders>
                        <w:top w:val="single" w:sz="6" w:space="0" w:color="auto"/>
                        <w:left w:val="single" w:sz="6" w:space="0" w:color="auto"/>
                        <w:bottom w:val="single" w:sz="6" w:space="0" w:color="auto"/>
                        <w:right w:val="single" w:sz="6" w:space="0" w:color="auto"/>
                      </w:tcBorders>
                      <w:shd w:val="clear" w:color="auto" w:fill="auto"/>
                    </w:tcPr>
                    <w:p w14:paraId="6E44FF57" w14:textId="00E5BE8A">
                      <w:pPr>
                        <w:jc w:val="center"/>
                        <w:rPr>
                          <w:szCs w:val="24"/>
                        </w:rPr>
                      </w:pPr>
                      <w:r>
                        <w:rPr>
                          <w:szCs w:val="24"/>
                        </w:rPr>
                        <w:t>FN-05-02</w:t>
                      </w:r>
                    </w:p>
                  </w:tc>
                  <w:tc>
                    <w:tcPr>
                      <w:tcW w:w="2880" w:type="dxa"/>
                      <w:tcBorders>
                        <w:top w:val="single" w:sz="6" w:space="0" w:color="auto"/>
                        <w:left w:val="single" w:sz="6" w:space="0" w:color="auto"/>
                        <w:bottom w:val="single" w:sz="6" w:space="0" w:color="auto"/>
                        <w:right w:val="single" w:sz="6" w:space="0" w:color="auto"/>
                      </w:tcBorders>
                      <w:shd w:val="clear" w:color="auto" w:fill="auto"/>
                    </w:tcPr>
                    <w:p w14:paraId="6804AD2E" w14:textId="0043E6FA">
                      <w:pPr>
                        <w:jc w:val="center"/>
                        <w:textAlignment w:val="baseline"/>
                        <w:rPr>
                          <w:szCs w:val="24"/>
                          <w:lang w:eastAsia="lt-LT"/>
                        </w:rPr>
                      </w:pPr>
                      <w:r>
                        <w:rPr>
                          <w:szCs w:val="24"/>
                          <w:lang w:eastAsia="lt-LT"/>
                        </w:rPr>
                        <w:t>-</w:t>
                      </w:r>
                    </w:p>
                  </w:tc>
                  <w:tc>
                    <w:tcPr>
                      <w:tcW w:w="2880" w:type="dxa"/>
                      <w:tcBorders>
                        <w:top w:val="single" w:sz="6" w:space="0" w:color="auto"/>
                        <w:left w:val="single" w:sz="6" w:space="0" w:color="auto"/>
                        <w:bottom w:val="single" w:sz="6" w:space="0" w:color="auto"/>
                        <w:right w:val="single" w:sz="6" w:space="0" w:color="auto"/>
                      </w:tcBorders>
                      <w:shd w:val="clear" w:color="auto" w:fill="auto"/>
                    </w:tcPr>
                    <w:p w14:paraId="1674B23A" w14:textId="207DC076">
                      <w:pPr>
                        <w:textAlignment w:val="baseline"/>
                        <w:rPr>
                          <w:szCs w:val="24"/>
                        </w:rPr>
                      </w:pPr>
                      <w:r>
                        <w:rPr>
                          <w:szCs w:val="24"/>
                        </w:rPr>
                        <w:t>Fiksuotoji norma taikoma, kai priklauso nuo 21 iki 25 d. d. (jeigu dirbama 5 d. d. per savaitę) arba nuo 25 iki 30 d. d. (jeigu dirbama 6 d. d. per savaitę) kasmetinės atostogos</w:t>
                      </w:r>
                    </w:p>
                  </w:tc>
                  <w:tc>
                    <w:tcPr>
                      <w:tcW w:w="2925" w:type="dxa"/>
                      <w:tcBorders>
                        <w:top w:val="single" w:sz="6" w:space="0" w:color="auto"/>
                        <w:left w:val="single" w:sz="6" w:space="0" w:color="auto"/>
                        <w:bottom w:val="single" w:sz="6" w:space="0" w:color="auto"/>
                        <w:right w:val="single" w:sz="6" w:space="0" w:color="auto"/>
                      </w:tcBorders>
                      <w:shd w:val="clear" w:color="auto" w:fill="auto"/>
                    </w:tcPr>
                    <w:p w14:paraId="15E61FDB" w14:textId="7C17C9DD">
                      <w:pPr>
                        <w:textAlignment w:val="baseline"/>
                        <w:rPr>
                          <w:szCs w:val="24"/>
                        </w:rPr>
                      </w:pPr>
                      <w:r>
                        <w:rPr>
                          <w:szCs w:val="24"/>
                        </w:rPr>
                        <w:t>Projektą vykdančio personalo darbo užmokesčio išlaidos už kasmetines atostogas, kurios apskaičiuojamos nuo tinkamų finansuoti faktiškai patirtų vykdančiojo personalo darbo užmokesčio išlaidų</w:t>
                      </w:r>
                    </w:p>
                  </w:tc>
                </w:tr>
                <w:tr w14:paraId="37A55915" w14:textId="77777777">
                  <w:tc>
                    <w:tcPr>
                      <w:tcW w:w="2880" w:type="dxa"/>
                      <w:tcBorders>
                        <w:top w:val="single" w:sz="6" w:space="0" w:color="auto"/>
                        <w:left w:val="single" w:sz="6" w:space="0" w:color="auto"/>
                        <w:bottom w:val="single" w:sz="6" w:space="0" w:color="auto"/>
                        <w:right w:val="single" w:sz="6" w:space="0" w:color="auto"/>
                      </w:tcBorders>
                      <w:shd w:val="clear" w:color="auto" w:fill="auto"/>
                    </w:tcPr>
                    <w:p w14:paraId="125413F7" w14:textId="40FE97A8">
                      <w:pPr>
                        <w:textAlignment w:val="baseline"/>
                        <w:rPr>
                          <w:szCs w:val="24"/>
                        </w:rPr>
                      </w:pPr>
                      <w:r>
                        <w:rPr>
                          <w:szCs w:val="24"/>
                        </w:rPr>
                        <w:t>Darbo užmokesčio išlaidų dalis per mėnesį, skirta kasmetinėms atostogoms, kuri apskaičiuojama nuo tinkamų finansuoti faktiškai patirtų darbo užmokesčio išlaidų už faktiškai dirbtą laiką (12,35 proc.)</w:t>
                      </w:r>
                    </w:p>
                  </w:tc>
                  <w:tc>
                    <w:tcPr>
                      <w:tcW w:w="2880" w:type="dxa"/>
                      <w:tcBorders>
                        <w:top w:val="single" w:sz="6" w:space="0" w:color="auto"/>
                        <w:left w:val="single" w:sz="6" w:space="0" w:color="auto"/>
                        <w:bottom w:val="single" w:sz="6" w:space="0" w:color="auto"/>
                        <w:right w:val="single" w:sz="6" w:space="0" w:color="auto"/>
                      </w:tcBorders>
                      <w:shd w:val="clear" w:color="auto" w:fill="auto"/>
                    </w:tcPr>
                    <w:p w14:paraId="743D77A0" w14:textId="77777777">
                      <w:pPr>
                        <w:jc w:val="center"/>
                        <w:rPr>
                          <w:szCs w:val="24"/>
                        </w:rPr>
                      </w:pPr>
                      <w:r>
                        <w:rPr>
                          <w:szCs w:val="24"/>
                        </w:rPr>
                        <w:t>FN-05-03</w:t>
                      </w:r>
                    </w:p>
                    <w:p w14:paraId="3E8E94EA" w14:textId="77777777">
                      <w:pPr>
                        <w:jc w:val="center"/>
                        <w:rPr>
                          <w:szCs w:val="24"/>
                        </w:rPr>
                      </w:pPr>
                    </w:p>
                  </w:tc>
                  <w:tc>
                    <w:tcPr>
                      <w:tcW w:w="2880" w:type="dxa"/>
                      <w:tcBorders>
                        <w:top w:val="single" w:sz="6" w:space="0" w:color="auto"/>
                        <w:left w:val="single" w:sz="6" w:space="0" w:color="auto"/>
                        <w:bottom w:val="single" w:sz="6" w:space="0" w:color="auto"/>
                        <w:right w:val="single" w:sz="6" w:space="0" w:color="auto"/>
                      </w:tcBorders>
                      <w:shd w:val="clear" w:color="auto" w:fill="auto"/>
                    </w:tcPr>
                    <w:p w14:paraId="7EF3B8F5" w14:textId="636861C2">
                      <w:pPr>
                        <w:jc w:val="center"/>
                        <w:textAlignment w:val="baseline"/>
                        <w:rPr>
                          <w:szCs w:val="24"/>
                          <w:lang w:eastAsia="lt-LT"/>
                        </w:rPr>
                      </w:pPr>
                      <w:r>
                        <w:rPr>
                          <w:szCs w:val="24"/>
                          <w:lang w:eastAsia="lt-LT"/>
                        </w:rPr>
                        <w:t>-</w:t>
                      </w:r>
                    </w:p>
                  </w:tc>
                  <w:tc>
                    <w:tcPr>
                      <w:tcW w:w="2880" w:type="dxa"/>
                      <w:tcBorders>
                        <w:top w:val="single" w:sz="6" w:space="0" w:color="auto"/>
                        <w:left w:val="single" w:sz="6" w:space="0" w:color="auto"/>
                        <w:bottom w:val="single" w:sz="6" w:space="0" w:color="auto"/>
                        <w:right w:val="single" w:sz="6" w:space="0" w:color="auto"/>
                      </w:tcBorders>
                      <w:shd w:val="clear" w:color="auto" w:fill="auto"/>
                    </w:tcPr>
                    <w:p w14:paraId="670B9B0B" w14:textId="33565BC3">
                      <w:pPr>
                        <w:textAlignment w:val="baseline"/>
                        <w:rPr>
                          <w:szCs w:val="24"/>
                        </w:rPr>
                      </w:pPr>
                      <w:r>
                        <w:rPr>
                          <w:szCs w:val="24"/>
                        </w:rPr>
                        <w:t>Fiksuotoji norma taikoma, kai priklauso nuo 26 iki 30 d. d. (jeigu dirbama 5 d. d. per savaitę) arba nuo 31 iki 36 d. d. (jeigu dirbama 6 d. d. per savaitę) kasmetinės atostogos</w:t>
                      </w:r>
                    </w:p>
                  </w:tc>
                  <w:tc>
                    <w:tcPr>
                      <w:tcW w:w="2925" w:type="dxa"/>
                      <w:tcBorders>
                        <w:top w:val="single" w:sz="6" w:space="0" w:color="auto"/>
                        <w:left w:val="single" w:sz="6" w:space="0" w:color="auto"/>
                        <w:bottom w:val="single" w:sz="6" w:space="0" w:color="auto"/>
                        <w:right w:val="single" w:sz="6" w:space="0" w:color="auto"/>
                      </w:tcBorders>
                      <w:shd w:val="clear" w:color="auto" w:fill="auto"/>
                    </w:tcPr>
                    <w:p w14:paraId="4347E191" w14:textId="5B24B505">
                      <w:pPr>
                        <w:textAlignment w:val="baseline"/>
                        <w:rPr>
                          <w:szCs w:val="24"/>
                        </w:rPr>
                      </w:pPr>
                      <w:r>
                        <w:rPr>
                          <w:szCs w:val="24"/>
                        </w:rPr>
                        <w:t>Projektą vykdančio personalo darbo užmokesčio išlaidos už kasmetines atostogas, kurios apskaičiuojamos nuo tinkamų finansuoti faktiškai patirtų vykdančiojo personalo darbo užmokesčio išlaidų</w:t>
                      </w:r>
                    </w:p>
                  </w:tc>
                </w:tr>
                <w:tr w14:paraId="6ABE0C23" w14:textId="77777777">
                  <w:tc>
                    <w:tcPr>
                      <w:tcW w:w="2880" w:type="dxa"/>
                      <w:tcBorders>
                        <w:top w:val="single" w:sz="6" w:space="0" w:color="auto"/>
                        <w:left w:val="single" w:sz="6" w:space="0" w:color="auto"/>
                        <w:bottom w:val="single" w:sz="6" w:space="0" w:color="auto"/>
                        <w:right w:val="single" w:sz="6" w:space="0" w:color="auto"/>
                      </w:tcBorders>
                      <w:shd w:val="clear" w:color="auto" w:fill="auto"/>
                    </w:tcPr>
                    <w:p w14:paraId="1CC099AB" w14:textId="17E48664">
                      <w:pPr>
                        <w:textAlignment w:val="baseline"/>
                        <w:rPr>
                          <w:szCs w:val="24"/>
                        </w:rPr>
                      </w:pPr>
                      <w:r>
                        <w:rPr>
                          <w:szCs w:val="24"/>
                        </w:rPr>
                        <w:t>Darbo užmokesčio išlaidų dalis per mėnesį, skirta kasmetinėms atostogoms, kuri apskaičiuojama nuo tinkamų finansuoti faktiškai patirtų darbo užmokesčio išlaidų už faktiškai dirbtą laiką (14,99 proc.)</w:t>
                      </w:r>
                    </w:p>
                  </w:tc>
                  <w:tc>
                    <w:tcPr>
                      <w:tcW w:w="2880" w:type="dxa"/>
                      <w:tcBorders>
                        <w:top w:val="single" w:sz="6" w:space="0" w:color="auto"/>
                        <w:left w:val="single" w:sz="6" w:space="0" w:color="auto"/>
                        <w:bottom w:val="single" w:sz="6" w:space="0" w:color="auto"/>
                        <w:right w:val="single" w:sz="6" w:space="0" w:color="auto"/>
                      </w:tcBorders>
                      <w:shd w:val="clear" w:color="auto" w:fill="auto"/>
                    </w:tcPr>
                    <w:p w14:paraId="12AF02A3" w14:textId="77777777">
                      <w:pPr>
                        <w:jc w:val="center"/>
                        <w:rPr>
                          <w:szCs w:val="24"/>
                        </w:rPr>
                      </w:pPr>
                      <w:r>
                        <w:rPr>
                          <w:szCs w:val="24"/>
                        </w:rPr>
                        <w:t>FN-05-04</w:t>
                      </w:r>
                    </w:p>
                    <w:p w14:paraId="23D3F004" w14:textId="77777777">
                      <w:pPr>
                        <w:jc w:val="center"/>
                        <w:rPr>
                          <w:szCs w:val="24"/>
                        </w:rPr>
                      </w:pPr>
                    </w:p>
                  </w:tc>
                  <w:tc>
                    <w:tcPr>
                      <w:tcW w:w="2880" w:type="dxa"/>
                      <w:tcBorders>
                        <w:top w:val="single" w:sz="6" w:space="0" w:color="auto"/>
                        <w:left w:val="single" w:sz="6" w:space="0" w:color="auto"/>
                        <w:bottom w:val="single" w:sz="6" w:space="0" w:color="auto"/>
                        <w:right w:val="single" w:sz="6" w:space="0" w:color="auto"/>
                      </w:tcBorders>
                      <w:shd w:val="clear" w:color="auto" w:fill="auto"/>
                    </w:tcPr>
                    <w:p w14:paraId="14AB9A74" w14:textId="77777777">
                      <w:pPr>
                        <w:jc w:val="center"/>
                        <w:textAlignment w:val="baseline"/>
                        <w:rPr>
                          <w:szCs w:val="24"/>
                          <w:lang w:eastAsia="lt-LT"/>
                        </w:rPr>
                      </w:pPr>
                    </w:p>
                  </w:tc>
                  <w:tc>
                    <w:tcPr>
                      <w:tcW w:w="2880" w:type="dxa"/>
                      <w:tcBorders>
                        <w:top w:val="single" w:sz="6" w:space="0" w:color="auto"/>
                        <w:left w:val="single" w:sz="6" w:space="0" w:color="auto"/>
                        <w:bottom w:val="single" w:sz="6" w:space="0" w:color="auto"/>
                        <w:right w:val="single" w:sz="6" w:space="0" w:color="auto"/>
                      </w:tcBorders>
                      <w:shd w:val="clear" w:color="auto" w:fill="auto"/>
                    </w:tcPr>
                    <w:p w14:paraId="1651152E" w14:textId="473BE7FB">
                      <w:pPr>
                        <w:textAlignment w:val="baseline"/>
                        <w:rPr>
                          <w:szCs w:val="24"/>
                        </w:rPr>
                      </w:pPr>
                      <w:r>
                        <w:rPr>
                          <w:szCs w:val="24"/>
                        </w:rPr>
                        <w:t>Fiksuotoji norma taikoma, kai priklauso nuo 31 iki 36 d. d. (jeigu dirbama 5 d. d. per savaitę) arba nuo 37 iki 42 d. d. (jeigu dirbama 6 d. d. per savaitę) kasmetinės atostogos</w:t>
                      </w:r>
                    </w:p>
                  </w:tc>
                  <w:tc>
                    <w:tcPr>
                      <w:tcW w:w="2925" w:type="dxa"/>
                      <w:tcBorders>
                        <w:top w:val="single" w:sz="6" w:space="0" w:color="auto"/>
                        <w:left w:val="single" w:sz="6" w:space="0" w:color="auto"/>
                        <w:bottom w:val="single" w:sz="6" w:space="0" w:color="auto"/>
                        <w:right w:val="single" w:sz="6" w:space="0" w:color="auto"/>
                      </w:tcBorders>
                      <w:shd w:val="clear" w:color="auto" w:fill="auto"/>
                    </w:tcPr>
                    <w:p w14:paraId="3FA652AA" w14:textId="28F2CC5E">
                      <w:pPr>
                        <w:textAlignment w:val="baseline"/>
                        <w:rPr>
                          <w:szCs w:val="24"/>
                        </w:rPr>
                      </w:pPr>
                      <w:r>
                        <w:rPr>
                          <w:szCs w:val="24"/>
                        </w:rPr>
                        <w:t>Projektą vykdančio personalo darbo užmokesčio išlaidos už kasmetines atostogas, kurios apskaičiuojamos nuo tinkamų finansuoti faktiškai patirtų vykdančiojo personalo darbo užmokesčio išlaidų</w:t>
                      </w:r>
                    </w:p>
                  </w:tc>
                </w:tr>
                <w:tr w14:paraId="622D3271" w14:textId="77777777">
                  <w:tc>
                    <w:tcPr>
                      <w:tcW w:w="2880" w:type="dxa"/>
                      <w:tcBorders>
                        <w:top w:val="single" w:sz="6" w:space="0" w:color="auto"/>
                        <w:left w:val="single" w:sz="6" w:space="0" w:color="auto"/>
                        <w:bottom w:val="single" w:sz="6" w:space="0" w:color="auto"/>
                        <w:right w:val="single" w:sz="6" w:space="0" w:color="auto"/>
                      </w:tcBorders>
                      <w:shd w:val="clear" w:color="auto" w:fill="auto"/>
                    </w:tcPr>
                    <w:p w14:paraId="719132AA" w14:textId="7AF50B9D">
                      <w:pPr>
                        <w:textAlignment w:val="baseline"/>
                        <w:rPr>
                          <w:szCs w:val="24"/>
                        </w:rPr>
                      </w:pPr>
                      <w:r>
                        <w:rPr>
                          <w:szCs w:val="24"/>
                        </w:rPr>
                        <w:t>Darbo užmokesčio išlaidų dalis per mėnesį, skirta kasmetinėms atostogoms, kuri apskaičiuojama nuo tinkamų finansuoti faktiškai patirtų darbo užmokesčio išlaidų už faktiškai dirbtą laiką (15,25 proc.)</w:t>
                      </w:r>
                    </w:p>
                  </w:tc>
                  <w:tc>
                    <w:tcPr>
                      <w:tcW w:w="2880" w:type="dxa"/>
                      <w:tcBorders>
                        <w:top w:val="single" w:sz="6" w:space="0" w:color="auto"/>
                        <w:left w:val="single" w:sz="6" w:space="0" w:color="auto"/>
                        <w:bottom w:val="single" w:sz="6" w:space="0" w:color="auto"/>
                        <w:right w:val="single" w:sz="6" w:space="0" w:color="auto"/>
                      </w:tcBorders>
                      <w:shd w:val="clear" w:color="auto" w:fill="auto"/>
                    </w:tcPr>
                    <w:p w14:paraId="3D037CF7" w14:textId="77777777">
                      <w:pPr>
                        <w:jc w:val="center"/>
                        <w:rPr>
                          <w:szCs w:val="24"/>
                        </w:rPr>
                      </w:pPr>
                      <w:r>
                        <w:rPr>
                          <w:szCs w:val="24"/>
                        </w:rPr>
                        <w:t>FN-05-05</w:t>
                      </w:r>
                    </w:p>
                    <w:p w14:paraId="6A518B88" w14:textId="77777777">
                      <w:pPr>
                        <w:jc w:val="center"/>
                        <w:rPr>
                          <w:szCs w:val="24"/>
                        </w:rPr>
                      </w:pPr>
                    </w:p>
                  </w:tc>
                  <w:tc>
                    <w:tcPr>
                      <w:tcW w:w="2880" w:type="dxa"/>
                      <w:tcBorders>
                        <w:top w:val="single" w:sz="6" w:space="0" w:color="auto"/>
                        <w:left w:val="single" w:sz="6" w:space="0" w:color="auto"/>
                        <w:bottom w:val="single" w:sz="6" w:space="0" w:color="auto"/>
                        <w:right w:val="single" w:sz="6" w:space="0" w:color="auto"/>
                      </w:tcBorders>
                      <w:shd w:val="clear" w:color="auto" w:fill="auto"/>
                    </w:tcPr>
                    <w:p w14:paraId="5562D046" w14:textId="77777777">
                      <w:pPr>
                        <w:jc w:val="center"/>
                        <w:textAlignment w:val="baseline"/>
                        <w:rPr>
                          <w:szCs w:val="24"/>
                          <w:lang w:eastAsia="lt-LT"/>
                        </w:rPr>
                      </w:pPr>
                    </w:p>
                  </w:tc>
                  <w:tc>
                    <w:tcPr>
                      <w:tcW w:w="2880" w:type="dxa"/>
                      <w:tcBorders>
                        <w:top w:val="single" w:sz="6" w:space="0" w:color="auto"/>
                        <w:left w:val="single" w:sz="6" w:space="0" w:color="auto"/>
                        <w:bottom w:val="single" w:sz="6" w:space="0" w:color="auto"/>
                        <w:right w:val="single" w:sz="6" w:space="0" w:color="auto"/>
                      </w:tcBorders>
                      <w:shd w:val="clear" w:color="auto" w:fill="auto"/>
                    </w:tcPr>
                    <w:p w14:paraId="4ADCEE89" w14:textId="3C4BB37C">
                      <w:pPr>
                        <w:textAlignment w:val="baseline"/>
                        <w:rPr>
                          <w:szCs w:val="24"/>
                        </w:rPr>
                      </w:pPr>
                      <w:r>
                        <w:rPr>
                          <w:szCs w:val="24"/>
                        </w:rPr>
                        <w:t>Fiksuotoji norma taikoma, kai priklauso nuo 37 iki 39 d. d. (jeigu dirbama 5 d. d. per savaitę) arba nuo 43 iki 47 d. d. (jeigu dirbama 6 d. d. per savaitę) kasmetinės atostogos</w:t>
                      </w:r>
                    </w:p>
                  </w:tc>
                  <w:tc>
                    <w:tcPr>
                      <w:tcW w:w="2925" w:type="dxa"/>
                      <w:tcBorders>
                        <w:top w:val="single" w:sz="6" w:space="0" w:color="auto"/>
                        <w:left w:val="single" w:sz="6" w:space="0" w:color="auto"/>
                        <w:bottom w:val="single" w:sz="6" w:space="0" w:color="auto"/>
                        <w:right w:val="single" w:sz="6" w:space="0" w:color="auto"/>
                      </w:tcBorders>
                      <w:shd w:val="clear" w:color="auto" w:fill="auto"/>
                    </w:tcPr>
                    <w:p w14:paraId="18B7E732" w14:textId="4011E2E4">
                      <w:pPr>
                        <w:textAlignment w:val="baseline"/>
                        <w:rPr>
                          <w:szCs w:val="24"/>
                        </w:rPr>
                      </w:pPr>
                      <w:r>
                        <w:rPr>
                          <w:szCs w:val="24"/>
                        </w:rPr>
                        <w:t>Projektą vykdančio personalo darbo užmokesčio išlaidos už kasmetines atostogas, kurios apskaičiuojamos nuo tinkamų finansuoti faktiškai patirtų vykdančiojo personalo darbo užmokesčio išlaidų</w:t>
                      </w:r>
                    </w:p>
                  </w:tc>
                </w:tr>
                <w:tr w14:paraId="1D3C2329" w14:textId="77777777">
                  <w:tc>
                    <w:tcPr>
                      <w:tcW w:w="2880" w:type="dxa"/>
                      <w:tcBorders>
                        <w:top w:val="single" w:sz="6" w:space="0" w:color="auto"/>
                        <w:left w:val="single" w:sz="6" w:space="0" w:color="auto"/>
                        <w:bottom w:val="single" w:sz="6" w:space="0" w:color="auto"/>
                        <w:right w:val="single" w:sz="6" w:space="0" w:color="auto"/>
                      </w:tcBorders>
                      <w:shd w:val="clear" w:color="auto" w:fill="auto"/>
                    </w:tcPr>
                    <w:p w14:paraId="69726D2C" w14:textId="6693AC78">
                      <w:pPr>
                        <w:textAlignment w:val="baseline"/>
                        <w:rPr>
                          <w:szCs w:val="24"/>
                        </w:rPr>
                      </w:pPr>
                      <w:r>
                        <w:rPr>
                          <w:szCs w:val="24"/>
                        </w:rPr>
                        <w:t>Darbo užmokesčio išlaidų dalis per mėnesį, skirta kasmetinėms atostogoms, kuri apskaičiuojama nuo tinkamų finansuoti faktiškai patirtų darbo užmokesčio išlaidų už faktiškai dirbtą laiką (18,89 proc.)</w:t>
                      </w:r>
                    </w:p>
                  </w:tc>
                  <w:tc>
                    <w:tcPr>
                      <w:tcW w:w="2880" w:type="dxa"/>
                      <w:tcBorders>
                        <w:top w:val="single" w:sz="6" w:space="0" w:color="auto"/>
                        <w:left w:val="single" w:sz="6" w:space="0" w:color="auto"/>
                        <w:bottom w:val="single" w:sz="6" w:space="0" w:color="auto"/>
                        <w:right w:val="single" w:sz="6" w:space="0" w:color="auto"/>
                      </w:tcBorders>
                      <w:shd w:val="clear" w:color="auto" w:fill="auto"/>
                    </w:tcPr>
                    <w:p w14:paraId="2747A1FE" w14:textId="77777777">
                      <w:pPr>
                        <w:jc w:val="center"/>
                        <w:rPr>
                          <w:szCs w:val="24"/>
                        </w:rPr>
                      </w:pPr>
                      <w:r>
                        <w:rPr>
                          <w:szCs w:val="24"/>
                        </w:rPr>
                        <w:t>FN-05-06</w:t>
                      </w:r>
                    </w:p>
                    <w:p w14:paraId="65D31337" w14:textId="77777777">
                      <w:pPr>
                        <w:jc w:val="center"/>
                        <w:rPr>
                          <w:szCs w:val="24"/>
                        </w:rPr>
                      </w:pPr>
                    </w:p>
                  </w:tc>
                  <w:tc>
                    <w:tcPr>
                      <w:tcW w:w="2880" w:type="dxa"/>
                      <w:tcBorders>
                        <w:top w:val="single" w:sz="6" w:space="0" w:color="auto"/>
                        <w:left w:val="single" w:sz="6" w:space="0" w:color="auto"/>
                        <w:bottom w:val="single" w:sz="6" w:space="0" w:color="auto"/>
                        <w:right w:val="single" w:sz="6" w:space="0" w:color="auto"/>
                      </w:tcBorders>
                      <w:shd w:val="clear" w:color="auto" w:fill="auto"/>
                    </w:tcPr>
                    <w:p w14:paraId="6D9503D6" w14:textId="77777777">
                      <w:pPr>
                        <w:jc w:val="center"/>
                        <w:textAlignment w:val="baseline"/>
                        <w:rPr>
                          <w:szCs w:val="24"/>
                          <w:lang w:eastAsia="lt-LT"/>
                        </w:rPr>
                      </w:pPr>
                    </w:p>
                  </w:tc>
                  <w:tc>
                    <w:tcPr>
                      <w:tcW w:w="2880" w:type="dxa"/>
                      <w:tcBorders>
                        <w:top w:val="single" w:sz="6" w:space="0" w:color="auto"/>
                        <w:left w:val="single" w:sz="6" w:space="0" w:color="auto"/>
                        <w:bottom w:val="single" w:sz="6" w:space="0" w:color="auto"/>
                        <w:right w:val="single" w:sz="6" w:space="0" w:color="auto"/>
                      </w:tcBorders>
                      <w:shd w:val="clear" w:color="auto" w:fill="auto"/>
                    </w:tcPr>
                    <w:p w14:paraId="08C1274D" w14:textId="73DA4422">
                      <w:pPr>
                        <w:textAlignment w:val="baseline"/>
                        <w:rPr>
                          <w:szCs w:val="24"/>
                        </w:rPr>
                      </w:pPr>
                      <w:r>
                        <w:rPr>
                          <w:szCs w:val="24"/>
                        </w:rPr>
                        <w:t>Fiksuotoji norma taikoma, kai priklauso 40 d. d. (jeigu dirbama 5 d. d. per savaitę) arba 48 d. d. (jeigu dirbama 6 d. d. per savaitę) kasmetinės atostogos</w:t>
                      </w:r>
                    </w:p>
                  </w:tc>
                  <w:tc>
                    <w:tcPr>
                      <w:tcW w:w="2925" w:type="dxa"/>
                      <w:tcBorders>
                        <w:top w:val="single" w:sz="6" w:space="0" w:color="auto"/>
                        <w:left w:val="single" w:sz="6" w:space="0" w:color="auto"/>
                        <w:bottom w:val="single" w:sz="6" w:space="0" w:color="auto"/>
                        <w:right w:val="single" w:sz="6" w:space="0" w:color="auto"/>
                      </w:tcBorders>
                      <w:shd w:val="clear" w:color="auto" w:fill="auto"/>
                    </w:tcPr>
                    <w:p w14:paraId="750D6081" w14:textId="7EEA081C">
                      <w:pPr>
                        <w:textAlignment w:val="baseline"/>
                        <w:rPr>
                          <w:szCs w:val="24"/>
                        </w:rPr>
                      </w:pPr>
                      <w:r>
                        <w:rPr>
                          <w:szCs w:val="24"/>
                        </w:rPr>
                        <w:t>Projektą vykdančio personalo darbo užmokesčio išlaidos už kasmetines atostogas, kurios apskaičiuojamos nuo tinkamų finansuoti faktiškai patirtų vykdančiojo personalo darbo užmokesčio išlaidų</w:t>
                      </w:r>
                    </w:p>
                  </w:tc>
                </w:tr>
                <w:tr w14:paraId="23B49F8D" w14:textId="77777777">
                  <w:tc>
                    <w:tcPr>
                      <w:tcW w:w="2880" w:type="dxa"/>
                      <w:tcBorders>
                        <w:top w:val="single" w:sz="6" w:space="0" w:color="auto"/>
                        <w:left w:val="single" w:sz="6" w:space="0" w:color="auto"/>
                        <w:bottom w:val="single" w:sz="6" w:space="0" w:color="auto"/>
                        <w:right w:val="single" w:sz="6" w:space="0" w:color="auto"/>
                      </w:tcBorders>
                      <w:shd w:val="clear" w:color="auto" w:fill="auto"/>
                    </w:tcPr>
                    <w:p w14:paraId="6843CB98" w14:textId="6359A9AE">
                      <w:pPr>
                        <w:textAlignment w:val="baseline"/>
                        <w:rPr>
                          <w:szCs w:val="24"/>
                        </w:rPr>
                      </w:pPr>
                      <w:r>
                        <w:rPr>
                          <w:szCs w:val="24"/>
                        </w:rPr>
                        <w:t>Darbo užmokesčio išlaidų dalis per mėnesį, skirta kasmetinėms atostogoms, kuri apskaičiuojama nuo tinkamų finansuoti faktiškai patirtų darbo užmokesčio išlaidų už faktiškai dirbtą laiką (20,02 proc.)</w:t>
                      </w:r>
                    </w:p>
                  </w:tc>
                  <w:tc>
                    <w:tcPr>
                      <w:tcW w:w="2880" w:type="dxa"/>
                      <w:tcBorders>
                        <w:top w:val="single" w:sz="6" w:space="0" w:color="auto"/>
                        <w:left w:val="single" w:sz="6" w:space="0" w:color="auto"/>
                        <w:bottom w:val="single" w:sz="6" w:space="0" w:color="auto"/>
                        <w:right w:val="single" w:sz="6" w:space="0" w:color="auto"/>
                      </w:tcBorders>
                      <w:shd w:val="clear" w:color="auto" w:fill="auto"/>
                    </w:tcPr>
                    <w:p w14:paraId="68BC490B" w14:textId="77777777">
                      <w:pPr>
                        <w:jc w:val="center"/>
                        <w:rPr>
                          <w:szCs w:val="24"/>
                        </w:rPr>
                      </w:pPr>
                      <w:r>
                        <w:rPr>
                          <w:szCs w:val="24"/>
                        </w:rPr>
                        <w:t>FN-05-07</w:t>
                      </w:r>
                    </w:p>
                    <w:p w14:paraId="0BE6636F" w14:textId="77777777">
                      <w:pPr>
                        <w:jc w:val="center"/>
                        <w:rPr>
                          <w:szCs w:val="24"/>
                        </w:rPr>
                      </w:pPr>
                    </w:p>
                  </w:tc>
                  <w:tc>
                    <w:tcPr>
                      <w:tcW w:w="2880" w:type="dxa"/>
                      <w:tcBorders>
                        <w:top w:val="single" w:sz="6" w:space="0" w:color="auto"/>
                        <w:left w:val="single" w:sz="6" w:space="0" w:color="auto"/>
                        <w:bottom w:val="single" w:sz="6" w:space="0" w:color="auto"/>
                        <w:right w:val="single" w:sz="6" w:space="0" w:color="auto"/>
                      </w:tcBorders>
                      <w:shd w:val="clear" w:color="auto" w:fill="auto"/>
                    </w:tcPr>
                    <w:p w14:paraId="20814B4E" w14:textId="77777777">
                      <w:pPr>
                        <w:jc w:val="center"/>
                        <w:textAlignment w:val="baseline"/>
                        <w:rPr>
                          <w:szCs w:val="24"/>
                          <w:lang w:eastAsia="lt-LT"/>
                        </w:rPr>
                      </w:pPr>
                    </w:p>
                  </w:tc>
                  <w:tc>
                    <w:tcPr>
                      <w:tcW w:w="2880" w:type="dxa"/>
                      <w:tcBorders>
                        <w:top w:val="single" w:sz="6" w:space="0" w:color="auto"/>
                        <w:left w:val="single" w:sz="6" w:space="0" w:color="auto"/>
                        <w:bottom w:val="single" w:sz="6" w:space="0" w:color="auto"/>
                        <w:right w:val="single" w:sz="6" w:space="0" w:color="auto"/>
                      </w:tcBorders>
                      <w:shd w:val="clear" w:color="auto" w:fill="auto"/>
                    </w:tcPr>
                    <w:p w14:paraId="1B32A8BC" w14:textId="26B91CAF">
                      <w:pPr>
                        <w:textAlignment w:val="baseline"/>
                        <w:rPr>
                          <w:szCs w:val="24"/>
                        </w:rPr>
                      </w:pPr>
                      <w:r>
                        <w:rPr>
                          <w:szCs w:val="24"/>
                        </w:rPr>
                        <w:t>Fiksuotoji norma taikoma, kai priklauso nuo 41 d. d. (jeigu dirbama 5 d. d. per savaitę) arba nuo 49 d. d. (jeigu dirbama 6 d. d. per savaitę) kasmetinės atostogos</w:t>
                      </w:r>
                    </w:p>
                  </w:tc>
                  <w:tc>
                    <w:tcPr>
                      <w:tcW w:w="2925" w:type="dxa"/>
                      <w:tcBorders>
                        <w:top w:val="single" w:sz="6" w:space="0" w:color="auto"/>
                        <w:left w:val="single" w:sz="6" w:space="0" w:color="auto"/>
                        <w:bottom w:val="single" w:sz="6" w:space="0" w:color="auto"/>
                        <w:right w:val="single" w:sz="6" w:space="0" w:color="auto"/>
                      </w:tcBorders>
                      <w:shd w:val="clear" w:color="auto" w:fill="auto"/>
                    </w:tcPr>
                    <w:p w14:paraId="017FED06" w14:textId="778B6CF6">
                      <w:pPr>
                        <w:textAlignment w:val="baseline"/>
                        <w:rPr>
                          <w:szCs w:val="24"/>
                        </w:rPr>
                      </w:pPr>
                      <w:r>
                        <w:rPr>
                          <w:szCs w:val="24"/>
                        </w:rPr>
                        <w:t>Projektą vykdančio personalo darbo užmokesčio išlaidos už kasmetines atostogas, kurios apskaičiuojamos nuo tinkamų finansuoti faktiškai patirtų vykdančiojo personalo darbo užmokesčio išlaidų</w:t>
                      </w:r>
                    </w:p>
                  </w:tc>
                </w:tr>
                <w:tr w14:paraId="00859299" w14:textId="77777777">
                  <w:tc>
                    <w:tcPr>
                      <w:tcW w:w="2880" w:type="dxa"/>
                      <w:tcBorders>
                        <w:top w:val="single" w:sz="6" w:space="0" w:color="auto"/>
                        <w:left w:val="single" w:sz="6" w:space="0" w:color="auto"/>
                        <w:bottom w:val="single" w:sz="6" w:space="0" w:color="auto"/>
                        <w:right w:val="single" w:sz="6" w:space="0" w:color="auto"/>
                      </w:tcBorders>
                      <w:shd w:val="clear" w:color="auto" w:fill="auto"/>
                    </w:tcPr>
                    <w:p w14:paraId="3CED8515" w14:textId="606B04FE">
                      <w:pPr>
                        <w:textAlignment w:val="baseline"/>
                        <w:rPr>
                          <w:szCs w:val="24"/>
                        </w:rPr>
                      </w:pPr>
                      <w:r>
                        <w:rPr>
                          <w:szCs w:val="24"/>
                          <w:lang w:eastAsia="lt-LT"/>
                        </w:rPr>
                        <w:t>Netiesioginės išlaidos </w:t>
                      </w:r>
                    </w:p>
                  </w:tc>
                  <w:tc>
                    <w:tcPr>
                      <w:tcW w:w="2880" w:type="dxa"/>
                      <w:tcBorders>
                        <w:top w:val="single" w:sz="6" w:space="0" w:color="auto"/>
                        <w:left w:val="single" w:sz="6" w:space="0" w:color="auto"/>
                        <w:bottom w:val="single" w:sz="6" w:space="0" w:color="auto"/>
                        <w:right w:val="single" w:sz="6" w:space="0" w:color="auto"/>
                      </w:tcBorders>
                      <w:shd w:val="clear" w:color="auto" w:fill="auto"/>
                    </w:tcPr>
                    <w:p w14:paraId="7F175C9A" w14:textId="78961EB6">
                      <w:pPr>
                        <w:jc w:val="center"/>
                        <w:rPr>
                          <w:szCs w:val="24"/>
                        </w:rPr>
                      </w:pPr>
                      <w:r>
                        <w:rPr>
                          <w:szCs w:val="24"/>
                          <w:lang w:eastAsia="lt-LT"/>
                        </w:rPr>
                        <w:t>FN-01 </w:t>
                      </w:r>
                    </w:p>
                  </w:tc>
                  <w:tc>
                    <w:tcPr>
                      <w:tcW w:w="2880" w:type="dxa"/>
                      <w:tcBorders>
                        <w:top w:val="single" w:sz="6" w:space="0" w:color="auto"/>
                        <w:left w:val="single" w:sz="6" w:space="0" w:color="auto"/>
                        <w:bottom w:val="single" w:sz="6" w:space="0" w:color="auto"/>
                        <w:right w:val="single" w:sz="6" w:space="0" w:color="auto"/>
                      </w:tcBorders>
                      <w:shd w:val="clear" w:color="auto" w:fill="auto"/>
                    </w:tcPr>
                    <w:p w14:paraId="3E488851" w14:textId="53DD9D18">
                      <w:pPr>
                        <w:jc w:val="center"/>
                        <w:textAlignment w:val="baseline"/>
                        <w:rPr>
                          <w:szCs w:val="24"/>
                          <w:lang w:eastAsia="lt-LT"/>
                        </w:rPr>
                      </w:pPr>
                      <w:r>
                        <w:rPr>
                          <w:szCs w:val="24"/>
                          <w:lang w:eastAsia="lt-LT"/>
                        </w:rPr>
                        <w:t>01</w:t>
                      </w:r>
                    </w:p>
                  </w:tc>
                  <w:tc>
                    <w:tcPr>
                      <w:tcW w:w="2880" w:type="dxa"/>
                      <w:tcBorders>
                        <w:top w:val="single" w:sz="6" w:space="0" w:color="auto"/>
                        <w:left w:val="single" w:sz="6" w:space="0" w:color="auto"/>
                        <w:bottom w:val="single" w:sz="6" w:space="0" w:color="auto"/>
                        <w:right w:val="single" w:sz="6" w:space="0" w:color="auto"/>
                      </w:tcBorders>
                      <w:shd w:val="clear" w:color="auto" w:fill="auto"/>
                    </w:tcPr>
                    <w:p w14:paraId="7FA25560" w14:textId="3BD30717">
                      <w:pPr>
                        <w:textAlignment w:val="baseline"/>
                        <w:rPr>
                          <w:szCs w:val="24"/>
                        </w:rPr>
                      </w:pPr>
                      <w:r>
                        <w:rPr>
                          <w:szCs w:val="24"/>
                          <w:lang w:eastAsia="lt-LT"/>
                        </w:rPr>
                        <w:t>7 proc. netiesioginių išlaidų fiksuotoji norma</w:t>
                      </w:r>
                    </w:p>
                  </w:tc>
                  <w:tc>
                    <w:tcPr>
                      <w:tcW w:w="2925" w:type="dxa"/>
                      <w:tcBorders>
                        <w:top w:val="single" w:sz="6" w:space="0" w:color="auto"/>
                        <w:left w:val="single" w:sz="6" w:space="0" w:color="auto"/>
                        <w:bottom w:val="single" w:sz="6" w:space="0" w:color="auto"/>
                        <w:right w:val="single" w:sz="6" w:space="0" w:color="auto"/>
                      </w:tcBorders>
                      <w:shd w:val="clear" w:color="auto" w:fill="auto"/>
                    </w:tcPr>
                    <w:p w14:paraId="11B24ECC" w14:textId="61AB6EF4">
                      <w:pPr>
                        <w:textAlignment w:val="baseline"/>
                        <w:rPr>
                          <w:szCs w:val="24"/>
                        </w:rPr>
                      </w:pPr>
                      <w:r>
                        <w:rPr>
                          <w:szCs w:val="24"/>
                          <w:lang w:eastAsia="lt-LT"/>
                        </w:rPr>
                        <w:t>Iš fiksuotosios projekto išlaidų normos dengiamos projektų vykdytojų netiesioginės išlaidos.</w:t>
                      </w:r>
                    </w:p>
                  </w:tc>
                </w:tr>
              </w:tbl>
              <w:p w14:paraId="2B1C8F00" w14:textId="77777777">
                <w:pPr>
                  <w:jc w:val="both"/>
                  <w:rPr>
                    <w:szCs w:val="24"/>
                  </w:rPr>
                </w:pPr>
              </w:p>
            </w:tc>
          </w:tr>
        </w:tbl>
        <w:p w14:paraId="75E7F2F7" w14:textId="27F66E03">
          <w:pPr>
            <w:rPr>
              <w:sz w:val="22"/>
              <w:szCs w:val="22"/>
            </w:rPr>
          </w:pPr>
        </w:p>
        <w:p w14:paraId="5C61A097" w14:textId="23D0F646">
          <w:pPr>
            <w:ind w:firstLine="567"/>
            <w:jc w:val="both"/>
            <w:rPr>
              <w:i/>
              <w:iCs/>
              <w:sz w:val="22"/>
              <w:szCs w:val="22"/>
            </w:rPr>
          </w:pPr>
        </w:p>
        <w:sdt>
          <w:sdtPr>
            <w:alias w:val="pabaiga"/>
            <w:tag w:val="part_aeede4b46b1a428fa3a8090836f0d613"/>
            <w:lock w:val="sdtLocked"/>
            <w:richText/>
          </w:sdtPr>
          <w:sdtContent>
            <w:p w14:paraId="5E60EBD6" w14:textId="36FFB525">
              <w:pPr>
                <w:spacing w:line="276" w:lineRule="auto"/>
                <w:jc w:val="center"/>
                <w:rPr>
                  <w:rFonts w:eastAsia="Calibri"/>
                  <w:sz w:val="22"/>
                  <w:szCs w:val="22"/>
                </w:rPr>
              </w:pPr>
              <w:r>
                <w:rPr>
                  <w:rFonts w:eastAsia="Calibri"/>
                  <w:sz w:val="22"/>
                  <w:szCs w:val="22"/>
                </w:rPr>
                <w:t>________________</w:t>
              </w:r>
            </w:p>
            <w:p w14:paraId="0AD51B92" w14:textId="77777777">
              <w:pPr>
                <w:spacing w:line="276" w:lineRule="auto"/>
                <w:jc w:val="center"/>
                <w:rPr>
                  <w:sz w:val="22"/>
                  <w:szCs w:val="22"/>
                </w:rPr>
              </w:pPr>
            </w:p>
          </w:sdtContent>
        </w:sdt>
      </w:sdtContent>
    </w:sdt>
    <w:sectPr>
      <w:headerReference w:type="even" r:id="rId30"/>
      <w:headerReference w:type="default" r:id="rId31"/>
      <w:footerReference w:type="even" r:id="rId32"/>
      <w:footerReference w:type="default" r:id="rId33"/>
      <w:headerReference w:type="first" r:id="rId34"/>
      <w:footerReference w:type="first" r:id="rId35"/>
      <w:pgSz w:w="16838" w:h="11906" w:orient="landscape"/>
      <w:pgMar w:top="993" w:right="567" w:bottom="993" w:left="1134"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225B4C3" w14:textId="77777777">
      <w:pPr>
        <w:rPr>
          <w:sz w:val="22"/>
          <w:szCs w:val="22"/>
        </w:rPr>
      </w:pPr>
      <w:r>
        <w:rPr>
          <w:sz w:val="22"/>
          <w:szCs w:val="22"/>
        </w:rPr>
        <w:separator/>
      </w:r>
    </w:p>
  </w:endnote>
  <w:endnote w:type="continuationSeparator" w:id="0">
    <w:p w14:paraId="7CA79FC7" w14:textId="77777777">
      <w:pPr>
        <w:rPr>
          <w:sz w:val="22"/>
          <w:szCs w:val="22"/>
        </w:rPr>
      </w:pPr>
      <w:r>
        <w:rPr>
          <w:sz w:val="22"/>
          <w:szCs w:val="22"/>
        </w:rPr>
        <w:continuationSeparator/>
      </w:r>
    </w:p>
  </w:endnote>
  <w:endnote w:type="continuationNotice" w:id="1">
    <w:p w14:paraId="15911E32" w14:textId="77777777">
      <w:pPr>
        <w:rPr>
          <w:sz w:val="22"/>
          <w:szCs w:val="22"/>
        </w:rPr>
      </w:pP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2EFF" w:usb1="C000247B" w:usb2="00000009" w:usb3="00000000" w:csb0="000001FF" w:csb1="00000000"/>
  </w:font>
  <w:font w:name="Segoe UI Symbol">
    <w:panose1 w:val="020B0502040204020203"/>
    <w:charset w:val="00"/>
    <w:family w:val="swiss"/>
    <w:pitch w:val="variable"/>
    <w:sig w:usb0="8000006F" w:usb1="1200FBEF" w:usb2="0064C000" w:usb3="00000000" w:csb0="00000001" w:csb1="00000000"/>
  </w:font>
  <w:font w:name="MS Gothic">
    <w:altName w:val="ＭＳ ゴシック"/>
    <w:panose1 w:val="020B0609070205080204"/>
    <w:charset w:val="80"/>
    <w:family w:val="modern"/>
    <w:pitch w:val="fixed"/>
    <w:sig w:usb0="E00002FF" w:usb1="6AC7FDFB" w:usb2="00000012" w:usb3="00000000" w:csb0="0002009F"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FBFCBC7" w14:textId="77777777">
    <w:pPr>
      <w:tabs>
        <w:tab w:val="center" w:pos="4819"/>
        <w:tab w:val="right" w:pos="9638"/>
      </w:tabs>
      <w:rPr>
        <w:sz w:val="22"/>
        <w:szCs w:val="22"/>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F5851EF" w14:textId="77777777">
    <w:pPr>
      <w:tabs>
        <w:tab w:val="center" w:pos="4819"/>
        <w:tab w:val="right" w:pos="9638"/>
      </w:tabs>
      <w:rPr>
        <w:sz w:val="22"/>
        <w:szCs w:val="22"/>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B3871A1" w14:textId="77777777">
    <w:pPr>
      <w:tabs>
        <w:tab w:val="center" w:pos="4819"/>
        <w:tab w:val="right" w:pos="9638"/>
      </w:tabs>
      <w:rPr>
        <w:sz w:val="22"/>
        <w:szCs w:val="22"/>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14DAD09" w14:textId="77777777">
      <w:pPr>
        <w:rPr>
          <w:sz w:val="22"/>
          <w:szCs w:val="22"/>
        </w:rPr>
      </w:pPr>
      <w:r>
        <w:rPr>
          <w:sz w:val="22"/>
          <w:szCs w:val="22"/>
        </w:rPr>
        <w:separator/>
      </w:r>
    </w:p>
  </w:footnote>
  <w:footnote w:type="continuationSeparator" w:id="0">
    <w:p w14:paraId="5DF70F08" w14:textId="77777777">
      <w:pPr>
        <w:rPr>
          <w:sz w:val="22"/>
          <w:szCs w:val="22"/>
        </w:rPr>
      </w:pPr>
      <w:r>
        <w:rPr>
          <w:sz w:val="22"/>
          <w:szCs w:val="22"/>
        </w:rPr>
        <w:continuationSeparator/>
      </w:r>
    </w:p>
  </w:footnote>
  <w:footnote w:type="continuationNotice" w:id="1">
    <w:p w14:paraId="633C1281" w14:textId="77777777">
      <w:pPr>
        <w:rPr>
          <w:sz w:val="22"/>
          <w:szCs w:val="22"/>
        </w:rPr>
      </w:pPr>
    </w:p>
  </w:footnote>
  <w:footnote w:id="2">
    <w:p w14:paraId="1FB43AAF" w14:textId="5A2ADA71">
      <w:pPr>
        <w:rPr>
          <w:sz w:val="20"/>
        </w:rPr>
      </w:pPr>
      <w:r>
        <w:rPr>
          <w:sz w:val="20"/>
          <w:vertAlign w:val="superscript"/>
        </w:rPr>
        <w:footnoteRef/>
      </w:r>
      <w:r>
        <w:rPr>
          <w:sz w:val="20"/>
        </w:rPr>
        <w:t xml:space="preserve"> </w:t>
      </w:r>
      <w:r>
        <w:rPr>
          <w:sz w:val="20"/>
        </w:rPr>
        <w:t>https://eur-lex.europa.eu/legal-content/LT/TXT/?uri=CELEX%3A32021R0241</w:t>
      </w:r>
      <w:r>
        <w:rPr>
          <w:sz w:val="20"/>
        </w:rPr>
        <w:t xml:space="preserve">.  </w:t>
      </w:r>
    </w:p>
  </w:footnote>
  <w:footnote w:id="3">
    <w:p w14:paraId="603C16CD" w14:textId="3A0E667D">
      <w:pPr>
        <w:rPr>
          <w:sz w:val="20"/>
        </w:rPr>
      </w:pPr>
      <w:r>
        <w:rPr>
          <w:sz w:val="20"/>
          <w:vertAlign w:val="superscript"/>
        </w:rPr>
        <w:footnoteRef/>
      </w:r>
      <w:r>
        <w:rPr>
          <w:sz w:val="20"/>
        </w:rPr>
        <w:t xml:space="preserve"> </w:t>
      </w:r>
      <w:r>
        <w:rPr>
          <w:sz w:val="20"/>
        </w:rPr>
        <w:t>https://finmin.lrv.lt/lt/es-ir-kitos-investicijos/naujos-kartos-lietuva</w:t>
      </w:r>
      <w:r>
        <w:rPr>
          <w:sz w:val="20"/>
        </w:rPr>
        <w:t xml:space="preserve">.  </w:t>
      </w:r>
    </w:p>
  </w:footnote>
  <w:footnote w:id="4">
    <w:p w14:paraId="7C439E65" w14:textId="71AA445A">
      <w:pPr>
        <w:rPr>
          <w:sz w:val="20"/>
        </w:rPr>
      </w:pPr>
      <w:r>
        <w:rPr>
          <w:sz w:val="20"/>
          <w:vertAlign w:val="superscript"/>
        </w:rPr>
        <w:footnoteRef/>
      </w:r>
      <w:r>
        <w:rPr>
          <w:sz w:val="20"/>
        </w:rPr>
        <w:t xml:space="preserve"> </w:t>
      </w:r>
      <w:hyperlink r:id="rId3" w:history="1">
        <w:r>
          <w:rPr>
            <w:sz w:val="20"/>
          </w:rPr>
          <w:t>https://www.e-tar.lt/portal/lt/legalAct/14e33320f1ed11ec8fa7d02a65c371ad/asr</w:t>
        </w:r>
      </w:hyperlink>
      <w:r>
        <w:rPr>
          <w:sz w:val="20"/>
        </w:rPr>
        <w:t xml:space="preserve">.  </w:t>
      </w:r>
    </w:p>
  </w:footnote>
  <w:footnote w:id="5">
    <w:p w14:paraId="0D1A147E" w14:textId="57BA8AE6">
      <w:pPr>
        <w:rPr>
          <w:sz w:val="20"/>
        </w:rPr>
      </w:pPr>
      <w:r>
        <w:rPr>
          <w:sz w:val="20"/>
          <w:vertAlign w:val="superscript"/>
        </w:rPr>
        <w:footnoteRef/>
      </w:r>
      <w:r>
        <w:rPr>
          <w:sz w:val="20"/>
        </w:rPr>
        <w:t xml:space="preserve"> </w:t>
      </w:r>
      <w:hyperlink r:id="rId4" w:history="1">
        <w:r>
          <w:rPr>
            <w:sz w:val="20"/>
          </w:rPr>
          <w:t>https://www.e-tar.lt/portal/lt/legalAct/14e33320f1ed11ec8fa7d02a65c371ad/asr</w:t>
        </w:r>
      </w:hyperlink>
      <w:r>
        <w:rPr>
          <w:sz w:val="20"/>
        </w:rPr>
        <w:t>.</w:t>
      </w:r>
    </w:p>
  </w:footnote>
  <w:footnote w:id="6">
    <w:p w14:paraId="4920866C" w14:textId="77777777">
      <w:pPr>
        <w:rPr>
          <w:sz w:val="20"/>
        </w:rPr>
      </w:pPr>
      <w:r>
        <w:rPr>
          <w:sz w:val="20"/>
          <w:vertAlign w:val="superscript"/>
        </w:rPr>
        <w:footnoteRef/>
      </w:r>
      <w:r>
        <w:rPr>
          <w:sz w:val="20"/>
        </w:rPr>
        <w:t xml:space="preserve"> https://e-seimas.lrs.lt/portal/legalAct/lt/TAD/5e3aa191a8e511eb98ccba226c8a14d7/asr. </w:t>
      </w:r>
    </w:p>
  </w:footnote>
  <w:footnote w:id="7">
    <w:p w14:paraId="7FD1AF47" w14:textId="1C214CD0">
      <w:pPr>
        <w:rPr>
          <w:sz w:val="20"/>
        </w:rPr>
      </w:pPr>
      <w:r>
        <w:rPr>
          <w:sz w:val="20"/>
          <w:vertAlign w:val="superscript"/>
        </w:rPr>
        <w:footnoteRef/>
      </w:r>
      <w:r>
        <w:rPr>
          <w:sz w:val="20"/>
        </w:rPr>
        <w:t xml:space="preserve"> </w:t>
      </w:r>
      <w:r>
        <w:rPr>
          <w:sz w:val="20"/>
        </w:rPr>
        <w:t>https://e-seimas.lrs.lt/portal/legalAct/lt/TAD/c1259440f7dd11eab72ddb4a109da1b5?jfwid=32wf90sn</w:t>
      </w:r>
      <w:r>
        <w:rPr>
          <w:sz w:val="20"/>
        </w:rPr>
        <w:t xml:space="preserve">.  </w:t>
      </w:r>
    </w:p>
  </w:footnote>
  <w:footnote w:id="8">
    <w:p w14:paraId="2A3E3307" w14:textId="77777777">
      <w:pPr>
        <w:rPr>
          <w:sz w:val="20"/>
        </w:rPr>
      </w:pPr>
      <w:r>
        <w:rPr>
          <w:sz w:val="20"/>
          <w:vertAlign w:val="superscript"/>
        </w:rPr>
        <w:footnoteRef/>
      </w:r>
      <w:r>
        <w:rPr>
          <w:sz w:val="20"/>
        </w:rPr>
        <w:t xml:space="preserve"> https://e-seimas.lrs.lt/portal/legalAct/lt/TAD/bb746f03565d11ec86bdcb0a6d573b32?jfwid=rivwzvpvg.</w:t>
      </w:r>
    </w:p>
  </w:footnote>
  <w:footnote w:id="9">
    <w:p w14:paraId="447116AC" w14:textId="6050E1C4">
      <w:pPr>
        <w:rPr>
          <w:sz w:val="20"/>
        </w:rPr>
      </w:pPr>
      <w:r>
        <w:rPr>
          <w:sz w:val="20"/>
          <w:vertAlign w:val="superscript"/>
        </w:rPr>
        <w:footnoteRef/>
      </w:r>
      <w:r>
        <w:rPr>
          <w:sz w:val="20"/>
        </w:rPr>
        <w:t xml:space="preserve"> </w:t>
      </w:r>
      <w:r>
        <w:rPr>
          <w:color w:val="0563C1"/>
          <w:sz w:val="20"/>
          <w:u w:val="single"/>
        </w:rPr>
        <w:t>https://e-seimas.lrs.lt/portal/legalAct/lt/TAD/ef1521a1e82b11ec896de0b71e988500/asr</w:t>
      </w:r>
      <w:r>
        <w:rPr>
          <w:sz w:val="20"/>
        </w:rPr>
        <w:t>.</w:t>
      </w:r>
    </w:p>
  </w:footnote>
  <w:footnote w:id="10">
    <w:p w14:paraId="1DFAD1A1" w14:textId="1BC0186C">
      <w:pPr>
        <w:rPr>
          <w:sz w:val="20"/>
        </w:rPr>
      </w:pPr>
      <w:r>
        <w:rPr>
          <w:sz w:val="20"/>
          <w:vertAlign w:val="superscript"/>
        </w:rPr>
        <w:footnoteRef/>
      </w:r>
      <w:r>
        <w:rPr>
          <w:sz w:val="20"/>
        </w:rPr>
        <w:t xml:space="preserve"> </w:t>
      </w:r>
      <w:r>
        <w:rPr>
          <w:color w:val="0563C1"/>
          <w:sz w:val="20"/>
          <w:u w:val="single"/>
        </w:rPr>
        <w:t>https://eur-lex.europa.eu/legal-content/LT/TXT/HTML/?uri=CELEX:52020DC0275&amp;from=LT</w:t>
      </w:r>
      <w:r>
        <w:rPr>
          <w:sz w:val="20"/>
        </w:rPr>
        <w:t>.</w:t>
      </w:r>
    </w:p>
  </w:footnote>
  <w:footnote w:id="11">
    <w:p w14:paraId="3A48BF9E" w14:textId="25286CC6">
      <w:pPr>
        <w:rPr>
          <w:sz w:val="20"/>
        </w:rPr>
      </w:pPr>
      <w:r>
        <w:rPr>
          <w:sz w:val="20"/>
          <w:vertAlign w:val="superscript"/>
        </w:rPr>
        <w:footnoteRef/>
      </w:r>
      <w:r>
        <w:rPr>
          <w:sz w:val="20"/>
        </w:rPr>
        <w:t xml:space="preserve"> </w:t>
      </w:r>
      <w:r>
        <w:rPr>
          <w:color w:val="0563C1"/>
          <w:sz w:val="20"/>
          <w:u w:val="single"/>
        </w:rPr>
        <w:t>https://e-seimas.lrs.lt/portal/legalAct/lt/TAD/TAIS.1480/asr</w:t>
      </w:r>
      <w:r>
        <w:rPr>
          <w:sz w:val="20"/>
        </w:rPr>
        <w:t xml:space="preserve">. </w:t>
      </w:r>
    </w:p>
  </w:footnote>
  <w:footnote w:id="12">
    <w:p w14:paraId="13EBD7BC" w14:textId="7925E5B7">
      <w:pPr>
        <w:rPr>
          <w:sz w:val="20"/>
        </w:rPr>
      </w:pPr>
      <w:r>
        <w:rPr>
          <w:sz w:val="20"/>
          <w:vertAlign w:val="superscript"/>
        </w:rPr>
        <w:footnoteRef/>
      </w:r>
      <w:r>
        <w:rPr>
          <w:sz w:val="20"/>
        </w:rPr>
        <w:t xml:space="preserve"> </w:t>
      </w:r>
      <w:r>
        <w:rPr>
          <w:color w:val="0563C1"/>
          <w:sz w:val="20"/>
          <w:u w:val="single"/>
        </w:rPr>
        <w:t>https://e-seimas.lrs.lt/portal/legalAct/lt/TAD/b0b6cda0eb0a11e7a5cea258c39305f6/asr</w:t>
      </w:r>
      <w:r>
        <w:rPr>
          <w:sz w:val="20"/>
        </w:rPr>
        <w:t xml:space="preserve">. </w:t>
      </w:r>
    </w:p>
  </w:footnote>
  <w:footnote w:id="13">
    <w:p w14:paraId="59BFF7C6" w14:textId="6AE727C9">
      <w:pPr>
        <w:rPr>
          <w:sz w:val="20"/>
        </w:rPr>
      </w:pPr>
      <w:r>
        <w:rPr>
          <w:sz w:val="20"/>
          <w:vertAlign w:val="superscript"/>
        </w:rPr>
        <w:footnoteRef/>
      </w:r>
      <w:r>
        <w:rPr>
          <w:sz w:val="20"/>
        </w:rPr>
        <w:t xml:space="preserve"> </w:t>
      </w:r>
      <w:r>
        <w:rPr>
          <w:color w:val="0563C1"/>
          <w:sz w:val="20"/>
          <w:u w:val="single"/>
        </w:rPr>
        <w:t>https://e-seimas.lrs.lt/portal/legalAct/lt/TAD/f32c88c2ee9511e89d4ad92e8434e309/asr</w:t>
      </w:r>
      <w:r>
        <w:rPr>
          <w:sz w:val="20"/>
        </w:rPr>
        <w:t xml:space="preserve">. </w:t>
      </w:r>
    </w:p>
  </w:footnote>
  <w:footnote w:id="14">
    <w:p w14:paraId="349154C7" w14:textId="4DB60D1C">
      <w:pPr>
        <w:rPr>
          <w:sz w:val="20"/>
        </w:rPr>
      </w:pPr>
      <w:r>
        <w:rPr>
          <w:sz w:val="20"/>
          <w:vertAlign w:val="superscript"/>
        </w:rPr>
        <w:footnoteRef/>
      </w:r>
      <w:r>
        <w:rPr>
          <w:sz w:val="20"/>
        </w:rPr>
        <w:t xml:space="preserve">  </w:t>
      </w:r>
      <w:r>
        <w:rPr>
          <w:color w:val="0563C1"/>
          <w:sz w:val="20"/>
          <w:u w:val="single"/>
        </w:rPr>
        <w:t>https://e-seimas.lrs.lt/portal/legalAct/lt/TAD/TAIS.372306/asr</w:t>
      </w:r>
      <w:r>
        <w:rPr>
          <w:sz w:val="20"/>
        </w:rPr>
        <w:t xml:space="preserve">.    </w:t>
      </w:r>
    </w:p>
  </w:footnote>
  <w:footnote w:id="15">
    <w:p w14:paraId="466E14B5" w14:textId="6F7766FB">
      <w:pPr>
        <w:rPr>
          <w:sz w:val="20"/>
        </w:rPr>
      </w:pPr>
      <w:r>
        <w:rPr>
          <w:sz w:val="20"/>
          <w:vertAlign w:val="superscript"/>
        </w:rPr>
        <w:footnoteRef/>
      </w:r>
      <w:r>
        <w:rPr>
          <w:sz w:val="20"/>
        </w:rPr>
        <w:t xml:space="preserve"> </w:t>
      </w:r>
      <w:r>
        <w:rPr>
          <w:color w:val="0563C1"/>
          <w:sz w:val="20"/>
          <w:u w:val="single"/>
        </w:rPr>
        <w:t>https://e-seimas.lrs.lt/portal/legalAct/lt/TAD/TAIS.291726</w:t>
      </w:r>
      <w:r>
        <w:rPr>
          <w:sz w:val="20"/>
        </w:rPr>
        <w:t xml:space="preserve">. </w:t>
      </w:r>
    </w:p>
  </w:footnote>
  <w:footnote w:id="16">
    <w:p w14:paraId="081D495C" w14:textId="7574C25D">
      <w:pPr>
        <w:rPr>
          <w:sz w:val="20"/>
        </w:rPr>
      </w:pPr>
      <w:r>
        <w:rPr>
          <w:sz w:val="20"/>
          <w:vertAlign w:val="superscript"/>
        </w:rPr>
        <w:footnoteRef/>
      </w:r>
      <w:r>
        <w:rPr>
          <w:sz w:val="20"/>
        </w:rPr>
        <w:t xml:space="preserve"> </w:t>
      </w:r>
      <w:r>
        <w:rPr>
          <w:color w:val="0563C1"/>
          <w:sz w:val="20"/>
          <w:u w:val="single"/>
        </w:rPr>
        <w:t>https://e-seimas.lrs.lt/portal/legalAct/lt/TAD/cfc21750751811eaa38ed97835ec4df6?jfwid=-</w:t>
      </w:r>
      <w:r>
        <w:rPr>
          <w:sz w:val="20"/>
        </w:rPr>
        <w:t xml:space="preserve">. </w:t>
      </w:r>
    </w:p>
  </w:footnote>
  <w:footnote w:id="17">
    <w:p w14:paraId="66940D96" w14:textId="7C0C71B8">
      <w:pPr>
        <w:rPr>
          <w:sz w:val="20"/>
        </w:rPr>
      </w:pPr>
      <w:r>
        <w:rPr>
          <w:sz w:val="20"/>
          <w:vertAlign w:val="superscript"/>
        </w:rPr>
        <w:footnoteRef/>
      </w:r>
      <w:r>
        <w:rPr>
          <w:sz w:val="20"/>
        </w:rPr>
        <w:t xml:space="preserve"> </w:t>
      </w:r>
      <w:r>
        <w:rPr>
          <w:color w:val="0563C1"/>
          <w:sz w:val="20"/>
          <w:u w:val="single"/>
        </w:rPr>
        <w:t>https://eur-lex.europa.eu/resource.html?uri=cellar:b828d165-1c22-11ea-8c1f-01aa75ed71a1.0011.02/DOC_1&amp;format=PDF</w:t>
      </w:r>
      <w:r>
        <w:rPr>
          <w:sz w:val="20"/>
        </w:rPr>
        <w:t xml:space="preserve">.  </w:t>
      </w:r>
    </w:p>
  </w:footnote>
  <w:footnote w:id="18">
    <w:p w14:paraId="58DA120D" w14:textId="4163EDCC">
      <w:pPr>
        <w:rPr>
          <w:sz w:val="20"/>
        </w:rPr>
      </w:pPr>
      <w:r>
        <w:rPr>
          <w:sz w:val="20"/>
          <w:vertAlign w:val="superscript"/>
        </w:rPr>
        <w:footnoteRef/>
      </w:r>
      <w:r>
        <w:rPr>
          <w:sz w:val="20"/>
        </w:rPr>
        <w:t xml:space="preserve"> </w:t>
      </w:r>
      <w:r>
        <w:rPr>
          <w:color w:val="0563C1"/>
          <w:sz w:val="20"/>
          <w:u w:val="single"/>
        </w:rPr>
        <w:t>https://eur-lex.europa.eu/legal-content/LT/TXT/?uri=celex%3A32016R0679</w:t>
      </w:r>
      <w:r>
        <w:rPr>
          <w:sz w:val="20"/>
        </w:rPr>
        <w:t xml:space="preserve">. </w:t>
      </w:r>
    </w:p>
  </w:footnote>
  <w:footnote w:id="19">
    <w:p w14:paraId="40F35F67" w14:textId="0273907F">
      <w:pPr>
        <w:rPr>
          <w:sz w:val="20"/>
        </w:rPr>
      </w:pPr>
      <w:r>
        <w:rPr>
          <w:sz w:val="20"/>
          <w:vertAlign w:val="superscript"/>
        </w:rPr>
        <w:footnoteRef/>
      </w:r>
      <w:r>
        <w:rPr>
          <w:sz w:val="20"/>
        </w:rPr>
        <w:t xml:space="preserve"> </w:t>
      </w:r>
      <w:r>
        <w:rPr>
          <w:color w:val="0563C1"/>
          <w:sz w:val="20"/>
          <w:u w:val="single"/>
        </w:rPr>
        <w:t>https://eur-lex.europa.eu/legal-content/LT/TXT/PDF/?uri=CELEX:02013R1407-20200727&amp;from=EN</w:t>
      </w:r>
      <w:r>
        <w:rPr>
          <w:sz w:val="20"/>
        </w:rPr>
        <w:t xml:space="preserve">. </w:t>
      </w:r>
    </w:p>
  </w:footnote>
  <w:footnote w:id="20">
    <w:p w14:paraId="218B74FA" w14:textId="61504DDD">
      <w:pPr>
        <w:rPr>
          <w:sz w:val="20"/>
        </w:rPr>
      </w:pPr>
      <w:r>
        <w:rPr>
          <w:sz w:val="20"/>
          <w:vertAlign w:val="superscript"/>
        </w:rPr>
        <w:footnoteRef/>
      </w:r>
      <w:r>
        <w:rPr>
          <w:sz w:val="20"/>
        </w:rPr>
        <w:t xml:space="preserve"> </w:t>
      </w:r>
      <w:r>
        <w:rPr>
          <w:color w:val="0563C1"/>
          <w:sz w:val="20"/>
          <w:u w:val="single"/>
        </w:rPr>
        <w:t>L_2020215LT.01000301.xml (europa.eu)</w:t>
      </w:r>
    </w:p>
  </w:footnote>
  <w:footnote w:id="21">
    <w:p w14:paraId="539FD4B9" w14:textId="31A6912A">
      <w:pPr>
        <w:rPr>
          <w:sz w:val="20"/>
        </w:rPr>
      </w:pPr>
      <w:r>
        <w:rPr>
          <w:sz w:val="20"/>
          <w:vertAlign w:val="superscript"/>
        </w:rPr>
        <w:footnoteRef/>
      </w:r>
      <w:r>
        <w:rPr>
          <w:sz w:val="20"/>
        </w:rPr>
        <w:t xml:space="preserve"> </w:t>
      </w:r>
      <w:r>
        <w:rPr>
          <w:color w:val="0563C1"/>
          <w:sz w:val="20"/>
          <w:u w:val="single"/>
        </w:rPr>
        <w:t>https://www.kpmpc.lt/kpmpc/wp-content/uploads/2016/02/Andragogo_profesines_veiklos_aprasas.pdf</w:t>
      </w:r>
      <w:r>
        <w:rPr>
          <w:sz w:val="20"/>
        </w:rPr>
        <w:t>.</w:t>
      </w:r>
    </w:p>
  </w:footnote>
  <w:footnote w:id="22">
    <w:p w14:paraId="153E8904" w14:textId="68DCC2D8">
      <w:pPr>
        <w:rPr>
          <w:sz w:val="20"/>
        </w:rPr>
      </w:pPr>
      <w:r>
        <w:rPr>
          <w:sz w:val="20"/>
          <w:vertAlign w:val="superscript"/>
        </w:rPr>
        <w:footnoteRef/>
      </w:r>
      <w:r>
        <w:rPr>
          <w:sz w:val="20"/>
        </w:rPr>
        <w:t xml:space="preserve"> </w:t>
      </w:r>
      <w:r>
        <w:rPr>
          <w:sz w:val="20"/>
        </w:rPr>
        <w:t>http://pmdtkt.kpmpc.lt/</w:t>
      </w:r>
      <w:r>
        <w:rPr>
          <w:sz w:val="20"/>
        </w:rPr>
        <w:t>.</w:t>
      </w:r>
    </w:p>
  </w:footnote>
  <w:footnote w:id="23">
    <w:p w14:paraId="3CDFFDAA" w14:textId="782BBD65">
      <w:pPr>
        <w:rPr>
          <w:sz w:val="20"/>
        </w:rPr>
      </w:pPr>
      <w:r>
        <w:rPr>
          <w:sz w:val="20"/>
          <w:vertAlign w:val="superscript"/>
        </w:rPr>
        <w:footnoteRef/>
      </w:r>
      <w:r>
        <w:rPr>
          <w:sz w:val="20"/>
        </w:rPr>
        <w:t xml:space="preserve"> </w:t>
      </w:r>
      <w:r>
        <w:rPr>
          <w:sz w:val="20"/>
        </w:rPr>
        <w:t>https://publications.jrc.ec.europa.eu/repository/handle/JRC128415</w:t>
      </w:r>
      <w:r>
        <w:rPr>
          <w:sz w:val="20"/>
        </w:rPr>
        <w:t xml:space="preserve">. </w:t>
      </w:r>
    </w:p>
  </w:footnote>
  <w:footnote w:id="24">
    <w:p w14:paraId="36F52FCD" w14:textId="3E1FD675">
      <w:pPr>
        <w:rPr>
          <w:sz w:val="20"/>
        </w:rPr>
      </w:pPr>
      <w:r>
        <w:rPr>
          <w:sz w:val="20"/>
          <w:vertAlign w:val="superscript"/>
        </w:rPr>
        <w:footnoteRef/>
      </w:r>
      <w:r>
        <w:rPr>
          <w:sz w:val="20"/>
        </w:rPr>
        <w:t xml:space="preserve"> </w:t>
      </w:r>
      <w:r>
        <w:rPr>
          <w:sz w:val="20"/>
        </w:rPr>
        <w:t>https://publications.jrc.ec.europa.eu/repository/handle/JRC128040</w:t>
      </w:r>
      <w:r>
        <w:rPr>
          <w:sz w:val="20"/>
        </w:rPr>
        <w:t>.</w:t>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1F46795" w14:textId="77777777">
    <w:pPr>
      <w:tabs>
        <w:tab w:val="center" w:pos="4819"/>
        <w:tab w:val="right" w:pos="9638"/>
      </w:tabs>
      <w:rPr>
        <w:sz w:val="22"/>
        <w:szCs w:val="22"/>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C90DDA3" w14:textId="7C2795A0">
    <w:pPr>
      <w:tabs>
        <w:tab w:val="center" w:pos="4819"/>
        <w:tab w:val="right" w:pos="9638"/>
      </w:tabs>
      <w:jc w:val="center"/>
      <w:rPr>
        <w:sz w:val="22"/>
        <w:szCs w:val="22"/>
      </w:rPr>
    </w:pPr>
    <w:r>
      <w:rPr>
        <w:szCs w:val="22"/>
      </w:rPr>
      <w:fldChar w:fldCharType="begin"/>
    </w:r>
    <w:r>
      <w:rPr>
        <w:szCs w:val="22"/>
      </w:rPr>
      <w:instrText>PAGE   \* MERGEFORMAT</w:instrText>
    </w:r>
    <w:r>
      <w:rPr>
        <w:szCs w:val="22"/>
      </w:rPr>
      <w:fldChar w:fldCharType="separate"/>
    </w:r>
    <w:r>
      <w:rPr>
        <w:szCs w:val="22"/>
      </w:rPr>
      <w:t>4</w:t>
    </w:r>
    <w:r>
      <w:rPr>
        <w:szCs w:val="22"/>
      </w:rPr>
      <w:fldChar w:fldCharType="end"/>
    </w:r>
  </w:p>
  <w:p w14:paraId="5C93BC86" w14:textId="77777777">
    <w:pPr>
      <w:tabs>
        <w:tab w:val="center" w:pos="4819"/>
        <w:tab w:val="right" w:pos="9638"/>
      </w:tabs>
      <w:jc w:val="right"/>
      <w:rPr>
        <w:sz w:val="22"/>
        <w:szCs w:val="22"/>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FC259A4" w14:textId="77777777">
    <w:pPr>
      <w:tabs>
        <w:tab w:val="center" w:pos="4819"/>
        <w:tab w:val="right" w:pos="9638"/>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361B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6D66C38"/>
  <w15:docId w15:val="{1A5EEDA1-CF54-44B2-BD72-06828F73C855}"/>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32584175">
      <w:bodyDiv w:val="1"/>
      <w:marLeft w:val="0"/>
      <w:marRight w:val="0"/>
      <w:marTop w:val="0"/>
      <w:marBottom w:val="0"/>
      <w:divBdr>
        <w:top w:val="none" w:sz="0" w:space="0" w:color="auto"/>
        <w:left w:val="none" w:sz="0" w:space="0" w:color="auto"/>
        <w:bottom w:val="none" w:sz="0" w:space="0" w:color="auto"/>
        <w:right w:val="none" w:sz="0" w:space="0" w:color="auto"/>
      </w:divBdr>
      <w:divsChild>
        <w:div w:id="709038231">
          <w:marLeft w:val="0"/>
          <w:marRight w:val="0"/>
          <w:marTop w:val="0"/>
          <w:marBottom w:val="0"/>
          <w:divBdr>
            <w:top w:val="none" w:sz="0" w:space="0" w:color="auto"/>
            <w:left w:val="none" w:sz="0" w:space="0" w:color="auto"/>
            <w:bottom w:val="none" w:sz="0" w:space="0" w:color="auto"/>
            <w:right w:val="none" w:sz="0" w:space="0" w:color="auto"/>
          </w:divBdr>
        </w:div>
        <w:div w:id="1221018776">
          <w:marLeft w:val="0"/>
          <w:marRight w:val="0"/>
          <w:marTop w:val="0"/>
          <w:marBottom w:val="0"/>
          <w:divBdr>
            <w:top w:val="none" w:sz="0" w:space="0" w:color="auto"/>
            <w:left w:val="none" w:sz="0" w:space="0" w:color="auto"/>
            <w:bottom w:val="none" w:sz="0" w:space="0" w:color="auto"/>
            <w:right w:val="none" w:sz="0" w:space="0" w:color="auto"/>
          </w:divBdr>
        </w:div>
        <w:div w:id="1332175260">
          <w:marLeft w:val="0"/>
          <w:marRight w:val="0"/>
          <w:marTop w:val="0"/>
          <w:marBottom w:val="0"/>
          <w:divBdr>
            <w:top w:val="none" w:sz="0" w:space="0" w:color="auto"/>
            <w:left w:val="none" w:sz="0" w:space="0" w:color="auto"/>
            <w:bottom w:val="none" w:sz="0" w:space="0" w:color="auto"/>
            <w:right w:val="none" w:sz="0" w:space="0" w:color="auto"/>
          </w:divBdr>
        </w:div>
      </w:divsChild>
    </w:div>
    <w:div w:id="68384166">
      <w:bodyDiv w:val="1"/>
      <w:marLeft w:val="0"/>
      <w:marRight w:val="0"/>
      <w:marTop w:val="0"/>
      <w:marBottom w:val="0"/>
      <w:divBdr>
        <w:top w:val="none" w:sz="0" w:space="0" w:color="auto"/>
        <w:left w:val="none" w:sz="0" w:space="0" w:color="auto"/>
        <w:bottom w:val="none" w:sz="0" w:space="0" w:color="auto"/>
        <w:right w:val="none" w:sz="0" w:space="0" w:color="auto"/>
      </w:divBdr>
      <w:divsChild>
        <w:div w:id="134221691">
          <w:marLeft w:val="0"/>
          <w:marRight w:val="0"/>
          <w:marTop w:val="0"/>
          <w:marBottom w:val="0"/>
          <w:divBdr>
            <w:top w:val="none" w:sz="0" w:space="0" w:color="auto"/>
            <w:left w:val="none" w:sz="0" w:space="0" w:color="auto"/>
            <w:bottom w:val="none" w:sz="0" w:space="0" w:color="auto"/>
            <w:right w:val="none" w:sz="0" w:space="0" w:color="auto"/>
          </w:divBdr>
          <w:divsChild>
            <w:div w:id="226965211">
              <w:marLeft w:val="0"/>
              <w:marRight w:val="0"/>
              <w:marTop w:val="0"/>
              <w:marBottom w:val="0"/>
              <w:divBdr>
                <w:top w:val="none" w:sz="0" w:space="0" w:color="auto"/>
                <w:left w:val="none" w:sz="0" w:space="0" w:color="auto"/>
                <w:bottom w:val="none" w:sz="0" w:space="0" w:color="auto"/>
                <w:right w:val="none" w:sz="0" w:space="0" w:color="auto"/>
              </w:divBdr>
            </w:div>
          </w:divsChild>
        </w:div>
        <w:div w:id="181553963">
          <w:marLeft w:val="0"/>
          <w:marRight w:val="0"/>
          <w:marTop w:val="0"/>
          <w:marBottom w:val="0"/>
          <w:divBdr>
            <w:top w:val="none" w:sz="0" w:space="0" w:color="auto"/>
            <w:left w:val="none" w:sz="0" w:space="0" w:color="auto"/>
            <w:bottom w:val="none" w:sz="0" w:space="0" w:color="auto"/>
            <w:right w:val="none" w:sz="0" w:space="0" w:color="auto"/>
          </w:divBdr>
          <w:divsChild>
            <w:div w:id="462163415">
              <w:marLeft w:val="0"/>
              <w:marRight w:val="0"/>
              <w:marTop w:val="0"/>
              <w:marBottom w:val="0"/>
              <w:divBdr>
                <w:top w:val="none" w:sz="0" w:space="0" w:color="auto"/>
                <w:left w:val="none" w:sz="0" w:space="0" w:color="auto"/>
                <w:bottom w:val="none" w:sz="0" w:space="0" w:color="auto"/>
                <w:right w:val="none" w:sz="0" w:space="0" w:color="auto"/>
              </w:divBdr>
            </w:div>
          </w:divsChild>
        </w:div>
        <w:div w:id="258223226">
          <w:marLeft w:val="0"/>
          <w:marRight w:val="0"/>
          <w:marTop w:val="0"/>
          <w:marBottom w:val="0"/>
          <w:divBdr>
            <w:top w:val="none" w:sz="0" w:space="0" w:color="auto"/>
            <w:left w:val="none" w:sz="0" w:space="0" w:color="auto"/>
            <w:bottom w:val="none" w:sz="0" w:space="0" w:color="auto"/>
            <w:right w:val="none" w:sz="0" w:space="0" w:color="auto"/>
          </w:divBdr>
          <w:divsChild>
            <w:div w:id="1474449594">
              <w:marLeft w:val="0"/>
              <w:marRight w:val="0"/>
              <w:marTop w:val="0"/>
              <w:marBottom w:val="0"/>
              <w:divBdr>
                <w:top w:val="none" w:sz="0" w:space="0" w:color="auto"/>
                <w:left w:val="none" w:sz="0" w:space="0" w:color="auto"/>
                <w:bottom w:val="none" w:sz="0" w:space="0" w:color="auto"/>
                <w:right w:val="none" w:sz="0" w:space="0" w:color="auto"/>
              </w:divBdr>
            </w:div>
          </w:divsChild>
        </w:div>
        <w:div w:id="312566565">
          <w:marLeft w:val="0"/>
          <w:marRight w:val="0"/>
          <w:marTop w:val="0"/>
          <w:marBottom w:val="0"/>
          <w:divBdr>
            <w:top w:val="none" w:sz="0" w:space="0" w:color="auto"/>
            <w:left w:val="none" w:sz="0" w:space="0" w:color="auto"/>
            <w:bottom w:val="none" w:sz="0" w:space="0" w:color="auto"/>
            <w:right w:val="none" w:sz="0" w:space="0" w:color="auto"/>
          </w:divBdr>
          <w:divsChild>
            <w:div w:id="1140343326">
              <w:marLeft w:val="0"/>
              <w:marRight w:val="0"/>
              <w:marTop w:val="0"/>
              <w:marBottom w:val="0"/>
              <w:divBdr>
                <w:top w:val="none" w:sz="0" w:space="0" w:color="auto"/>
                <w:left w:val="none" w:sz="0" w:space="0" w:color="auto"/>
                <w:bottom w:val="none" w:sz="0" w:space="0" w:color="auto"/>
                <w:right w:val="none" w:sz="0" w:space="0" w:color="auto"/>
              </w:divBdr>
            </w:div>
          </w:divsChild>
        </w:div>
        <w:div w:id="386994321">
          <w:marLeft w:val="0"/>
          <w:marRight w:val="0"/>
          <w:marTop w:val="0"/>
          <w:marBottom w:val="0"/>
          <w:divBdr>
            <w:top w:val="none" w:sz="0" w:space="0" w:color="auto"/>
            <w:left w:val="none" w:sz="0" w:space="0" w:color="auto"/>
            <w:bottom w:val="none" w:sz="0" w:space="0" w:color="auto"/>
            <w:right w:val="none" w:sz="0" w:space="0" w:color="auto"/>
          </w:divBdr>
          <w:divsChild>
            <w:div w:id="1051808507">
              <w:marLeft w:val="0"/>
              <w:marRight w:val="0"/>
              <w:marTop w:val="0"/>
              <w:marBottom w:val="0"/>
              <w:divBdr>
                <w:top w:val="none" w:sz="0" w:space="0" w:color="auto"/>
                <w:left w:val="none" w:sz="0" w:space="0" w:color="auto"/>
                <w:bottom w:val="none" w:sz="0" w:space="0" w:color="auto"/>
                <w:right w:val="none" w:sz="0" w:space="0" w:color="auto"/>
              </w:divBdr>
            </w:div>
          </w:divsChild>
        </w:div>
        <w:div w:id="474688072">
          <w:marLeft w:val="0"/>
          <w:marRight w:val="0"/>
          <w:marTop w:val="0"/>
          <w:marBottom w:val="0"/>
          <w:divBdr>
            <w:top w:val="none" w:sz="0" w:space="0" w:color="auto"/>
            <w:left w:val="none" w:sz="0" w:space="0" w:color="auto"/>
            <w:bottom w:val="none" w:sz="0" w:space="0" w:color="auto"/>
            <w:right w:val="none" w:sz="0" w:space="0" w:color="auto"/>
          </w:divBdr>
          <w:divsChild>
            <w:div w:id="1447847230">
              <w:marLeft w:val="0"/>
              <w:marRight w:val="0"/>
              <w:marTop w:val="0"/>
              <w:marBottom w:val="0"/>
              <w:divBdr>
                <w:top w:val="none" w:sz="0" w:space="0" w:color="auto"/>
                <w:left w:val="none" w:sz="0" w:space="0" w:color="auto"/>
                <w:bottom w:val="none" w:sz="0" w:space="0" w:color="auto"/>
                <w:right w:val="none" w:sz="0" w:space="0" w:color="auto"/>
              </w:divBdr>
            </w:div>
          </w:divsChild>
        </w:div>
        <w:div w:id="734204759">
          <w:marLeft w:val="0"/>
          <w:marRight w:val="0"/>
          <w:marTop w:val="0"/>
          <w:marBottom w:val="0"/>
          <w:divBdr>
            <w:top w:val="none" w:sz="0" w:space="0" w:color="auto"/>
            <w:left w:val="none" w:sz="0" w:space="0" w:color="auto"/>
            <w:bottom w:val="none" w:sz="0" w:space="0" w:color="auto"/>
            <w:right w:val="none" w:sz="0" w:space="0" w:color="auto"/>
          </w:divBdr>
          <w:divsChild>
            <w:div w:id="789977324">
              <w:marLeft w:val="0"/>
              <w:marRight w:val="0"/>
              <w:marTop w:val="0"/>
              <w:marBottom w:val="0"/>
              <w:divBdr>
                <w:top w:val="none" w:sz="0" w:space="0" w:color="auto"/>
                <w:left w:val="none" w:sz="0" w:space="0" w:color="auto"/>
                <w:bottom w:val="none" w:sz="0" w:space="0" w:color="auto"/>
                <w:right w:val="none" w:sz="0" w:space="0" w:color="auto"/>
              </w:divBdr>
            </w:div>
          </w:divsChild>
        </w:div>
        <w:div w:id="754515969">
          <w:marLeft w:val="0"/>
          <w:marRight w:val="0"/>
          <w:marTop w:val="0"/>
          <w:marBottom w:val="0"/>
          <w:divBdr>
            <w:top w:val="none" w:sz="0" w:space="0" w:color="auto"/>
            <w:left w:val="none" w:sz="0" w:space="0" w:color="auto"/>
            <w:bottom w:val="none" w:sz="0" w:space="0" w:color="auto"/>
            <w:right w:val="none" w:sz="0" w:space="0" w:color="auto"/>
          </w:divBdr>
          <w:divsChild>
            <w:div w:id="36395923">
              <w:marLeft w:val="0"/>
              <w:marRight w:val="0"/>
              <w:marTop w:val="0"/>
              <w:marBottom w:val="0"/>
              <w:divBdr>
                <w:top w:val="none" w:sz="0" w:space="0" w:color="auto"/>
                <w:left w:val="none" w:sz="0" w:space="0" w:color="auto"/>
                <w:bottom w:val="none" w:sz="0" w:space="0" w:color="auto"/>
                <w:right w:val="none" w:sz="0" w:space="0" w:color="auto"/>
              </w:divBdr>
            </w:div>
          </w:divsChild>
        </w:div>
        <w:div w:id="769085467">
          <w:marLeft w:val="0"/>
          <w:marRight w:val="0"/>
          <w:marTop w:val="0"/>
          <w:marBottom w:val="0"/>
          <w:divBdr>
            <w:top w:val="none" w:sz="0" w:space="0" w:color="auto"/>
            <w:left w:val="none" w:sz="0" w:space="0" w:color="auto"/>
            <w:bottom w:val="none" w:sz="0" w:space="0" w:color="auto"/>
            <w:right w:val="none" w:sz="0" w:space="0" w:color="auto"/>
          </w:divBdr>
          <w:divsChild>
            <w:div w:id="298150717">
              <w:marLeft w:val="0"/>
              <w:marRight w:val="0"/>
              <w:marTop w:val="0"/>
              <w:marBottom w:val="0"/>
              <w:divBdr>
                <w:top w:val="none" w:sz="0" w:space="0" w:color="auto"/>
                <w:left w:val="none" w:sz="0" w:space="0" w:color="auto"/>
                <w:bottom w:val="none" w:sz="0" w:space="0" w:color="auto"/>
                <w:right w:val="none" w:sz="0" w:space="0" w:color="auto"/>
              </w:divBdr>
            </w:div>
          </w:divsChild>
        </w:div>
        <w:div w:id="856508605">
          <w:marLeft w:val="0"/>
          <w:marRight w:val="0"/>
          <w:marTop w:val="0"/>
          <w:marBottom w:val="0"/>
          <w:divBdr>
            <w:top w:val="none" w:sz="0" w:space="0" w:color="auto"/>
            <w:left w:val="none" w:sz="0" w:space="0" w:color="auto"/>
            <w:bottom w:val="none" w:sz="0" w:space="0" w:color="auto"/>
            <w:right w:val="none" w:sz="0" w:space="0" w:color="auto"/>
          </w:divBdr>
          <w:divsChild>
            <w:div w:id="1541476541">
              <w:marLeft w:val="0"/>
              <w:marRight w:val="0"/>
              <w:marTop w:val="0"/>
              <w:marBottom w:val="0"/>
              <w:divBdr>
                <w:top w:val="none" w:sz="0" w:space="0" w:color="auto"/>
                <w:left w:val="none" w:sz="0" w:space="0" w:color="auto"/>
                <w:bottom w:val="none" w:sz="0" w:space="0" w:color="auto"/>
                <w:right w:val="none" w:sz="0" w:space="0" w:color="auto"/>
              </w:divBdr>
            </w:div>
          </w:divsChild>
        </w:div>
        <w:div w:id="880939351">
          <w:marLeft w:val="0"/>
          <w:marRight w:val="0"/>
          <w:marTop w:val="0"/>
          <w:marBottom w:val="0"/>
          <w:divBdr>
            <w:top w:val="none" w:sz="0" w:space="0" w:color="auto"/>
            <w:left w:val="none" w:sz="0" w:space="0" w:color="auto"/>
            <w:bottom w:val="none" w:sz="0" w:space="0" w:color="auto"/>
            <w:right w:val="none" w:sz="0" w:space="0" w:color="auto"/>
          </w:divBdr>
          <w:divsChild>
            <w:div w:id="446580712">
              <w:marLeft w:val="0"/>
              <w:marRight w:val="0"/>
              <w:marTop w:val="0"/>
              <w:marBottom w:val="0"/>
              <w:divBdr>
                <w:top w:val="none" w:sz="0" w:space="0" w:color="auto"/>
                <w:left w:val="none" w:sz="0" w:space="0" w:color="auto"/>
                <w:bottom w:val="none" w:sz="0" w:space="0" w:color="auto"/>
                <w:right w:val="none" w:sz="0" w:space="0" w:color="auto"/>
              </w:divBdr>
            </w:div>
          </w:divsChild>
        </w:div>
        <w:div w:id="1002201826">
          <w:marLeft w:val="0"/>
          <w:marRight w:val="0"/>
          <w:marTop w:val="0"/>
          <w:marBottom w:val="0"/>
          <w:divBdr>
            <w:top w:val="none" w:sz="0" w:space="0" w:color="auto"/>
            <w:left w:val="none" w:sz="0" w:space="0" w:color="auto"/>
            <w:bottom w:val="none" w:sz="0" w:space="0" w:color="auto"/>
            <w:right w:val="none" w:sz="0" w:space="0" w:color="auto"/>
          </w:divBdr>
          <w:divsChild>
            <w:div w:id="1928462738">
              <w:marLeft w:val="0"/>
              <w:marRight w:val="0"/>
              <w:marTop w:val="0"/>
              <w:marBottom w:val="0"/>
              <w:divBdr>
                <w:top w:val="none" w:sz="0" w:space="0" w:color="auto"/>
                <w:left w:val="none" w:sz="0" w:space="0" w:color="auto"/>
                <w:bottom w:val="none" w:sz="0" w:space="0" w:color="auto"/>
                <w:right w:val="none" w:sz="0" w:space="0" w:color="auto"/>
              </w:divBdr>
            </w:div>
          </w:divsChild>
        </w:div>
        <w:div w:id="1138230911">
          <w:marLeft w:val="0"/>
          <w:marRight w:val="0"/>
          <w:marTop w:val="0"/>
          <w:marBottom w:val="0"/>
          <w:divBdr>
            <w:top w:val="none" w:sz="0" w:space="0" w:color="auto"/>
            <w:left w:val="none" w:sz="0" w:space="0" w:color="auto"/>
            <w:bottom w:val="none" w:sz="0" w:space="0" w:color="auto"/>
            <w:right w:val="none" w:sz="0" w:space="0" w:color="auto"/>
          </w:divBdr>
          <w:divsChild>
            <w:div w:id="1025403179">
              <w:marLeft w:val="0"/>
              <w:marRight w:val="0"/>
              <w:marTop w:val="0"/>
              <w:marBottom w:val="0"/>
              <w:divBdr>
                <w:top w:val="none" w:sz="0" w:space="0" w:color="auto"/>
                <w:left w:val="none" w:sz="0" w:space="0" w:color="auto"/>
                <w:bottom w:val="none" w:sz="0" w:space="0" w:color="auto"/>
                <w:right w:val="none" w:sz="0" w:space="0" w:color="auto"/>
              </w:divBdr>
            </w:div>
          </w:divsChild>
        </w:div>
        <w:div w:id="1213035023">
          <w:marLeft w:val="0"/>
          <w:marRight w:val="0"/>
          <w:marTop w:val="0"/>
          <w:marBottom w:val="0"/>
          <w:divBdr>
            <w:top w:val="none" w:sz="0" w:space="0" w:color="auto"/>
            <w:left w:val="none" w:sz="0" w:space="0" w:color="auto"/>
            <w:bottom w:val="none" w:sz="0" w:space="0" w:color="auto"/>
            <w:right w:val="none" w:sz="0" w:space="0" w:color="auto"/>
          </w:divBdr>
          <w:divsChild>
            <w:div w:id="866061915">
              <w:marLeft w:val="0"/>
              <w:marRight w:val="0"/>
              <w:marTop w:val="0"/>
              <w:marBottom w:val="0"/>
              <w:divBdr>
                <w:top w:val="none" w:sz="0" w:space="0" w:color="auto"/>
                <w:left w:val="none" w:sz="0" w:space="0" w:color="auto"/>
                <w:bottom w:val="none" w:sz="0" w:space="0" w:color="auto"/>
                <w:right w:val="none" w:sz="0" w:space="0" w:color="auto"/>
              </w:divBdr>
            </w:div>
          </w:divsChild>
        </w:div>
        <w:div w:id="1213424790">
          <w:marLeft w:val="0"/>
          <w:marRight w:val="0"/>
          <w:marTop w:val="0"/>
          <w:marBottom w:val="0"/>
          <w:divBdr>
            <w:top w:val="none" w:sz="0" w:space="0" w:color="auto"/>
            <w:left w:val="none" w:sz="0" w:space="0" w:color="auto"/>
            <w:bottom w:val="none" w:sz="0" w:space="0" w:color="auto"/>
            <w:right w:val="none" w:sz="0" w:space="0" w:color="auto"/>
          </w:divBdr>
          <w:divsChild>
            <w:div w:id="1961957309">
              <w:marLeft w:val="0"/>
              <w:marRight w:val="0"/>
              <w:marTop w:val="0"/>
              <w:marBottom w:val="0"/>
              <w:divBdr>
                <w:top w:val="none" w:sz="0" w:space="0" w:color="auto"/>
                <w:left w:val="none" w:sz="0" w:space="0" w:color="auto"/>
                <w:bottom w:val="none" w:sz="0" w:space="0" w:color="auto"/>
                <w:right w:val="none" w:sz="0" w:space="0" w:color="auto"/>
              </w:divBdr>
            </w:div>
          </w:divsChild>
        </w:div>
        <w:div w:id="1331789556">
          <w:marLeft w:val="0"/>
          <w:marRight w:val="0"/>
          <w:marTop w:val="0"/>
          <w:marBottom w:val="0"/>
          <w:divBdr>
            <w:top w:val="none" w:sz="0" w:space="0" w:color="auto"/>
            <w:left w:val="none" w:sz="0" w:space="0" w:color="auto"/>
            <w:bottom w:val="none" w:sz="0" w:space="0" w:color="auto"/>
            <w:right w:val="none" w:sz="0" w:space="0" w:color="auto"/>
          </w:divBdr>
          <w:divsChild>
            <w:div w:id="1940915472">
              <w:marLeft w:val="0"/>
              <w:marRight w:val="0"/>
              <w:marTop w:val="0"/>
              <w:marBottom w:val="0"/>
              <w:divBdr>
                <w:top w:val="none" w:sz="0" w:space="0" w:color="auto"/>
                <w:left w:val="none" w:sz="0" w:space="0" w:color="auto"/>
                <w:bottom w:val="none" w:sz="0" w:space="0" w:color="auto"/>
                <w:right w:val="none" w:sz="0" w:space="0" w:color="auto"/>
              </w:divBdr>
            </w:div>
          </w:divsChild>
        </w:div>
        <w:div w:id="1347289607">
          <w:marLeft w:val="0"/>
          <w:marRight w:val="0"/>
          <w:marTop w:val="0"/>
          <w:marBottom w:val="0"/>
          <w:divBdr>
            <w:top w:val="none" w:sz="0" w:space="0" w:color="auto"/>
            <w:left w:val="none" w:sz="0" w:space="0" w:color="auto"/>
            <w:bottom w:val="none" w:sz="0" w:space="0" w:color="auto"/>
            <w:right w:val="none" w:sz="0" w:space="0" w:color="auto"/>
          </w:divBdr>
          <w:divsChild>
            <w:div w:id="361132893">
              <w:marLeft w:val="0"/>
              <w:marRight w:val="0"/>
              <w:marTop w:val="0"/>
              <w:marBottom w:val="0"/>
              <w:divBdr>
                <w:top w:val="none" w:sz="0" w:space="0" w:color="auto"/>
                <w:left w:val="none" w:sz="0" w:space="0" w:color="auto"/>
                <w:bottom w:val="none" w:sz="0" w:space="0" w:color="auto"/>
                <w:right w:val="none" w:sz="0" w:space="0" w:color="auto"/>
              </w:divBdr>
            </w:div>
          </w:divsChild>
        </w:div>
        <w:div w:id="1392921129">
          <w:marLeft w:val="0"/>
          <w:marRight w:val="0"/>
          <w:marTop w:val="0"/>
          <w:marBottom w:val="0"/>
          <w:divBdr>
            <w:top w:val="none" w:sz="0" w:space="0" w:color="auto"/>
            <w:left w:val="none" w:sz="0" w:space="0" w:color="auto"/>
            <w:bottom w:val="none" w:sz="0" w:space="0" w:color="auto"/>
            <w:right w:val="none" w:sz="0" w:space="0" w:color="auto"/>
          </w:divBdr>
          <w:divsChild>
            <w:div w:id="1036858697">
              <w:marLeft w:val="0"/>
              <w:marRight w:val="0"/>
              <w:marTop w:val="0"/>
              <w:marBottom w:val="0"/>
              <w:divBdr>
                <w:top w:val="none" w:sz="0" w:space="0" w:color="auto"/>
                <w:left w:val="none" w:sz="0" w:space="0" w:color="auto"/>
                <w:bottom w:val="none" w:sz="0" w:space="0" w:color="auto"/>
                <w:right w:val="none" w:sz="0" w:space="0" w:color="auto"/>
              </w:divBdr>
            </w:div>
          </w:divsChild>
        </w:div>
        <w:div w:id="1498957500">
          <w:marLeft w:val="0"/>
          <w:marRight w:val="0"/>
          <w:marTop w:val="0"/>
          <w:marBottom w:val="0"/>
          <w:divBdr>
            <w:top w:val="none" w:sz="0" w:space="0" w:color="auto"/>
            <w:left w:val="none" w:sz="0" w:space="0" w:color="auto"/>
            <w:bottom w:val="none" w:sz="0" w:space="0" w:color="auto"/>
            <w:right w:val="none" w:sz="0" w:space="0" w:color="auto"/>
          </w:divBdr>
          <w:divsChild>
            <w:div w:id="805703013">
              <w:marLeft w:val="0"/>
              <w:marRight w:val="0"/>
              <w:marTop w:val="0"/>
              <w:marBottom w:val="0"/>
              <w:divBdr>
                <w:top w:val="none" w:sz="0" w:space="0" w:color="auto"/>
                <w:left w:val="none" w:sz="0" w:space="0" w:color="auto"/>
                <w:bottom w:val="none" w:sz="0" w:space="0" w:color="auto"/>
                <w:right w:val="none" w:sz="0" w:space="0" w:color="auto"/>
              </w:divBdr>
            </w:div>
          </w:divsChild>
        </w:div>
        <w:div w:id="1562977881">
          <w:marLeft w:val="0"/>
          <w:marRight w:val="0"/>
          <w:marTop w:val="0"/>
          <w:marBottom w:val="0"/>
          <w:divBdr>
            <w:top w:val="none" w:sz="0" w:space="0" w:color="auto"/>
            <w:left w:val="none" w:sz="0" w:space="0" w:color="auto"/>
            <w:bottom w:val="none" w:sz="0" w:space="0" w:color="auto"/>
            <w:right w:val="none" w:sz="0" w:space="0" w:color="auto"/>
          </w:divBdr>
          <w:divsChild>
            <w:div w:id="1394549638">
              <w:marLeft w:val="0"/>
              <w:marRight w:val="0"/>
              <w:marTop w:val="0"/>
              <w:marBottom w:val="0"/>
              <w:divBdr>
                <w:top w:val="none" w:sz="0" w:space="0" w:color="auto"/>
                <w:left w:val="none" w:sz="0" w:space="0" w:color="auto"/>
                <w:bottom w:val="none" w:sz="0" w:space="0" w:color="auto"/>
                <w:right w:val="none" w:sz="0" w:space="0" w:color="auto"/>
              </w:divBdr>
            </w:div>
            <w:div w:id="2109276602">
              <w:marLeft w:val="0"/>
              <w:marRight w:val="0"/>
              <w:marTop w:val="0"/>
              <w:marBottom w:val="0"/>
              <w:divBdr>
                <w:top w:val="none" w:sz="0" w:space="0" w:color="auto"/>
                <w:left w:val="none" w:sz="0" w:space="0" w:color="auto"/>
                <w:bottom w:val="none" w:sz="0" w:space="0" w:color="auto"/>
                <w:right w:val="none" w:sz="0" w:space="0" w:color="auto"/>
              </w:divBdr>
            </w:div>
          </w:divsChild>
        </w:div>
        <w:div w:id="1756704451">
          <w:marLeft w:val="0"/>
          <w:marRight w:val="0"/>
          <w:marTop w:val="0"/>
          <w:marBottom w:val="0"/>
          <w:divBdr>
            <w:top w:val="none" w:sz="0" w:space="0" w:color="auto"/>
            <w:left w:val="none" w:sz="0" w:space="0" w:color="auto"/>
            <w:bottom w:val="none" w:sz="0" w:space="0" w:color="auto"/>
            <w:right w:val="none" w:sz="0" w:space="0" w:color="auto"/>
          </w:divBdr>
          <w:divsChild>
            <w:div w:id="455032188">
              <w:marLeft w:val="0"/>
              <w:marRight w:val="0"/>
              <w:marTop w:val="0"/>
              <w:marBottom w:val="0"/>
              <w:divBdr>
                <w:top w:val="none" w:sz="0" w:space="0" w:color="auto"/>
                <w:left w:val="none" w:sz="0" w:space="0" w:color="auto"/>
                <w:bottom w:val="none" w:sz="0" w:space="0" w:color="auto"/>
                <w:right w:val="none" w:sz="0" w:space="0" w:color="auto"/>
              </w:divBdr>
            </w:div>
          </w:divsChild>
        </w:div>
        <w:div w:id="1814786717">
          <w:marLeft w:val="0"/>
          <w:marRight w:val="0"/>
          <w:marTop w:val="0"/>
          <w:marBottom w:val="0"/>
          <w:divBdr>
            <w:top w:val="none" w:sz="0" w:space="0" w:color="auto"/>
            <w:left w:val="none" w:sz="0" w:space="0" w:color="auto"/>
            <w:bottom w:val="none" w:sz="0" w:space="0" w:color="auto"/>
            <w:right w:val="none" w:sz="0" w:space="0" w:color="auto"/>
          </w:divBdr>
          <w:divsChild>
            <w:div w:id="497231020">
              <w:marLeft w:val="0"/>
              <w:marRight w:val="0"/>
              <w:marTop w:val="0"/>
              <w:marBottom w:val="0"/>
              <w:divBdr>
                <w:top w:val="none" w:sz="0" w:space="0" w:color="auto"/>
                <w:left w:val="none" w:sz="0" w:space="0" w:color="auto"/>
                <w:bottom w:val="none" w:sz="0" w:space="0" w:color="auto"/>
                <w:right w:val="none" w:sz="0" w:space="0" w:color="auto"/>
              </w:divBdr>
            </w:div>
          </w:divsChild>
        </w:div>
        <w:div w:id="1941715171">
          <w:marLeft w:val="0"/>
          <w:marRight w:val="0"/>
          <w:marTop w:val="0"/>
          <w:marBottom w:val="0"/>
          <w:divBdr>
            <w:top w:val="none" w:sz="0" w:space="0" w:color="auto"/>
            <w:left w:val="none" w:sz="0" w:space="0" w:color="auto"/>
            <w:bottom w:val="none" w:sz="0" w:space="0" w:color="auto"/>
            <w:right w:val="none" w:sz="0" w:space="0" w:color="auto"/>
          </w:divBdr>
          <w:divsChild>
            <w:div w:id="461730937">
              <w:marLeft w:val="0"/>
              <w:marRight w:val="0"/>
              <w:marTop w:val="0"/>
              <w:marBottom w:val="0"/>
              <w:divBdr>
                <w:top w:val="none" w:sz="0" w:space="0" w:color="auto"/>
                <w:left w:val="none" w:sz="0" w:space="0" w:color="auto"/>
                <w:bottom w:val="none" w:sz="0" w:space="0" w:color="auto"/>
                <w:right w:val="none" w:sz="0" w:space="0" w:color="auto"/>
              </w:divBdr>
            </w:div>
            <w:div w:id="1946814115">
              <w:marLeft w:val="0"/>
              <w:marRight w:val="0"/>
              <w:marTop w:val="0"/>
              <w:marBottom w:val="0"/>
              <w:divBdr>
                <w:top w:val="none" w:sz="0" w:space="0" w:color="auto"/>
                <w:left w:val="none" w:sz="0" w:space="0" w:color="auto"/>
                <w:bottom w:val="none" w:sz="0" w:space="0" w:color="auto"/>
                <w:right w:val="none" w:sz="0" w:space="0" w:color="auto"/>
              </w:divBdr>
            </w:div>
          </w:divsChild>
        </w:div>
        <w:div w:id="2130925380">
          <w:marLeft w:val="0"/>
          <w:marRight w:val="0"/>
          <w:marTop w:val="0"/>
          <w:marBottom w:val="0"/>
          <w:divBdr>
            <w:top w:val="none" w:sz="0" w:space="0" w:color="auto"/>
            <w:left w:val="none" w:sz="0" w:space="0" w:color="auto"/>
            <w:bottom w:val="none" w:sz="0" w:space="0" w:color="auto"/>
            <w:right w:val="none" w:sz="0" w:space="0" w:color="auto"/>
          </w:divBdr>
          <w:divsChild>
            <w:div w:id="12187870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8546291">
      <w:bodyDiv w:val="1"/>
      <w:marLeft w:val="0"/>
      <w:marRight w:val="0"/>
      <w:marTop w:val="0"/>
      <w:marBottom w:val="0"/>
      <w:divBdr>
        <w:top w:val="none" w:sz="0" w:space="0" w:color="auto"/>
        <w:left w:val="none" w:sz="0" w:space="0" w:color="auto"/>
        <w:bottom w:val="none" w:sz="0" w:space="0" w:color="auto"/>
        <w:right w:val="none" w:sz="0" w:space="0" w:color="auto"/>
      </w:divBdr>
      <w:divsChild>
        <w:div w:id="13967990">
          <w:marLeft w:val="0"/>
          <w:marRight w:val="0"/>
          <w:marTop w:val="0"/>
          <w:marBottom w:val="0"/>
          <w:divBdr>
            <w:top w:val="none" w:sz="0" w:space="0" w:color="auto"/>
            <w:left w:val="none" w:sz="0" w:space="0" w:color="auto"/>
            <w:bottom w:val="none" w:sz="0" w:space="0" w:color="auto"/>
            <w:right w:val="none" w:sz="0" w:space="0" w:color="auto"/>
          </w:divBdr>
          <w:divsChild>
            <w:div w:id="293753101">
              <w:marLeft w:val="0"/>
              <w:marRight w:val="0"/>
              <w:marTop w:val="0"/>
              <w:marBottom w:val="0"/>
              <w:divBdr>
                <w:top w:val="none" w:sz="0" w:space="0" w:color="auto"/>
                <w:left w:val="none" w:sz="0" w:space="0" w:color="auto"/>
                <w:bottom w:val="none" w:sz="0" w:space="0" w:color="auto"/>
                <w:right w:val="none" w:sz="0" w:space="0" w:color="auto"/>
              </w:divBdr>
            </w:div>
          </w:divsChild>
        </w:div>
        <w:div w:id="303121242">
          <w:marLeft w:val="0"/>
          <w:marRight w:val="0"/>
          <w:marTop w:val="0"/>
          <w:marBottom w:val="0"/>
          <w:divBdr>
            <w:top w:val="none" w:sz="0" w:space="0" w:color="auto"/>
            <w:left w:val="none" w:sz="0" w:space="0" w:color="auto"/>
            <w:bottom w:val="none" w:sz="0" w:space="0" w:color="auto"/>
            <w:right w:val="none" w:sz="0" w:space="0" w:color="auto"/>
          </w:divBdr>
          <w:divsChild>
            <w:div w:id="1932080866">
              <w:marLeft w:val="0"/>
              <w:marRight w:val="0"/>
              <w:marTop w:val="0"/>
              <w:marBottom w:val="0"/>
              <w:divBdr>
                <w:top w:val="none" w:sz="0" w:space="0" w:color="auto"/>
                <w:left w:val="none" w:sz="0" w:space="0" w:color="auto"/>
                <w:bottom w:val="none" w:sz="0" w:space="0" w:color="auto"/>
                <w:right w:val="none" w:sz="0" w:space="0" w:color="auto"/>
              </w:divBdr>
            </w:div>
          </w:divsChild>
        </w:div>
        <w:div w:id="772553925">
          <w:marLeft w:val="0"/>
          <w:marRight w:val="0"/>
          <w:marTop w:val="0"/>
          <w:marBottom w:val="0"/>
          <w:divBdr>
            <w:top w:val="none" w:sz="0" w:space="0" w:color="auto"/>
            <w:left w:val="none" w:sz="0" w:space="0" w:color="auto"/>
            <w:bottom w:val="none" w:sz="0" w:space="0" w:color="auto"/>
            <w:right w:val="none" w:sz="0" w:space="0" w:color="auto"/>
          </w:divBdr>
          <w:divsChild>
            <w:div w:id="1719621856">
              <w:marLeft w:val="0"/>
              <w:marRight w:val="0"/>
              <w:marTop w:val="0"/>
              <w:marBottom w:val="0"/>
              <w:divBdr>
                <w:top w:val="none" w:sz="0" w:space="0" w:color="auto"/>
                <w:left w:val="none" w:sz="0" w:space="0" w:color="auto"/>
                <w:bottom w:val="none" w:sz="0" w:space="0" w:color="auto"/>
                <w:right w:val="none" w:sz="0" w:space="0" w:color="auto"/>
              </w:divBdr>
            </w:div>
          </w:divsChild>
        </w:div>
        <w:div w:id="812991575">
          <w:marLeft w:val="0"/>
          <w:marRight w:val="0"/>
          <w:marTop w:val="0"/>
          <w:marBottom w:val="0"/>
          <w:divBdr>
            <w:top w:val="none" w:sz="0" w:space="0" w:color="auto"/>
            <w:left w:val="none" w:sz="0" w:space="0" w:color="auto"/>
            <w:bottom w:val="none" w:sz="0" w:space="0" w:color="auto"/>
            <w:right w:val="none" w:sz="0" w:space="0" w:color="auto"/>
          </w:divBdr>
          <w:divsChild>
            <w:div w:id="241722706">
              <w:marLeft w:val="0"/>
              <w:marRight w:val="0"/>
              <w:marTop w:val="0"/>
              <w:marBottom w:val="0"/>
              <w:divBdr>
                <w:top w:val="none" w:sz="0" w:space="0" w:color="auto"/>
                <w:left w:val="none" w:sz="0" w:space="0" w:color="auto"/>
                <w:bottom w:val="none" w:sz="0" w:space="0" w:color="auto"/>
                <w:right w:val="none" w:sz="0" w:space="0" w:color="auto"/>
              </w:divBdr>
            </w:div>
          </w:divsChild>
        </w:div>
        <w:div w:id="997196172">
          <w:marLeft w:val="0"/>
          <w:marRight w:val="0"/>
          <w:marTop w:val="0"/>
          <w:marBottom w:val="0"/>
          <w:divBdr>
            <w:top w:val="none" w:sz="0" w:space="0" w:color="auto"/>
            <w:left w:val="none" w:sz="0" w:space="0" w:color="auto"/>
            <w:bottom w:val="none" w:sz="0" w:space="0" w:color="auto"/>
            <w:right w:val="none" w:sz="0" w:space="0" w:color="auto"/>
          </w:divBdr>
          <w:divsChild>
            <w:div w:id="2112191828">
              <w:marLeft w:val="0"/>
              <w:marRight w:val="0"/>
              <w:marTop w:val="0"/>
              <w:marBottom w:val="0"/>
              <w:divBdr>
                <w:top w:val="none" w:sz="0" w:space="0" w:color="auto"/>
                <w:left w:val="none" w:sz="0" w:space="0" w:color="auto"/>
                <w:bottom w:val="none" w:sz="0" w:space="0" w:color="auto"/>
                <w:right w:val="none" w:sz="0" w:space="0" w:color="auto"/>
              </w:divBdr>
            </w:div>
          </w:divsChild>
        </w:div>
        <w:div w:id="1127167030">
          <w:marLeft w:val="0"/>
          <w:marRight w:val="0"/>
          <w:marTop w:val="0"/>
          <w:marBottom w:val="0"/>
          <w:divBdr>
            <w:top w:val="none" w:sz="0" w:space="0" w:color="auto"/>
            <w:left w:val="none" w:sz="0" w:space="0" w:color="auto"/>
            <w:bottom w:val="none" w:sz="0" w:space="0" w:color="auto"/>
            <w:right w:val="none" w:sz="0" w:space="0" w:color="auto"/>
          </w:divBdr>
          <w:divsChild>
            <w:div w:id="599529388">
              <w:marLeft w:val="0"/>
              <w:marRight w:val="0"/>
              <w:marTop w:val="0"/>
              <w:marBottom w:val="0"/>
              <w:divBdr>
                <w:top w:val="none" w:sz="0" w:space="0" w:color="auto"/>
                <w:left w:val="none" w:sz="0" w:space="0" w:color="auto"/>
                <w:bottom w:val="none" w:sz="0" w:space="0" w:color="auto"/>
                <w:right w:val="none" w:sz="0" w:space="0" w:color="auto"/>
              </w:divBdr>
            </w:div>
          </w:divsChild>
        </w:div>
        <w:div w:id="1142652804">
          <w:marLeft w:val="0"/>
          <w:marRight w:val="0"/>
          <w:marTop w:val="0"/>
          <w:marBottom w:val="0"/>
          <w:divBdr>
            <w:top w:val="none" w:sz="0" w:space="0" w:color="auto"/>
            <w:left w:val="none" w:sz="0" w:space="0" w:color="auto"/>
            <w:bottom w:val="none" w:sz="0" w:space="0" w:color="auto"/>
            <w:right w:val="none" w:sz="0" w:space="0" w:color="auto"/>
          </w:divBdr>
          <w:divsChild>
            <w:div w:id="2046710945">
              <w:marLeft w:val="0"/>
              <w:marRight w:val="0"/>
              <w:marTop w:val="0"/>
              <w:marBottom w:val="0"/>
              <w:divBdr>
                <w:top w:val="none" w:sz="0" w:space="0" w:color="auto"/>
                <w:left w:val="none" w:sz="0" w:space="0" w:color="auto"/>
                <w:bottom w:val="none" w:sz="0" w:space="0" w:color="auto"/>
                <w:right w:val="none" w:sz="0" w:space="0" w:color="auto"/>
              </w:divBdr>
            </w:div>
          </w:divsChild>
        </w:div>
        <w:div w:id="1462067928">
          <w:marLeft w:val="0"/>
          <w:marRight w:val="0"/>
          <w:marTop w:val="0"/>
          <w:marBottom w:val="0"/>
          <w:divBdr>
            <w:top w:val="none" w:sz="0" w:space="0" w:color="auto"/>
            <w:left w:val="none" w:sz="0" w:space="0" w:color="auto"/>
            <w:bottom w:val="none" w:sz="0" w:space="0" w:color="auto"/>
            <w:right w:val="none" w:sz="0" w:space="0" w:color="auto"/>
          </w:divBdr>
          <w:divsChild>
            <w:div w:id="1376470236">
              <w:marLeft w:val="0"/>
              <w:marRight w:val="0"/>
              <w:marTop w:val="0"/>
              <w:marBottom w:val="0"/>
              <w:divBdr>
                <w:top w:val="none" w:sz="0" w:space="0" w:color="auto"/>
                <w:left w:val="none" w:sz="0" w:space="0" w:color="auto"/>
                <w:bottom w:val="none" w:sz="0" w:space="0" w:color="auto"/>
                <w:right w:val="none" w:sz="0" w:space="0" w:color="auto"/>
              </w:divBdr>
            </w:div>
          </w:divsChild>
        </w:div>
        <w:div w:id="1645544030">
          <w:marLeft w:val="0"/>
          <w:marRight w:val="0"/>
          <w:marTop w:val="0"/>
          <w:marBottom w:val="0"/>
          <w:divBdr>
            <w:top w:val="none" w:sz="0" w:space="0" w:color="auto"/>
            <w:left w:val="none" w:sz="0" w:space="0" w:color="auto"/>
            <w:bottom w:val="none" w:sz="0" w:space="0" w:color="auto"/>
            <w:right w:val="none" w:sz="0" w:space="0" w:color="auto"/>
          </w:divBdr>
          <w:divsChild>
            <w:div w:id="14429149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1003785">
      <w:bodyDiv w:val="1"/>
      <w:marLeft w:val="0"/>
      <w:marRight w:val="0"/>
      <w:marTop w:val="0"/>
      <w:marBottom w:val="0"/>
      <w:divBdr>
        <w:top w:val="none" w:sz="0" w:space="0" w:color="auto"/>
        <w:left w:val="none" w:sz="0" w:space="0" w:color="auto"/>
        <w:bottom w:val="none" w:sz="0" w:space="0" w:color="auto"/>
        <w:right w:val="none" w:sz="0" w:space="0" w:color="auto"/>
      </w:divBdr>
    </w:div>
    <w:div w:id="158352031">
      <w:bodyDiv w:val="1"/>
      <w:marLeft w:val="0"/>
      <w:marRight w:val="0"/>
      <w:marTop w:val="0"/>
      <w:marBottom w:val="0"/>
      <w:divBdr>
        <w:top w:val="none" w:sz="0" w:space="0" w:color="auto"/>
        <w:left w:val="none" w:sz="0" w:space="0" w:color="auto"/>
        <w:bottom w:val="none" w:sz="0" w:space="0" w:color="auto"/>
        <w:right w:val="none" w:sz="0" w:space="0" w:color="auto"/>
      </w:divBdr>
    </w:div>
    <w:div w:id="274557637">
      <w:bodyDiv w:val="1"/>
      <w:marLeft w:val="0"/>
      <w:marRight w:val="0"/>
      <w:marTop w:val="0"/>
      <w:marBottom w:val="0"/>
      <w:divBdr>
        <w:top w:val="none" w:sz="0" w:space="0" w:color="auto"/>
        <w:left w:val="none" w:sz="0" w:space="0" w:color="auto"/>
        <w:bottom w:val="none" w:sz="0" w:space="0" w:color="auto"/>
        <w:right w:val="none" w:sz="0" w:space="0" w:color="auto"/>
      </w:divBdr>
    </w:div>
    <w:div w:id="397826767">
      <w:bodyDiv w:val="1"/>
      <w:marLeft w:val="0"/>
      <w:marRight w:val="0"/>
      <w:marTop w:val="0"/>
      <w:marBottom w:val="0"/>
      <w:divBdr>
        <w:top w:val="none" w:sz="0" w:space="0" w:color="auto"/>
        <w:left w:val="none" w:sz="0" w:space="0" w:color="auto"/>
        <w:bottom w:val="none" w:sz="0" w:space="0" w:color="auto"/>
        <w:right w:val="none" w:sz="0" w:space="0" w:color="auto"/>
      </w:divBdr>
    </w:div>
    <w:div w:id="467362338">
      <w:bodyDiv w:val="1"/>
      <w:marLeft w:val="0"/>
      <w:marRight w:val="0"/>
      <w:marTop w:val="0"/>
      <w:marBottom w:val="0"/>
      <w:divBdr>
        <w:top w:val="none" w:sz="0" w:space="0" w:color="auto"/>
        <w:left w:val="none" w:sz="0" w:space="0" w:color="auto"/>
        <w:bottom w:val="none" w:sz="0" w:space="0" w:color="auto"/>
        <w:right w:val="none" w:sz="0" w:space="0" w:color="auto"/>
      </w:divBdr>
    </w:div>
    <w:div w:id="625475952">
      <w:bodyDiv w:val="1"/>
      <w:marLeft w:val="0"/>
      <w:marRight w:val="0"/>
      <w:marTop w:val="0"/>
      <w:marBottom w:val="0"/>
      <w:divBdr>
        <w:top w:val="none" w:sz="0" w:space="0" w:color="auto"/>
        <w:left w:val="none" w:sz="0" w:space="0" w:color="auto"/>
        <w:bottom w:val="none" w:sz="0" w:space="0" w:color="auto"/>
        <w:right w:val="none" w:sz="0" w:space="0" w:color="auto"/>
      </w:divBdr>
    </w:div>
    <w:div w:id="888225240">
      <w:bodyDiv w:val="1"/>
      <w:marLeft w:val="0"/>
      <w:marRight w:val="0"/>
      <w:marTop w:val="0"/>
      <w:marBottom w:val="0"/>
      <w:divBdr>
        <w:top w:val="none" w:sz="0" w:space="0" w:color="auto"/>
        <w:left w:val="none" w:sz="0" w:space="0" w:color="auto"/>
        <w:bottom w:val="none" w:sz="0" w:space="0" w:color="auto"/>
        <w:right w:val="none" w:sz="0" w:space="0" w:color="auto"/>
      </w:divBdr>
    </w:div>
    <w:div w:id="931547668">
      <w:bodyDiv w:val="1"/>
      <w:marLeft w:val="0"/>
      <w:marRight w:val="0"/>
      <w:marTop w:val="0"/>
      <w:marBottom w:val="0"/>
      <w:divBdr>
        <w:top w:val="none" w:sz="0" w:space="0" w:color="auto"/>
        <w:left w:val="none" w:sz="0" w:space="0" w:color="auto"/>
        <w:bottom w:val="none" w:sz="0" w:space="0" w:color="auto"/>
        <w:right w:val="none" w:sz="0" w:space="0" w:color="auto"/>
      </w:divBdr>
      <w:divsChild>
        <w:div w:id="25444763">
          <w:marLeft w:val="0"/>
          <w:marRight w:val="0"/>
          <w:marTop w:val="0"/>
          <w:marBottom w:val="0"/>
          <w:divBdr>
            <w:top w:val="none" w:sz="0" w:space="0" w:color="auto"/>
            <w:left w:val="none" w:sz="0" w:space="0" w:color="auto"/>
            <w:bottom w:val="none" w:sz="0" w:space="0" w:color="auto"/>
            <w:right w:val="none" w:sz="0" w:space="0" w:color="auto"/>
          </w:divBdr>
          <w:divsChild>
            <w:div w:id="508645432">
              <w:marLeft w:val="0"/>
              <w:marRight w:val="0"/>
              <w:marTop w:val="0"/>
              <w:marBottom w:val="0"/>
              <w:divBdr>
                <w:top w:val="none" w:sz="0" w:space="0" w:color="auto"/>
                <w:left w:val="none" w:sz="0" w:space="0" w:color="auto"/>
                <w:bottom w:val="none" w:sz="0" w:space="0" w:color="auto"/>
                <w:right w:val="none" w:sz="0" w:space="0" w:color="auto"/>
              </w:divBdr>
            </w:div>
          </w:divsChild>
        </w:div>
        <w:div w:id="566306508">
          <w:marLeft w:val="0"/>
          <w:marRight w:val="0"/>
          <w:marTop w:val="0"/>
          <w:marBottom w:val="0"/>
          <w:divBdr>
            <w:top w:val="none" w:sz="0" w:space="0" w:color="auto"/>
            <w:left w:val="none" w:sz="0" w:space="0" w:color="auto"/>
            <w:bottom w:val="none" w:sz="0" w:space="0" w:color="auto"/>
            <w:right w:val="none" w:sz="0" w:space="0" w:color="auto"/>
          </w:divBdr>
          <w:divsChild>
            <w:div w:id="2046369705">
              <w:marLeft w:val="0"/>
              <w:marRight w:val="0"/>
              <w:marTop w:val="0"/>
              <w:marBottom w:val="0"/>
              <w:divBdr>
                <w:top w:val="none" w:sz="0" w:space="0" w:color="auto"/>
                <w:left w:val="none" w:sz="0" w:space="0" w:color="auto"/>
                <w:bottom w:val="none" w:sz="0" w:space="0" w:color="auto"/>
                <w:right w:val="none" w:sz="0" w:space="0" w:color="auto"/>
              </w:divBdr>
            </w:div>
          </w:divsChild>
        </w:div>
        <w:div w:id="637956222">
          <w:marLeft w:val="0"/>
          <w:marRight w:val="0"/>
          <w:marTop w:val="0"/>
          <w:marBottom w:val="0"/>
          <w:divBdr>
            <w:top w:val="none" w:sz="0" w:space="0" w:color="auto"/>
            <w:left w:val="none" w:sz="0" w:space="0" w:color="auto"/>
            <w:bottom w:val="none" w:sz="0" w:space="0" w:color="auto"/>
            <w:right w:val="none" w:sz="0" w:space="0" w:color="auto"/>
          </w:divBdr>
          <w:divsChild>
            <w:div w:id="985740489">
              <w:marLeft w:val="0"/>
              <w:marRight w:val="0"/>
              <w:marTop w:val="0"/>
              <w:marBottom w:val="0"/>
              <w:divBdr>
                <w:top w:val="none" w:sz="0" w:space="0" w:color="auto"/>
                <w:left w:val="none" w:sz="0" w:space="0" w:color="auto"/>
                <w:bottom w:val="none" w:sz="0" w:space="0" w:color="auto"/>
                <w:right w:val="none" w:sz="0" w:space="0" w:color="auto"/>
              </w:divBdr>
            </w:div>
          </w:divsChild>
        </w:div>
        <w:div w:id="654989309">
          <w:marLeft w:val="0"/>
          <w:marRight w:val="0"/>
          <w:marTop w:val="0"/>
          <w:marBottom w:val="0"/>
          <w:divBdr>
            <w:top w:val="none" w:sz="0" w:space="0" w:color="auto"/>
            <w:left w:val="none" w:sz="0" w:space="0" w:color="auto"/>
            <w:bottom w:val="none" w:sz="0" w:space="0" w:color="auto"/>
            <w:right w:val="none" w:sz="0" w:space="0" w:color="auto"/>
          </w:divBdr>
          <w:divsChild>
            <w:div w:id="906382893">
              <w:marLeft w:val="0"/>
              <w:marRight w:val="0"/>
              <w:marTop w:val="0"/>
              <w:marBottom w:val="0"/>
              <w:divBdr>
                <w:top w:val="none" w:sz="0" w:space="0" w:color="auto"/>
                <w:left w:val="none" w:sz="0" w:space="0" w:color="auto"/>
                <w:bottom w:val="none" w:sz="0" w:space="0" w:color="auto"/>
                <w:right w:val="none" w:sz="0" w:space="0" w:color="auto"/>
              </w:divBdr>
            </w:div>
          </w:divsChild>
        </w:div>
        <w:div w:id="910506697">
          <w:marLeft w:val="0"/>
          <w:marRight w:val="0"/>
          <w:marTop w:val="0"/>
          <w:marBottom w:val="0"/>
          <w:divBdr>
            <w:top w:val="none" w:sz="0" w:space="0" w:color="auto"/>
            <w:left w:val="none" w:sz="0" w:space="0" w:color="auto"/>
            <w:bottom w:val="none" w:sz="0" w:space="0" w:color="auto"/>
            <w:right w:val="none" w:sz="0" w:space="0" w:color="auto"/>
          </w:divBdr>
          <w:divsChild>
            <w:div w:id="119229553">
              <w:marLeft w:val="0"/>
              <w:marRight w:val="0"/>
              <w:marTop w:val="0"/>
              <w:marBottom w:val="0"/>
              <w:divBdr>
                <w:top w:val="none" w:sz="0" w:space="0" w:color="auto"/>
                <w:left w:val="none" w:sz="0" w:space="0" w:color="auto"/>
                <w:bottom w:val="none" w:sz="0" w:space="0" w:color="auto"/>
                <w:right w:val="none" w:sz="0" w:space="0" w:color="auto"/>
              </w:divBdr>
            </w:div>
          </w:divsChild>
        </w:div>
        <w:div w:id="982928950">
          <w:marLeft w:val="0"/>
          <w:marRight w:val="0"/>
          <w:marTop w:val="0"/>
          <w:marBottom w:val="0"/>
          <w:divBdr>
            <w:top w:val="none" w:sz="0" w:space="0" w:color="auto"/>
            <w:left w:val="none" w:sz="0" w:space="0" w:color="auto"/>
            <w:bottom w:val="none" w:sz="0" w:space="0" w:color="auto"/>
            <w:right w:val="none" w:sz="0" w:space="0" w:color="auto"/>
          </w:divBdr>
          <w:divsChild>
            <w:div w:id="1387489719">
              <w:marLeft w:val="0"/>
              <w:marRight w:val="0"/>
              <w:marTop w:val="0"/>
              <w:marBottom w:val="0"/>
              <w:divBdr>
                <w:top w:val="none" w:sz="0" w:space="0" w:color="auto"/>
                <w:left w:val="none" w:sz="0" w:space="0" w:color="auto"/>
                <w:bottom w:val="none" w:sz="0" w:space="0" w:color="auto"/>
                <w:right w:val="none" w:sz="0" w:space="0" w:color="auto"/>
              </w:divBdr>
            </w:div>
          </w:divsChild>
        </w:div>
        <w:div w:id="1484732921">
          <w:marLeft w:val="0"/>
          <w:marRight w:val="0"/>
          <w:marTop w:val="0"/>
          <w:marBottom w:val="0"/>
          <w:divBdr>
            <w:top w:val="none" w:sz="0" w:space="0" w:color="auto"/>
            <w:left w:val="none" w:sz="0" w:space="0" w:color="auto"/>
            <w:bottom w:val="none" w:sz="0" w:space="0" w:color="auto"/>
            <w:right w:val="none" w:sz="0" w:space="0" w:color="auto"/>
          </w:divBdr>
          <w:divsChild>
            <w:div w:id="1826778365">
              <w:marLeft w:val="0"/>
              <w:marRight w:val="0"/>
              <w:marTop w:val="0"/>
              <w:marBottom w:val="0"/>
              <w:divBdr>
                <w:top w:val="none" w:sz="0" w:space="0" w:color="auto"/>
                <w:left w:val="none" w:sz="0" w:space="0" w:color="auto"/>
                <w:bottom w:val="none" w:sz="0" w:space="0" w:color="auto"/>
                <w:right w:val="none" w:sz="0" w:space="0" w:color="auto"/>
              </w:divBdr>
            </w:div>
          </w:divsChild>
        </w:div>
        <w:div w:id="1665283697">
          <w:marLeft w:val="0"/>
          <w:marRight w:val="0"/>
          <w:marTop w:val="0"/>
          <w:marBottom w:val="0"/>
          <w:divBdr>
            <w:top w:val="none" w:sz="0" w:space="0" w:color="auto"/>
            <w:left w:val="none" w:sz="0" w:space="0" w:color="auto"/>
            <w:bottom w:val="none" w:sz="0" w:space="0" w:color="auto"/>
            <w:right w:val="none" w:sz="0" w:space="0" w:color="auto"/>
          </w:divBdr>
          <w:divsChild>
            <w:div w:id="886453167">
              <w:marLeft w:val="0"/>
              <w:marRight w:val="0"/>
              <w:marTop w:val="0"/>
              <w:marBottom w:val="0"/>
              <w:divBdr>
                <w:top w:val="none" w:sz="0" w:space="0" w:color="auto"/>
                <w:left w:val="none" w:sz="0" w:space="0" w:color="auto"/>
                <w:bottom w:val="none" w:sz="0" w:space="0" w:color="auto"/>
                <w:right w:val="none" w:sz="0" w:space="0" w:color="auto"/>
              </w:divBdr>
            </w:div>
          </w:divsChild>
        </w:div>
        <w:div w:id="1749692265">
          <w:marLeft w:val="0"/>
          <w:marRight w:val="0"/>
          <w:marTop w:val="0"/>
          <w:marBottom w:val="0"/>
          <w:divBdr>
            <w:top w:val="none" w:sz="0" w:space="0" w:color="auto"/>
            <w:left w:val="none" w:sz="0" w:space="0" w:color="auto"/>
            <w:bottom w:val="none" w:sz="0" w:space="0" w:color="auto"/>
            <w:right w:val="none" w:sz="0" w:space="0" w:color="auto"/>
          </w:divBdr>
          <w:divsChild>
            <w:div w:id="20004520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43815157">
      <w:bodyDiv w:val="1"/>
      <w:marLeft w:val="0"/>
      <w:marRight w:val="0"/>
      <w:marTop w:val="0"/>
      <w:marBottom w:val="0"/>
      <w:divBdr>
        <w:top w:val="none" w:sz="0" w:space="0" w:color="auto"/>
        <w:left w:val="none" w:sz="0" w:space="0" w:color="auto"/>
        <w:bottom w:val="none" w:sz="0" w:space="0" w:color="auto"/>
        <w:right w:val="none" w:sz="0" w:space="0" w:color="auto"/>
      </w:divBdr>
    </w:div>
    <w:div w:id="1400833423">
      <w:bodyDiv w:val="1"/>
      <w:marLeft w:val="0"/>
      <w:marRight w:val="0"/>
      <w:marTop w:val="0"/>
      <w:marBottom w:val="0"/>
      <w:divBdr>
        <w:top w:val="none" w:sz="0" w:space="0" w:color="auto"/>
        <w:left w:val="none" w:sz="0" w:space="0" w:color="auto"/>
        <w:bottom w:val="none" w:sz="0" w:space="0" w:color="auto"/>
        <w:right w:val="none" w:sz="0" w:space="0" w:color="auto"/>
      </w:divBdr>
      <w:divsChild>
        <w:div w:id="387801647">
          <w:marLeft w:val="0"/>
          <w:marRight w:val="0"/>
          <w:marTop w:val="0"/>
          <w:marBottom w:val="0"/>
          <w:divBdr>
            <w:top w:val="none" w:sz="0" w:space="0" w:color="auto"/>
            <w:left w:val="none" w:sz="0" w:space="0" w:color="auto"/>
            <w:bottom w:val="none" w:sz="0" w:space="0" w:color="auto"/>
            <w:right w:val="none" w:sz="0" w:space="0" w:color="auto"/>
          </w:divBdr>
        </w:div>
        <w:div w:id="1188249818">
          <w:marLeft w:val="0"/>
          <w:marRight w:val="0"/>
          <w:marTop w:val="0"/>
          <w:marBottom w:val="0"/>
          <w:divBdr>
            <w:top w:val="none" w:sz="0" w:space="0" w:color="auto"/>
            <w:left w:val="none" w:sz="0" w:space="0" w:color="auto"/>
            <w:bottom w:val="none" w:sz="0" w:space="0" w:color="auto"/>
            <w:right w:val="none" w:sz="0" w:space="0" w:color="auto"/>
          </w:divBdr>
        </w:div>
        <w:div w:id="1945262560">
          <w:marLeft w:val="0"/>
          <w:marRight w:val="0"/>
          <w:marTop w:val="0"/>
          <w:marBottom w:val="0"/>
          <w:divBdr>
            <w:top w:val="none" w:sz="0" w:space="0" w:color="auto"/>
            <w:left w:val="none" w:sz="0" w:space="0" w:color="auto"/>
            <w:bottom w:val="none" w:sz="0" w:space="0" w:color="auto"/>
            <w:right w:val="none" w:sz="0" w:space="0" w:color="auto"/>
          </w:divBdr>
        </w:div>
      </w:divsChild>
    </w:div>
    <w:div w:id="1405646178">
      <w:bodyDiv w:val="1"/>
      <w:marLeft w:val="0"/>
      <w:marRight w:val="0"/>
      <w:marTop w:val="0"/>
      <w:marBottom w:val="0"/>
      <w:divBdr>
        <w:top w:val="none" w:sz="0" w:space="0" w:color="auto"/>
        <w:left w:val="none" w:sz="0" w:space="0" w:color="auto"/>
        <w:bottom w:val="none" w:sz="0" w:space="0" w:color="auto"/>
        <w:right w:val="none" w:sz="0" w:space="0" w:color="auto"/>
      </w:divBdr>
      <w:divsChild>
        <w:div w:id="176963366">
          <w:marLeft w:val="0"/>
          <w:marRight w:val="0"/>
          <w:marTop w:val="0"/>
          <w:marBottom w:val="0"/>
          <w:divBdr>
            <w:top w:val="none" w:sz="0" w:space="0" w:color="auto"/>
            <w:left w:val="none" w:sz="0" w:space="0" w:color="auto"/>
            <w:bottom w:val="none" w:sz="0" w:space="0" w:color="auto"/>
            <w:right w:val="none" w:sz="0" w:space="0" w:color="auto"/>
          </w:divBdr>
          <w:divsChild>
            <w:div w:id="2014256050">
              <w:marLeft w:val="0"/>
              <w:marRight w:val="0"/>
              <w:marTop w:val="0"/>
              <w:marBottom w:val="0"/>
              <w:divBdr>
                <w:top w:val="none" w:sz="0" w:space="0" w:color="auto"/>
                <w:left w:val="none" w:sz="0" w:space="0" w:color="auto"/>
                <w:bottom w:val="none" w:sz="0" w:space="0" w:color="auto"/>
                <w:right w:val="none" w:sz="0" w:space="0" w:color="auto"/>
              </w:divBdr>
            </w:div>
          </w:divsChild>
        </w:div>
        <w:div w:id="179273497">
          <w:marLeft w:val="0"/>
          <w:marRight w:val="0"/>
          <w:marTop w:val="0"/>
          <w:marBottom w:val="0"/>
          <w:divBdr>
            <w:top w:val="none" w:sz="0" w:space="0" w:color="auto"/>
            <w:left w:val="none" w:sz="0" w:space="0" w:color="auto"/>
            <w:bottom w:val="none" w:sz="0" w:space="0" w:color="auto"/>
            <w:right w:val="none" w:sz="0" w:space="0" w:color="auto"/>
          </w:divBdr>
          <w:divsChild>
            <w:div w:id="1725180708">
              <w:marLeft w:val="0"/>
              <w:marRight w:val="0"/>
              <w:marTop w:val="0"/>
              <w:marBottom w:val="0"/>
              <w:divBdr>
                <w:top w:val="none" w:sz="0" w:space="0" w:color="auto"/>
                <w:left w:val="none" w:sz="0" w:space="0" w:color="auto"/>
                <w:bottom w:val="none" w:sz="0" w:space="0" w:color="auto"/>
                <w:right w:val="none" w:sz="0" w:space="0" w:color="auto"/>
              </w:divBdr>
            </w:div>
          </w:divsChild>
        </w:div>
        <w:div w:id="233316256">
          <w:marLeft w:val="0"/>
          <w:marRight w:val="0"/>
          <w:marTop w:val="0"/>
          <w:marBottom w:val="0"/>
          <w:divBdr>
            <w:top w:val="none" w:sz="0" w:space="0" w:color="auto"/>
            <w:left w:val="none" w:sz="0" w:space="0" w:color="auto"/>
            <w:bottom w:val="none" w:sz="0" w:space="0" w:color="auto"/>
            <w:right w:val="none" w:sz="0" w:space="0" w:color="auto"/>
          </w:divBdr>
          <w:divsChild>
            <w:div w:id="493184881">
              <w:marLeft w:val="0"/>
              <w:marRight w:val="0"/>
              <w:marTop w:val="0"/>
              <w:marBottom w:val="0"/>
              <w:divBdr>
                <w:top w:val="none" w:sz="0" w:space="0" w:color="auto"/>
                <w:left w:val="none" w:sz="0" w:space="0" w:color="auto"/>
                <w:bottom w:val="none" w:sz="0" w:space="0" w:color="auto"/>
                <w:right w:val="none" w:sz="0" w:space="0" w:color="auto"/>
              </w:divBdr>
            </w:div>
          </w:divsChild>
        </w:div>
        <w:div w:id="364866802">
          <w:marLeft w:val="0"/>
          <w:marRight w:val="0"/>
          <w:marTop w:val="0"/>
          <w:marBottom w:val="0"/>
          <w:divBdr>
            <w:top w:val="none" w:sz="0" w:space="0" w:color="auto"/>
            <w:left w:val="none" w:sz="0" w:space="0" w:color="auto"/>
            <w:bottom w:val="none" w:sz="0" w:space="0" w:color="auto"/>
            <w:right w:val="none" w:sz="0" w:space="0" w:color="auto"/>
          </w:divBdr>
          <w:divsChild>
            <w:div w:id="1868055884">
              <w:marLeft w:val="0"/>
              <w:marRight w:val="0"/>
              <w:marTop w:val="0"/>
              <w:marBottom w:val="0"/>
              <w:divBdr>
                <w:top w:val="none" w:sz="0" w:space="0" w:color="auto"/>
                <w:left w:val="none" w:sz="0" w:space="0" w:color="auto"/>
                <w:bottom w:val="none" w:sz="0" w:space="0" w:color="auto"/>
                <w:right w:val="none" w:sz="0" w:space="0" w:color="auto"/>
              </w:divBdr>
            </w:div>
          </w:divsChild>
        </w:div>
        <w:div w:id="445125333">
          <w:marLeft w:val="0"/>
          <w:marRight w:val="0"/>
          <w:marTop w:val="0"/>
          <w:marBottom w:val="0"/>
          <w:divBdr>
            <w:top w:val="none" w:sz="0" w:space="0" w:color="auto"/>
            <w:left w:val="none" w:sz="0" w:space="0" w:color="auto"/>
            <w:bottom w:val="none" w:sz="0" w:space="0" w:color="auto"/>
            <w:right w:val="none" w:sz="0" w:space="0" w:color="auto"/>
          </w:divBdr>
          <w:divsChild>
            <w:div w:id="596863568">
              <w:marLeft w:val="0"/>
              <w:marRight w:val="0"/>
              <w:marTop w:val="0"/>
              <w:marBottom w:val="0"/>
              <w:divBdr>
                <w:top w:val="none" w:sz="0" w:space="0" w:color="auto"/>
                <w:left w:val="none" w:sz="0" w:space="0" w:color="auto"/>
                <w:bottom w:val="none" w:sz="0" w:space="0" w:color="auto"/>
                <w:right w:val="none" w:sz="0" w:space="0" w:color="auto"/>
              </w:divBdr>
            </w:div>
          </w:divsChild>
        </w:div>
        <w:div w:id="471484594">
          <w:marLeft w:val="0"/>
          <w:marRight w:val="0"/>
          <w:marTop w:val="0"/>
          <w:marBottom w:val="0"/>
          <w:divBdr>
            <w:top w:val="none" w:sz="0" w:space="0" w:color="auto"/>
            <w:left w:val="none" w:sz="0" w:space="0" w:color="auto"/>
            <w:bottom w:val="none" w:sz="0" w:space="0" w:color="auto"/>
            <w:right w:val="none" w:sz="0" w:space="0" w:color="auto"/>
          </w:divBdr>
          <w:divsChild>
            <w:div w:id="971864857">
              <w:marLeft w:val="0"/>
              <w:marRight w:val="0"/>
              <w:marTop w:val="0"/>
              <w:marBottom w:val="0"/>
              <w:divBdr>
                <w:top w:val="none" w:sz="0" w:space="0" w:color="auto"/>
                <w:left w:val="none" w:sz="0" w:space="0" w:color="auto"/>
                <w:bottom w:val="none" w:sz="0" w:space="0" w:color="auto"/>
                <w:right w:val="none" w:sz="0" w:space="0" w:color="auto"/>
              </w:divBdr>
            </w:div>
          </w:divsChild>
        </w:div>
        <w:div w:id="553395441">
          <w:marLeft w:val="0"/>
          <w:marRight w:val="0"/>
          <w:marTop w:val="0"/>
          <w:marBottom w:val="0"/>
          <w:divBdr>
            <w:top w:val="none" w:sz="0" w:space="0" w:color="auto"/>
            <w:left w:val="none" w:sz="0" w:space="0" w:color="auto"/>
            <w:bottom w:val="none" w:sz="0" w:space="0" w:color="auto"/>
            <w:right w:val="none" w:sz="0" w:space="0" w:color="auto"/>
          </w:divBdr>
          <w:divsChild>
            <w:div w:id="972367555">
              <w:marLeft w:val="0"/>
              <w:marRight w:val="0"/>
              <w:marTop w:val="0"/>
              <w:marBottom w:val="0"/>
              <w:divBdr>
                <w:top w:val="none" w:sz="0" w:space="0" w:color="auto"/>
                <w:left w:val="none" w:sz="0" w:space="0" w:color="auto"/>
                <w:bottom w:val="none" w:sz="0" w:space="0" w:color="auto"/>
                <w:right w:val="none" w:sz="0" w:space="0" w:color="auto"/>
              </w:divBdr>
            </w:div>
          </w:divsChild>
        </w:div>
        <w:div w:id="775826682">
          <w:marLeft w:val="0"/>
          <w:marRight w:val="0"/>
          <w:marTop w:val="0"/>
          <w:marBottom w:val="0"/>
          <w:divBdr>
            <w:top w:val="none" w:sz="0" w:space="0" w:color="auto"/>
            <w:left w:val="none" w:sz="0" w:space="0" w:color="auto"/>
            <w:bottom w:val="none" w:sz="0" w:space="0" w:color="auto"/>
            <w:right w:val="none" w:sz="0" w:space="0" w:color="auto"/>
          </w:divBdr>
          <w:divsChild>
            <w:div w:id="343872266">
              <w:marLeft w:val="0"/>
              <w:marRight w:val="0"/>
              <w:marTop w:val="0"/>
              <w:marBottom w:val="0"/>
              <w:divBdr>
                <w:top w:val="none" w:sz="0" w:space="0" w:color="auto"/>
                <w:left w:val="none" w:sz="0" w:space="0" w:color="auto"/>
                <w:bottom w:val="none" w:sz="0" w:space="0" w:color="auto"/>
                <w:right w:val="none" w:sz="0" w:space="0" w:color="auto"/>
              </w:divBdr>
            </w:div>
            <w:div w:id="870533055">
              <w:marLeft w:val="0"/>
              <w:marRight w:val="0"/>
              <w:marTop w:val="0"/>
              <w:marBottom w:val="0"/>
              <w:divBdr>
                <w:top w:val="none" w:sz="0" w:space="0" w:color="auto"/>
                <w:left w:val="none" w:sz="0" w:space="0" w:color="auto"/>
                <w:bottom w:val="none" w:sz="0" w:space="0" w:color="auto"/>
                <w:right w:val="none" w:sz="0" w:space="0" w:color="auto"/>
              </w:divBdr>
            </w:div>
            <w:div w:id="2048875604">
              <w:marLeft w:val="0"/>
              <w:marRight w:val="0"/>
              <w:marTop w:val="0"/>
              <w:marBottom w:val="0"/>
              <w:divBdr>
                <w:top w:val="none" w:sz="0" w:space="0" w:color="auto"/>
                <w:left w:val="none" w:sz="0" w:space="0" w:color="auto"/>
                <w:bottom w:val="none" w:sz="0" w:space="0" w:color="auto"/>
                <w:right w:val="none" w:sz="0" w:space="0" w:color="auto"/>
              </w:divBdr>
            </w:div>
          </w:divsChild>
        </w:div>
        <w:div w:id="871071064">
          <w:marLeft w:val="0"/>
          <w:marRight w:val="0"/>
          <w:marTop w:val="0"/>
          <w:marBottom w:val="0"/>
          <w:divBdr>
            <w:top w:val="none" w:sz="0" w:space="0" w:color="auto"/>
            <w:left w:val="none" w:sz="0" w:space="0" w:color="auto"/>
            <w:bottom w:val="none" w:sz="0" w:space="0" w:color="auto"/>
            <w:right w:val="none" w:sz="0" w:space="0" w:color="auto"/>
          </w:divBdr>
          <w:divsChild>
            <w:div w:id="968508842">
              <w:marLeft w:val="0"/>
              <w:marRight w:val="0"/>
              <w:marTop w:val="0"/>
              <w:marBottom w:val="0"/>
              <w:divBdr>
                <w:top w:val="none" w:sz="0" w:space="0" w:color="auto"/>
                <w:left w:val="none" w:sz="0" w:space="0" w:color="auto"/>
                <w:bottom w:val="none" w:sz="0" w:space="0" w:color="auto"/>
                <w:right w:val="none" w:sz="0" w:space="0" w:color="auto"/>
              </w:divBdr>
            </w:div>
          </w:divsChild>
        </w:div>
        <w:div w:id="915356853">
          <w:marLeft w:val="0"/>
          <w:marRight w:val="0"/>
          <w:marTop w:val="0"/>
          <w:marBottom w:val="0"/>
          <w:divBdr>
            <w:top w:val="none" w:sz="0" w:space="0" w:color="auto"/>
            <w:left w:val="none" w:sz="0" w:space="0" w:color="auto"/>
            <w:bottom w:val="none" w:sz="0" w:space="0" w:color="auto"/>
            <w:right w:val="none" w:sz="0" w:space="0" w:color="auto"/>
          </w:divBdr>
          <w:divsChild>
            <w:div w:id="701519576">
              <w:marLeft w:val="0"/>
              <w:marRight w:val="0"/>
              <w:marTop w:val="0"/>
              <w:marBottom w:val="0"/>
              <w:divBdr>
                <w:top w:val="none" w:sz="0" w:space="0" w:color="auto"/>
                <w:left w:val="none" w:sz="0" w:space="0" w:color="auto"/>
                <w:bottom w:val="none" w:sz="0" w:space="0" w:color="auto"/>
                <w:right w:val="none" w:sz="0" w:space="0" w:color="auto"/>
              </w:divBdr>
            </w:div>
          </w:divsChild>
        </w:div>
        <w:div w:id="923143575">
          <w:marLeft w:val="0"/>
          <w:marRight w:val="0"/>
          <w:marTop w:val="0"/>
          <w:marBottom w:val="0"/>
          <w:divBdr>
            <w:top w:val="none" w:sz="0" w:space="0" w:color="auto"/>
            <w:left w:val="none" w:sz="0" w:space="0" w:color="auto"/>
            <w:bottom w:val="none" w:sz="0" w:space="0" w:color="auto"/>
            <w:right w:val="none" w:sz="0" w:space="0" w:color="auto"/>
          </w:divBdr>
          <w:divsChild>
            <w:div w:id="1669862756">
              <w:marLeft w:val="0"/>
              <w:marRight w:val="0"/>
              <w:marTop w:val="0"/>
              <w:marBottom w:val="0"/>
              <w:divBdr>
                <w:top w:val="none" w:sz="0" w:space="0" w:color="auto"/>
                <w:left w:val="none" w:sz="0" w:space="0" w:color="auto"/>
                <w:bottom w:val="none" w:sz="0" w:space="0" w:color="auto"/>
                <w:right w:val="none" w:sz="0" w:space="0" w:color="auto"/>
              </w:divBdr>
            </w:div>
          </w:divsChild>
        </w:div>
        <w:div w:id="1016033771">
          <w:marLeft w:val="0"/>
          <w:marRight w:val="0"/>
          <w:marTop w:val="0"/>
          <w:marBottom w:val="0"/>
          <w:divBdr>
            <w:top w:val="none" w:sz="0" w:space="0" w:color="auto"/>
            <w:left w:val="none" w:sz="0" w:space="0" w:color="auto"/>
            <w:bottom w:val="none" w:sz="0" w:space="0" w:color="auto"/>
            <w:right w:val="none" w:sz="0" w:space="0" w:color="auto"/>
          </w:divBdr>
          <w:divsChild>
            <w:div w:id="527258374">
              <w:marLeft w:val="0"/>
              <w:marRight w:val="0"/>
              <w:marTop w:val="0"/>
              <w:marBottom w:val="0"/>
              <w:divBdr>
                <w:top w:val="none" w:sz="0" w:space="0" w:color="auto"/>
                <w:left w:val="none" w:sz="0" w:space="0" w:color="auto"/>
                <w:bottom w:val="none" w:sz="0" w:space="0" w:color="auto"/>
                <w:right w:val="none" w:sz="0" w:space="0" w:color="auto"/>
              </w:divBdr>
            </w:div>
            <w:div w:id="757167627">
              <w:marLeft w:val="0"/>
              <w:marRight w:val="0"/>
              <w:marTop w:val="0"/>
              <w:marBottom w:val="0"/>
              <w:divBdr>
                <w:top w:val="none" w:sz="0" w:space="0" w:color="auto"/>
                <w:left w:val="none" w:sz="0" w:space="0" w:color="auto"/>
                <w:bottom w:val="none" w:sz="0" w:space="0" w:color="auto"/>
                <w:right w:val="none" w:sz="0" w:space="0" w:color="auto"/>
              </w:divBdr>
            </w:div>
          </w:divsChild>
        </w:div>
        <w:div w:id="1107626183">
          <w:marLeft w:val="0"/>
          <w:marRight w:val="0"/>
          <w:marTop w:val="0"/>
          <w:marBottom w:val="0"/>
          <w:divBdr>
            <w:top w:val="none" w:sz="0" w:space="0" w:color="auto"/>
            <w:left w:val="none" w:sz="0" w:space="0" w:color="auto"/>
            <w:bottom w:val="none" w:sz="0" w:space="0" w:color="auto"/>
            <w:right w:val="none" w:sz="0" w:space="0" w:color="auto"/>
          </w:divBdr>
          <w:divsChild>
            <w:div w:id="1409764979">
              <w:marLeft w:val="0"/>
              <w:marRight w:val="0"/>
              <w:marTop w:val="0"/>
              <w:marBottom w:val="0"/>
              <w:divBdr>
                <w:top w:val="none" w:sz="0" w:space="0" w:color="auto"/>
                <w:left w:val="none" w:sz="0" w:space="0" w:color="auto"/>
                <w:bottom w:val="none" w:sz="0" w:space="0" w:color="auto"/>
                <w:right w:val="none" w:sz="0" w:space="0" w:color="auto"/>
              </w:divBdr>
            </w:div>
          </w:divsChild>
        </w:div>
        <w:div w:id="1300648348">
          <w:marLeft w:val="0"/>
          <w:marRight w:val="0"/>
          <w:marTop w:val="0"/>
          <w:marBottom w:val="0"/>
          <w:divBdr>
            <w:top w:val="none" w:sz="0" w:space="0" w:color="auto"/>
            <w:left w:val="none" w:sz="0" w:space="0" w:color="auto"/>
            <w:bottom w:val="none" w:sz="0" w:space="0" w:color="auto"/>
            <w:right w:val="none" w:sz="0" w:space="0" w:color="auto"/>
          </w:divBdr>
          <w:divsChild>
            <w:div w:id="1100098865">
              <w:marLeft w:val="0"/>
              <w:marRight w:val="0"/>
              <w:marTop w:val="0"/>
              <w:marBottom w:val="0"/>
              <w:divBdr>
                <w:top w:val="none" w:sz="0" w:space="0" w:color="auto"/>
                <w:left w:val="none" w:sz="0" w:space="0" w:color="auto"/>
                <w:bottom w:val="none" w:sz="0" w:space="0" w:color="auto"/>
                <w:right w:val="none" w:sz="0" w:space="0" w:color="auto"/>
              </w:divBdr>
            </w:div>
          </w:divsChild>
        </w:div>
        <w:div w:id="1404719912">
          <w:marLeft w:val="0"/>
          <w:marRight w:val="0"/>
          <w:marTop w:val="0"/>
          <w:marBottom w:val="0"/>
          <w:divBdr>
            <w:top w:val="none" w:sz="0" w:space="0" w:color="auto"/>
            <w:left w:val="none" w:sz="0" w:space="0" w:color="auto"/>
            <w:bottom w:val="none" w:sz="0" w:space="0" w:color="auto"/>
            <w:right w:val="none" w:sz="0" w:space="0" w:color="auto"/>
          </w:divBdr>
          <w:divsChild>
            <w:div w:id="63183225">
              <w:marLeft w:val="0"/>
              <w:marRight w:val="0"/>
              <w:marTop w:val="0"/>
              <w:marBottom w:val="0"/>
              <w:divBdr>
                <w:top w:val="none" w:sz="0" w:space="0" w:color="auto"/>
                <w:left w:val="none" w:sz="0" w:space="0" w:color="auto"/>
                <w:bottom w:val="none" w:sz="0" w:space="0" w:color="auto"/>
                <w:right w:val="none" w:sz="0" w:space="0" w:color="auto"/>
              </w:divBdr>
            </w:div>
          </w:divsChild>
        </w:div>
        <w:div w:id="1407654280">
          <w:marLeft w:val="0"/>
          <w:marRight w:val="0"/>
          <w:marTop w:val="0"/>
          <w:marBottom w:val="0"/>
          <w:divBdr>
            <w:top w:val="none" w:sz="0" w:space="0" w:color="auto"/>
            <w:left w:val="none" w:sz="0" w:space="0" w:color="auto"/>
            <w:bottom w:val="none" w:sz="0" w:space="0" w:color="auto"/>
            <w:right w:val="none" w:sz="0" w:space="0" w:color="auto"/>
          </w:divBdr>
          <w:divsChild>
            <w:div w:id="107819611">
              <w:marLeft w:val="0"/>
              <w:marRight w:val="0"/>
              <w:marTop w:val="0"/>
              <w:marBottom w:val="0"/>
              <w:divBdr>
                <w:top w:val="none" w:sz="0" w:space="0" w:color="auto"/>
                <w:left w:val="none" w:sz="0" w:space="0" w:color="auto"/>
                <w:bottom w:val="none" w:sz="0" w:space="0" w:color="auto"/>
                <w:right w:val="none" w:sz="0" w:space="0" w:color="auto"/>
              </w:divBdr>
            </w:div>
          </w:divsChild>
        </w:div>
        <w:div w:id="1486966654">
          <w:marLeft w:val="0"/>
          <w:marRight w:val="0"/>
          <w:marTop w:val="0"/>
          <w:marBottom w:val="0"/>
          <w:divBdr>
            <w:top w:val="none" w:sz="0" w:space="0" w:color="auto"/>
            <w:left w:val="none" w:sz="0" w:space="0" w:color="auto"/>
            <w:bottom w:val="none" w:sz="0" w:space="0" w:color="auto"/>
            <w:right w:val="none" w:sz="0" w:space="0" w:color="auto"/>
          </w:divBdr>
          <w:divsChild>
            <w:div w:id="922029049">
              <w:marLeft w:val="0"/>
              <w:marRight w:val="0"/>
              <w:marTop w:val="0"/>
              <w:marBottom w:val="0"/>
              <w:divBdr>
                <w:top w:val="none" w:sz="0" w:space="0" w:color="auto"/>
                <w:left w:val="none" w:sz="0" w:space="0" w:color="auto"/>
                <w:bottom w:val="none" w:sz="0" w:space="0" w:color="auto"/>
                <w:right w:val="none" w:sz="0" w:space="0" w:color="auto"/>
              </w:divBdr>
            </w:div>
          </w:divsChild>
        </w:div>
        <w:div w:id="1579632623">
          <w:marLeft w:val="0"/>
          <w:marRight w:val="0"/>
          <w:marTop w:val="0"/>
          <w:marBottom w:val="0"/>
          <w:divBdr>
            <w:top w:val="none" w:sz="0" w:space="0" w:color="auto"/>
            <w:left w:val="none" w:sz="0" w:space="0" w:color="auto"/>
            <w:bottom w:val="none" w:sz="0" w:space="0" w:color="auto"/>
            <w:right w:val="none" w:sz="0" w:space="0" w:color="auto"/>
          </w:divBdr>
          <w:divsChild>
            <w:div w:id="343289895">
              <w:marLeft w:val="0"/>
              <w:marRight w:val="0"/>
              <w:marTop w:val="0"/>
              <w:marBottom w:val="0"/>
              <w:divBdr>
                <w:top w:val="none" w:sz="0" w:space="0" w:color="auto"/>
                <w:left w:val="none" w:sz="0" w:space="0" w:color="auto"/>
                <w:bottom w:val="none" w:sz="0" w:space="0" w:color="auto"/>
                <w:right w:val="none" w:sz="0" w:space="0" w:color="auto"/>
              </w:divBdr>
            </w:div>
          </w:divsChild>
        </w:div>
        <w:div w:id="1685814843">
          <w:marLeft w:val="0"/>
          <w:marRight w:val="0"/>
          <w:marTop w:val="0"/>
          <w:marBottom w:val="0"/>
          <w:divBdr>
            <w:top w:val="none" w:sz="0" w:space="0" w:color="auto"/>
            <w:left w:val="none" w:sz="0" w:space="0" w:color="auto"/>
            <w:bottom w:val="none" w:sz="0" w:space="0" w:color="auto"/>
            <w:right w:val="none" w:sz="0" w:space="0" w:color="auto"/>
          </w:divBdr>
          <w:divsChild>
            <w:div w:id="1525631734">
              <w:marLeft w:val="0"/>
              <w:marRight w:val="0"/>
              <w:marTop w:val="0"/>
              <w:marBottom w:val="0"/>
              <w:divBdr>
                <w:top w:val="none" w:sz="0" w:space="0" w:color="auto"/>
                <w:left w:val="none" w:sz="0" w:space="0" w:color="auto"/>
                <w:bottom w:val="none" w:sz="0" w:space="0" w:color="auto"/>
                <w:right w:val="none" w:sz="0" w:space="0" w:color="auto"/>
              </w:divBdr>
            </w:div>
          </w:divsChild>
        </w:div>
        <w:div w:id="1696468456">
          <w:marLeft w:val="0"/>
          <w:marRight w:val="0"/>
          <w:marTop w:val="0"/>
          <w:marBottom w:val="0"/>
          <w:divBdr>
            <w:top w:val="none" w:sz="0" w:space="0" w:color="auto"/>
            <w:left w:val="none" w:sz="0" w:space="0" w:color="auto"/>
            <w:bottom w:val="none" w:sz="0" w:space="0" w:color="auto"/>
            <w:right w:val="none" w:sz="0" w:space="0" w:color="auto"/>
          </w:divBdr>
          <w:divsChild>
            <w:div w:id="712769715">
              <w:marLeft w:val="0"/>
              <w:marRight w:val="0"/>
              <w:marTop w:val="0"/>
              <w:marBottom w:val="0"/>
              <w:divBdr>
                <w:top w:val="none" w:sz="0" w:space="0" w:color="auto"/>
                <w:left w:val="none" w:sz="0" w:space="0" w:color="auto"/>
                <w:bottom w:val="none" w:sz="0" w:space="0" w:color="auto"/>
                <w:right w:val="none" w:sz="0" w:space="0" w:color="auto"/>
              </w:divBdr>
            </w:div>
          </w:divsChild>
        </w:div>
        <w:div w:id="1774091267">
          <w:marLeft w:val="0"/>
          <w:marRight w:val="0"/>
          <w:marTop w:val="0"/>
          <w:marBottom w:val="0"/>
          <w:divBdr>
            <w:top w:val="none" w:sz="0" w:space="0" w:color="auto"/>
            <w:left w:val="none" w:sz="0" w:space="0" w:color="auto"/>
            <w:bottom w:val="none" w:sz="0" w:space="0" w:color="auto"/>
            <w:right w:val="none" w:sz="0" w:space="0" w:color="auto"/>
          </w:divBdr>
          <w:divsChild>
            <w:div w:id="728503203">
              <w:marLeft w:val="0"/>
              <w:marRight w:val="0"/>
              <w:marTop w:val="0"/>
              <w:marBottom w:val="0"/>
              <w:divBdr>
                <w:top w:val="none" w:sz="0" w:space="0" w:color="auto"/>
                <w:left w:val="none" w:sz="0" w:space="0" w:color="auto"/>
                <w:bottom w:val="none" w:sz="0" w:space="0" w:color="auto"/>
                <w:right w:val="none" w:sz="0" w:space="0" w:color="auto"/>
              </w:divBdr>
            </w:div>
          </w:divsChild>
        </w:div>
        <w:div w:id="1803113757">
          <w:marLeft w:val="0"/>
          <w:marRight w:val="0"/>
          <w:marTop w:val="0"/>
          <w:marBottom w:val="0"/>
          <w:divBdr>
            <w:top w:val="none" w:sz="0" w:space="0" w:color="auto"/>
            <w:left w:val="none" w:sz="0" w:space="0" w:color="auto"/>
            <w:bottom w:val="none" w:sz="0" w:space="0" w:color="auto"/>
            <w:right w:val="none" w:sz="0" w:space="0" w:color="auto"/>
          </w:divBdr>
          <w:divsChild>
            <w:div w:id="1882285579">
              <w:marLeft w:val="0"/>
              <w:marRight w:val="0"/>
              <w:marTop w:val="0"/>
              <w:marBottom w:val="0"/>
              <w:divBdr>
                <w:top w:val="none" w:sz="0" w:space="0" w:color="auto"/>
                <w:left w:val="none" w:sz="0" w:space="0" w:color="auto"/>
                <w:bottom w:val="none" w:sz="0" w:space="0" w:color="auto"/>
                <w:right w:val="none" w:sz="0" w:space="0" w:color="auto"/>
              </w:divBdr>
            </w:div>
          </w:divsChild>
        </w:div>
        <w:div w:id="1872572468">
          <w:marLeft w:val="0"/>
          <w:marRight w:val="0"/>
          <w:marTop w:val="0"/>
          <w:marBottom w:val="0"/>
          <w:divBdr>
            <w:top w:val="none" w:sz="0" w:space="0" w:color="auto"/>
            <w:left w:val="none" w:sz="0" w:space="0" w:color="auto"/>
            <w:bottom w:val="none" w:sz="0" w:space="0" w:color="auto"/>
            <w:right w:val="none" w:sz="0" w:space="0" w:color="auto"/>
          </w:divBdr>
          <w:divsChild>
            <w:div w:id="761101143">
              <w:marLeft w:val="0"/>
              <w:marRight w:val="0"/>
              <w:marTop w:val="0"/>
              <w:marBottom w:val="0"/>
              <w:divBdr>
                <w:top w:val="none" w:sz="0" w:space="0" w:color="auto"/>
                <w:left w:val="none" w:sz="0" w:space="0" w:color="auto"/>
                <w:bottom w:val="none" w:sz="0" w:space="0" w:color="auto"/>
                <w:right w:val="none" w:sz="0" w:space="0" w:color="auto"/>
              </w:divBdr>
            </w:div>
          </w:divsChild>
        </w:div>
        <w:div w:id="1874881819">
          <w:marLeft w:val="0"/>
          <w:marRight w:val="0"/>
          <w:marTop w:val="0"/>
          <w:marBottom w:val="0"/>
          <w:divBdr>
            <w:top w:val="none" w:sz="0" w:space="0" w:color="auto"/>
            <w:left w:val="none" w:sz="0" w:space="0" w:color="auto"/>
            <w:bottom w:val="none" w:sz="0" w:space="0" w:color="auto"/>
            <w:right w:val="none" w:sz="0" w:space="0" w:color="auto"/>
          </w:divBdr>
          <w:divsChild>
            <w:div w:id="1817065852">
              <w:marLeft w:val="0"/>
              <w:marRight w:val="0"/>
              <w:marTop w:val="0"/>
              <w:marBottom w:val="0"/>
              <w:divBdr>
                <w:top w:val="none" w:sz="0" w:space="0" w:color="auto"/>
                <w:left w:val="none" w:sz="0" w:space="0" w:color="auto"/>
                <w:bottom w:val="none" w:sz="0" w:space="0" w:color="auto"/>
                <w:right w:val="none" w:sz="0" w:space="0" w:color="auto"/>
              </w:divBdr>
            </w:div>
          </w:divsChild>
        </w:div>
        <w:div w:id="2031295514">
          <w:marLeft w:val="0"/>
          <w:marRight w:val="0"/>
          <w:marTop w:val="0"/>
          <w:marBottom w:val="0"/>
          <w:divBdr>
            <w:top w:val="none" w:sz="0" w:space="0" w:color="auto"/>
            <w:left w:val="none" w:sz="0" w:space="0" w:color="auto"/>
            <w:bottom w:val="none" w:sz="0" w:space="0" w:color="auto"/>
            <w:right w:val="none" w:sz="0" w:space="0" w:color="auto"/>
          </w:divBdr>
          <w:divsChild>
            <w:div w:id="2019967744">
              <w:marLeft w:val="0"/>
              <w:marRight w:val="0"/>
              <w:marTop w:val="0"/>
              <w:marBottom w:val="0"/>
              <w:divBdr>
                <w:top w:val="none" w:sz="0" w:space="0" w:color="auto"/>
                <w:left w:val="none" w:sz="0" w:space="0" w:color="auto"/>
                <w:bottom w:val="none" w:sz="0" w:space="0" w:color="auto"/>
                <w:right w:val="none" w:sz="0" w:space="0" w:color="auto"/>
              </w:divBdr>
            </w:div>
          </w:divsChild>
        </w:div>
        <w:div w:id="2065596206">
          <w:marLeft w:val="0"/>
          <w:marRight w:val="0"/>
          <w:marTop w:val="0"/>
          <w:marBottom w:val="0"/>
          <w:divBdr>
            <w:top w:val="none" w:sz="0" w:space="0" w:color="auto"/>
            <w:left w:val="none" w:sz="0" w:space="0" w:color="auto"/>
            <w:bottom w:val="none" w:sz="0" w:space="0" w:color="auto"/>
            <w:right w:val="none" w:sz="0" w:space="0" w:color="auto"/>
          </w:divBdr>
          <w:divsChild>
            <w:div w:id="13760053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04036916">
      <w:bodyDiv w:val="1"/>
      <w:marLeft w:val="0"/>
      <w:marRight w:val="0"/>
      <w:marTop w:val="0"/>
      <w:marBottom w:val="0"/>
      <w:divBdr>
        <w:top w:val="none" w:sz="0" w:space="0" w:color="auto"/>
        <w:left w:val="none" w:sz="0" w:space="0" w:color="auto"/>
        <w:bottom w:val="none" w:sz="0" w:space="0" w:color="auto"/>
        <w:right w:val="none" w:sz="0" w:space="0" w:color="auto"/>
      </w:divBdr>
    </w:div>
    <w:div w:id="1909533547">
      <w:bodyDiv w:val="1"/>
      <w:marLeft w:val="0"/>
      <w:marRight w:val="0"/>
      <w:marTop w:val="0"/>
      <w:marBottom w:val="0"/>
      <w:divBdr>
        <w:top w:val="none" w:sz="0" w:space="0" w:color="auto"/>
        <w:left w:val="none" w:sz="0" w:space="0" w:color="auto"/>
        <w:bottom w:val="none" w:sz="0" w:space="0" w:color="auto"/>
        <w:right w:val="none" w:sz="0" w:space="0" w:color="auto"/>
      </w:divBdr>
    </w:div>
    <w:div w:id="1970236412">
      <w:bodyDiv w:val="1"/>
      <w:marLeft w:val="0"/>
      <w:marRight w:val="0"/>
      <w:marTop w:val="0"/>
      <w:marBottom w:val="0"/>
      <w:divBdr>
        <w:top w:val="none" w:sz="0" w:space="0" w:color="auto"/>
        <w:left w:val="none" w:sz="0" w:space="0" w:color="auto"/>
        <w:bottom w:val="none" w:sz="0" w:space="0" w:color="auto"/>
        <w:right w:val="none" w:sz="0" w:space="0" w:color="auto"/>
      </w:divBdr>
    </w:div>
    <w:div w:id="21301999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endnotes" Target="endnotes.xml"/>
  <Relationship Id="rId19" Type="http://schemas.openxmlformats.org/officeDocument/2006/relationships/customXml" Target="../customXml/item6.xml"/>
  <Relationship Id="rId2" Type="http://schemas.openxmlformats.org/officeDocument/2006/relationships/customXml" Target="../customXml/item2.xml"/>
  <Relationship Id="rId3" Type="http://schemas.openxmlformats.org/officeDocument/2006/relationships/customXml" Target="../customXml/item3.xml"/>
  <Relationship Id="rId30" Type="http://schemas.openxmlformats.org/officeDocument/2006/relationships/header" Target="header1.xml"/>
  <Relationship Id="rId31" Type="http://schemas.openxmlformats.org/officeDocument/2006/relationships/header" Target="header2.xml"/>
  <Relationship Id="rId32" Type="http://schemas.openxmlformats.org/officeDocument/2006/relationships/footer" Target="footer1.xml"/>
  <Relationship Id="rId33" Type="http://schemas.openxmlformats.org/officeDocument/2006/relationships/footer" Target="footer2.xml"/>
  <Relationship Id="rId34" Type="http://schemas.openxmlformats.org/officeDocument/2006/relationships/header" Target="header3.xml"/>
  <Relationship Id="rId35" Type="http://schemas.openxmlformats.org/officeDocument/2006/relationships/footer" Target="footer3.xml"/>
  <Relationship Id="rId36" Type="http://schemas.openxmlformats.org/officeDocument/2006/relationships/fontTable" Target="fontTable.xml"/>
  <Relationship Id="rId37" Type="http://schemas.openxmlformats.org/officeDocument/2006/relationships/theme" Target="theme/theme1.xml"/>
  <Relationship Id="rId4" Type="http://schemas.openxmlformats.org/officeDocument/2006/relationships/customXml" Target="../customXml/item4.xml"/>
  <Relationship Id="rId5" Type="http://schemas.openxmlformats.org/officeDocument/2006/relationships/customXml" Target="../customXml/item5.xml"/>
  <Relationship Id="rId6" Type="http://schemas.openxmlformats.org/officeDocument/2006/relationships/styles" Target="styles.xml"/>
  <Relationship Id="rId7" Type="http://schemas.openxmlformats.org/officeDocument/2006/relationships/settings" Target="settings.xml"/>
  <Relationship Id="rId8" Type="http://schemas.openxmlformats.org/officeDocument/2006/relationships/webSettings" Target="webSettings.xml"/>
  <Relationship Id="rId9" Type="http://schemas.openxmlformats.org/officeDocument/2006/relationships/footnotes" Target="footnotes.xml"/>
</Relationships>

</file>

<file path=word/_rels/footnotes.xml.rels><?xml version="1.0" encoding="UTF-8"?>

<Relationships xmlns="http://schemas.openxmlformats.org/package/2006/relationships">
  <Relationship Id="rId3" Type="http://schemas.openxmlformats.org/officeDocument/2006/relationships/hyperlink" TargetMode="External" Target="https://www.e-tar.lt/portal/lt/legalAct/14e33320f1ed11ec8fa7d02a65c371ad/asr"/>
  <Relationship Id="rId4" Type="http://schemas.openxmlformats.org/officeDocument/2006/relationships/hyperlink" TargetMode="External" Target="https://www.e-tar.lt/portal/lt/legalAct/14e33320f1ed11ec8fa7d02a65c371ad/asr"/>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_rels/item6.xml.rels><?xml version="1.0" encoding="UTF-8"?>

<Relationships xmlns="http://schemas.openxmlformats.org/package/2006/relationships">
  <Relationship Id="rId1" Type="http://schemas.openxmlformats.org/officeDocument/2006/relationships/customXmlProps" Target="itemProps6.xml"/>
</Relationships>

</file>

<file path=customXml/item1.xml><?xml version="1.0" encoding="utf-8"?>
<ct:contentTypeSchema xmlns:ct="http://schemas.microsoft.com/office/2006/metadata/contentType" xmlns:ma="http://schemas.microsoft.com/office/2006/metadata/properties/metaAttributes" ct:_="" ma:_="" ma:contentTypeName="Dokumentas" ma:contentTypeID="0x010100D8ECFFBDDA118244861569856C5AC6C3" ma:contentTypeVersion="0" ma:contentTypeDescription="Kurkite naują dokumentą." ma:contentTypeScope="" ma:versionID="e894898859fc6bec26f1b7b2ed962da5">
  <xsd:schema xmlns:xsd="http://www.w3.org/2001/XMLSchema" xmlns:xs="http://www.w3.org/2001/XMLSchema" xmlns:p="http://schemas.microsoft.com/office/2006/metadata/properties" targetNamespace="http://schemas.microsoft.com/office/2006/metadata/properties" ma:root="true" ma:fieldsID="92f6efcb3d141a2d8cf8d4aae0174d8f">
    <xsd:element name="properties">
      <xsd:complexType>
        <xsd:sequence>
          <xsd:element name="documentManagement">
            <xsd:complexType>
              <xsd:all/>
            </xsd:complexType>
          </xsd:element>
        </xsd:sequence>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Parts xmlns="http://lrs.lt/TAIS/DocParts">
  <Part Type="priedas" Nr="5" Abbr="5 pr." Title="2021–2030 M. PLĖTROS PROGRAMOS VALDYTOJOS LIETUVOS RESPUBLIKOS ŠVIETIMO, MOKSLO IR SPORTO MINISTERIJOS ŠVIETIMO PLĖTROS PROGRAMOS PAŽANGOS PRIEMONĖS NR.12-003-03-04-03 „SUKURTI RINKOS POREIKIUS ATLIEPIANČIĄ PROFESINIO UGDYMO SISTEMĄ“ PROJEKTŲ FINANSAVIMO SĄLYGŲ APRAŠAS NR. 5" DocPartId="a80b1f4fcb444459adc7d374fe4a6db7" PartId="57de41829d4b46dfbf4e7c64fea75cc4">
    <Part Type="pabaiga" DocPartId="eb30ad8126a645a8a53145c6170cc3a0" PartId="aeede4b46b1a428fa3a8090836f0d613"/>
  </Part>
</Parts>
</file>

<file path=customXml/itemProps1.xml><?xml version="1.0" encoding="utf-8"?>
<ds:datastoreItem xmlns:ds="http://schemas.openxmlformats.org/officeDocument/2006/customXml" ds:itemID="{E1947346-BB55-4284-A085-820EDFADA20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2.xml><?xml version="1.0" encoding="utf-8"?>
<ds:datastoreItem xmlns:ds="http://schemas.openxmlformats.org/officeDocument/2006/customXml" ds:itemID="{1F7E5569-D793-4217-B232-E816039AF86D}">
  <ds:schemaRefs>
    <ds:schemaRef ds:uri="http://schemas.microsoft.com/office/2006/metadata/properties"/>
    <ds:schemaRef ds:uri="http://schemas.microsoft.com/office/infopath/2007/PartnerControls"/>
    <ds:schemaRef ds:uri="f5ebda27-b626-448f-a7d1-d1cf5ad133fa"/>
    <ds:schemaRef ds:uri="a843bbba-5665-4b5f-aacc-cdcb1c804839"/>
    <ds:schemaRef ds:uri="028236e2-f653-4d19-ab67-4d06a9145e0c"/>
    <ds:schemaRef ds:uri="4b2e9d09-07c5-42d4-ad0a-92e216c40b99"/>
  </ds:schemaRefs>
</ds:datastoreItem>
</file>

<file path=customXml/itemProps3.xml><?xml version="1.0" encoding="utf-8"?>
<ds:datastoreItem xmlns:ds="http://schemas.openxmlformats.org/officeDocument/2006/customXml" ds:itemID="{32050D31-66BA-4089-B5B5-37298FB9EA8A}">
  <ds:schemaRefs>
    <ds:schemaRef ds:uri="http://schemas.microsoft.com/sharepoint/v3/contenttype/forms"/>
  </ds:schemaRefs>
</ds:datastoreItem>
</file>

<file path=customXml/itemProps4.xml><?xml version="1.0" encoding="utf-8"?>
<ds:datastoreItem xmlns:ds="http://schemas.openxmlformats.org/officeDocument/2006/customXml" ds:itemID="{BFF43EEA-9249-43E5-9D28-811E1B7837B7}">
  <ds:schemaRefs>
    <ds:schemaRef ds:uri="http://schemas.openxmlformats.org/officeDocument/2006/bibliography"/>
  </ds:schemaRefs>
</ds:datastoreItem>
</file>

<file path=customXml/itemProps5.xml><?xml version="1.0" encoding="utf-8"?>
<ds:datastoreItem xmlns:ds="http://schemas.openxmlformats.org/officeDocument/2006/customXml" ds:itemID="{9B82758F-BEEE-4C19-91ED-887E982BFF74}">
  <ds:schemaRefs>
    <ds:schemaRef ds:uri="http://schemas.openxmlformats.org/officeDocument/2006/bibliography"/>
  </ds:schemaRefs>
</ds:datastoreItem>
</file>

<file path=customXml/itemProps6.xml><?xml version="1.0" encoding="utf-8"?>
<ds:datastoreItem xmlns:ds="http://schemas.openxmlformats.org/officeDocument/2006/customXml" ds:itemID="{197BDF34-B162-48FB-B809-128205F35D99}">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11</Pages>
  <Words>4537</Words>
  <Characters>31358</Characters>
  <Application>Microsoft Office Word</Application>
  <DocSecurity>4</DocSecurity>
  <Lines>871</Lines>
  <Paragraphs>345</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a07f3b2f-a50d-4fa2-9864-cbe672720f9f</vt:lpstr>
      <vt:lpstr>a07f3b2f-a50d-4fa2-9864-cbe672720f9f</vt:lpstr>
    </vt:vector>
  </TitlesOfParts>
  <Company>HP Inc.</Company>
  <LinksUpToDate>false</LinksUpToDate>
  <CharactersWithSpaces>35550</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2023-02-17T13:19:00Z</dcterms:created>
  <dc:creator>Virginija Levinskienė</dc:creator>
  <lastModifiedBy>adlibuser</lastModifiedBy>
  <lastPrinted>2022-12-20T15:09:00Z</lastPrinted>
  <dcterms:modified xsi:type="dcterms:W3CDTF">2023-02-17T13:19:00Z</dcterms:modified>
  <revision>2</revision>
  <dc:title>f8687514-7e7f-4b96-99e8-acfe425855ca</dc:title>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0x010100D8ECFFBDDA118244861569856C5AC6C3</vt:lpwstr>
  </property>
  <property fmtid="{D5CDD505-2E9C-101B-9397-08002B2CF9AE}" pid="3" name="DmsPermissionsFlags">
    <vt:lpwstr>,SECTRUE,</vt:lpwstr>
  </property>
  <property fmtid="{D5CDD505-2E9C-101B-9397-08002B2CF9AE}" pid="4" name="DmsPermissionsUsers">
    <vt:lpwstr>109;#Giedrius Lapėnas;#120;#Ričardas Šokaitis;#63;#Eglė Vizbarė;#1119;#Mantas Bernotas;#1206;#Jurgita Merkevičienė;#166;#Margarita Kairienė;#1096;#Gytis Petrukaitis</vt:lpwstr>
  </property>
  <property fmtid="{D5CDD505-2E9C-101B-9397-08002B2CF9AE}" pid="5" name="DmsPermissionsDivisions">
    <vt:lpwstr>71;#Švietimo projektų skyrius|4d6950ba-bddb-4d59-b4f2-90fff673db9b;#3308;#Procesų valdymo skyrius|1d2453fc-c175-46b4-b9fe-6151c1a059d8;#62;#Finansų skyrius|7d9d544b-d496-4126-a894-fd0e68da2d8e</vt:lpwstr>
  </property>
  <property fmtid="{D5CDD505-2E9C-101B-9397-08002B2CF9AE}" pid="6" name="TaxCatchAll">
    <vt:lpwstr/>
  </property>
  <property fmtid="{D5CDD505-2E9C-101B-9397-08002B2CF9AE}" pid="7" name="DmsDocPrepDocSendRegReal">
    <vt:bool>false</vt:bool>
  </property>
</Properties>
</file>