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f8fdf8c9838e4c29a83c8cf4b99e7370"/>
        <w:lock w:val="sdtLocked"/>
        <w:richText/>
      </w:sdtPr>
      <w:sdtContent>
        <w:p w14:paraId="1712B086" w14:textId="77777777">
          <w:pPr>
            <w:tabs>
              <w:tab w:val="center" w:pos="4819"/>
              <w:tab w:val="right" w:pos="9638"/>
            </w:tabs>
          </w:pPr>
        </w:p>
        <w:p w14:paraId="241FE06B" w14:textId="77777777">
          <w:pPr>
            <w:ind w:left="10206"/>
            <w:jc w:val="both"/>
            <w:rPr>
              <w:szCs w:val="24"/>
            </w:rPr>
          </w:pPr>
          <w:r>
            <w:rPr>
              <w:szCs w:val="24"/>
            </w:rPr>
            <w:t>18 priedo „2022–2030 m. plėtros programos valdytojos Lietuvos Respublikos švietimo, mokslo ir sporto ministerijos mokslo plėtros programos pažangos priemonės Nr. 12-001-01-02-01 „Stiprinti inovacijų ekosistemas mokslo centruose“ projektų finansavimo sąlygų aprašo Nr. 17“</w:t>
          </w:r>
        </w:p>
        <w:p w14:paraId="75F12DF4" w14:textId="77777777">
          <w:pPr>
            <w:ind w:left="10206"/>
            <w:jc w:val="both"/>
            <w:rPr>
              <w:szCs w:val="24"/>
            </w:rPr>
          </w:pPr>
          <w:sdt>
            <w:sdtPr>
              <w:alias w:val="Numeris"/>
              <w:tag w:val="nr_f8fdf8c9838e4c29a83c8cf4b99e7370"/>
              <w:lock w:val="sdtLocked"/>
              <w:richText/>
            </w:sdtPr>
            <w:sdtContent>
              <w:r>
                <w:rPr>
                  <w:szCs w:val="24"/>
                </w:rPr>
                <w:t>2</w:t>
              </w:r>
            </w:sdtContent>
          </w:sdt>
          <w:r>
            <w:rPr>
              <w:szCs w:val="24"/>
            </w:rPr>
            <w:t xml:space="preserve"> priedas</w:t>
          </w:r>
        </w:p>
        <w:p w14:paraId="407CD59D" w14:textId="77777777">
          <w:pPr>
            <w:ind w:right="567"/>
            <w:jc w:val="center"/>
            <w:rPr>
              <w:lang w:eastAsia="lt-LT"/>
            </w:rPr>
          </w:pPr>
        </w:p>
        <w:p w14:paraId="101BB823" w14:textId="4B3BC0C4">
          <w:pPr>
            <w:ind w:right="567"/>
            <w:jc w:val="center"/>
            <w:rPr>
              <w:lang w:eastAsia="lt-LT"/>
            </w:rPr>
          </w:pPr>
          <w:r>
            <w:rPr>
              <w:lang w:eastAsia="lt-LT"/>
            </w:rPr>
            <w:t>(Informacijos, reikalingos projekto atitikčiai sumaniosios specializacijos koncepcijai ir misijų temoms įvertinti, forma)</w:t>
          </w:r>
        </w:p>
        <w:p w14:paraId="1273D0DD" w14:textId="77777777">
          <w:pPr>
            <w:ind w:right="567"/>
            <w:jc w:val="center"/>
            <w:rPr>
              <w:b/>
              <w:bCs/>
              <w:lang w:eastAsia="lt-LT"/>
            </w:rPr>
          </w:pPr>
        </w:p>
        <w:sdt>
          <w:sdtPr>
            <w:alias w:val="skirsnis"/>
            <w:tag w:val="part_3600da0ebf884549923aa3e84b62df6e"/>
            <w:lock w:val="sdtLocked"/>
            <w:richText/>
          </w:sdtPr>
          <w:sdtContent>
            <w:p w14:paraId="00205FF8" w14:textId="77777777">
              <w:pPr>
                <w:ind w:right="567"/>
                <w:jc w:val="center"/>
                <w:rPr>
                  <w:b/>
                  <w:bCs/>
                  <w:lang w:eastAsia="lt-LT"/>
                </w:rPr>
              </w:pPr>
              <w:sdt>
                <w:sdtPr>
                  <w:alias w:val="Pavadinimas"/>
                  <w:tag w:val="title_3600da0ebf884549923aa3e84b62df6e"/>
                  <w:lock w:val="sdtLocked"/>
                  <w:richText/>
                </w:sdtPr>
                <w:sdtContent>
                  <w:r>
                    <w:rPr>
                      <w:b/>
                      <w:bCs/>
                      <w:lang w:eastAsia="lt-LT"/>
                    </w:rPr>
                    <w:t>INFORMACIJA, REIKALINGA PROJEKTO ATITIKČIAI SUMANIOSIOS SPECIALIZACIJOS KONCEPCIJAI IR MISIJŲ TEMOMS ĮVERTINTI</w:t>
                  </w:r>
                </w:sdtContent>
              </w:sdt>
            </w:p>
            <w:p w14:paraId="750E4A9D" w14:textId="77777777">
              <w:pPr>
                <w:ind w:right="567"/>
                <w:jc w:val="both"/>
                <w:rPr>
                  <w:b/>
                  <w:szCs w:val="24"/>
                  <w:lang w:eastAsia="lt-LT"/>
                </w:rPr>
              </w:pPr>
            </w:p>
            <w:sdt>
              <w:sdtPr>
                <w:alias w:val="2 pr. 1 p."/>
                <w:tag w:val="part_83ab60f7ede644f0be7791993c25a7cc"/>
                <w:lock w:val="sdtLocked"/>
                <w:richText/>
              </w:sdtPr>
              <w:sdtContent>
                <w:p w14:paraId="4051589B" w14:textId="77777777">
                  <w:pPr>
                    <w:ind w:right="567"/>
                    <w:jc w:val="both"/>
                    <w:rPr>
                      <w:b/>
                      <w:szCs w:val="24"/>
                      <w:lang w:eastAsia="lt-LT"/>
                    </w:rPr>
                  </w:pPr>
                  <w:sdt>
                    <w:sdtPr>
                      <w:alias w:val="Numeris"/>
                      <w:tag w:val="nr_83ab60f7ede644f0be7791993c25a7cc"/>
                      <w:lock w:val="sdtLocked"/>
                      <w:richText/>
                    </w:sdtPr>
                    <w:sdtContent>
                      <w:r>
                        <w:rPr>
                          <w:b/>
                          <w:szCs w:val="24"/>
                          <w:lang w:eastAsia="lt-LT"/>
                        </w:rPr>
                        <w:t>1</w:t>
                      </w:r>
                    </w:sdtContent>
                  </w:sdt>
                  <w:r>
                    <w:rPr>
                      <w:b/>
                      <w:szCs w:val="24"/>
                      <w:lang w:eastAsia="lt-LT"/>
                    </w:rPr>
                    <w:t xml:space="preserve">. Projektas priskiriamas atitinka bent vieno iš Mokslinių tyrimų ir eksperimentinės plėtros ir inovacijų (sumaniosios specializacijos)  koncepcijoje, patvirtintoje Lietuvos Respublikos Vyriausybės 2022 m. rugpjūčio 17 d. nutarimu Nr. 835 „Dėl Mokslinių tyrimų ir eksperimentinės plėtros ir inovacijų (sumaniosios specializacijos) koncepcijos patvirtinimo“ (toliau </w:t>
                  </w:r>
                  <w:r>
                    <w:rPr>
                      <w:b/>
                      <w:bCs/>
                      <w:szCs w:val="24"/>
                    </w:rPr>
                    <w:t>–</w:t>
                  </w:r>
                  <w:r>
                    <w:rPr>
                      <w:b/>
                      <w:szCs w:val="24"/>
                      <w:lang w:eastAsia="lt-LT"/>
                    </w:rPr>
                    <w:t xml:space="preserve"> Koncepcija) nustatytų Mokslinių tyrimų, eksperimentinės plėtros ir inovacijų prioritetų įgyvendinimo tematiką.</w:t>
                  </w:r>
                </w:p>
                <w:p w14:paraId="0BC10602" w14:textId="77777777">
                  <w:pPr>
                    <w:ind w:right="567"/>
                    <w:jc w:val="both"/>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992"/>
                    <w:gridCol w:w="9922"/>
                    <w:gridCol w:w="1418"/>
                  </w:tblGrid>
                  <w:tr w14:paraId="3B12ADDB" w14:textId="77777777">
                    <w:tc>
                      <w:tcPr>
                        <w:tcW w:w="3114" w:type="dxa"/>
                        <w:gridSpan w:val="2"/>
                        <w:shd w:val="clear" w:color="auto" w:fill="BFBFBF"/>
                        <w:vAlign w:val="center"/>
                      </w:tcPr>
                      <w:p w14:paraId="07102A16" w14:textId="77777777">
                        <w:pPr>
                          <w:jc w:val="center"/>
                          <w:rPr>
                            <w:b/>
                            <w:szCs w:val="24"/>
                            <w:lang w:eastAsia="lt-LT"/>
                          </w:rPr>
                        </w:pPr>
                        <w:r>
                          <w:rPr>
                            <w:b/>
                            <w:szCs w:val="24"/>
                            <w:lang w:eastAsia="lt-LT"/>
                          </w:rPr>
                          <w:t>Mokslinių tyrimų, eksperimentinės plėtros ir inovacijų prioritetas</w:t>
                        </w:r>
                      </w:p>
                      <w:p w14:paraId="122B39AE" w14:textId="77777777">
                        <w:pPr>
                          <w:jc w:val="center"/>
                          <w:rPr>
                            <w:szCs w:val="24"/>
                            <w:lang w:eastAsia="lt-LT"/>
                          </w:rPr>
                        </w:pPr>
                      </w:p>
                    </w:tc>
                    <w:tc>
                      <w:tcPr>
                        <w:tcW w:w="11340" w:type="dxa"/>
                        <w:gridSpan w:val="2"/>
                        <w:shd w:val="clear" w:color="auto" w:fill="BFBFBF"/>
                        <w:vAlign w:val="center"/>
                      </w:tcPr>
                      <w:p w14:paraId="1F5077B8" w14:textId="77777777">
                        <w:pPr>
                          <w:jc w:val="center"/>
                          <w:rPr>
                            <w:b/>
                            <w:szCs w:val="24"/>
                            <w:lang w:eastAsia="lt-LT"/>
                          </w:rPr>
                        </w:pPr>
                        <w:r>
                          <w:rPr>
                            <w:b/>
                            <w:szCs w:val="24"/>
                            <w:lang w:eastAsia="lt-LT"/>
                          </w:rPr>
                          <w:t xml:space="preserve">Prioriteto tematika </w:t>
                        </w:r>
                      </w:p>
                      <w:p w14:paraId="6D0D8776" w14:textId="77777777">
                        <w:pPr>
                          <w:jc w:val="center"/>
                          <w:rPr>
                            <w:b/>
                            <w:szCs w:val="24"/>
                            <w:lang w:eastAsia="lt-LT"/>
                          </w:rPr>
                        </w:pPr>
                      </w:p>
                    </w:tc>
                  </w:tr>
                  <w:tr w14:paraId="3F76E162" w14:textId="77777777">
                    <w:tc>
                      <w:tcPr>
                        <w:tcW w:w="2122" w:type="dxa"/>
                        <w:vMerge w:val="restart"/>
                        <w:shd w:val="clear" w:color="auto" w:fill="BFBFBF"/>
                        <w:vAlign w:val="center"/>
                      </w:tcPr>
                      <w:p w14:paraId="56A48B4A" w14:textId="77777777">
                        <w:pPr>
                          <w:rPr>
                            <w:b/>
                            <w:szCs w:val="24"/>
                            <w:lang w:eastAsia="lt-LT"/>
                          </w:rPr>
                        </w:pPr>
                        <w:r>
                          <w:rPr>
                            <w:b/>
                            <w:szCs w:val="24"/>
                          </w:rPr>
                          <w:t>1.1. Sveikatos technologijos ir biotechnologijos</w:t>
                        </w:r>
                      </w:p>
                    </w:tc>
                    <w:tc>
                      <w:tcPr>
                        <w:tcW w:w="992" w:type="dxa"/>
                        <w:vMerge w:val="restart"/>
                        <w:vAlign w:val="center"/>
                      </w:tcPr>
                      <w:p w14:paraId="018082D5" w14:textId="77777777">
                        <w:pPr>
                          <w:jc w:val="center"/>
                          <w:rPr>
                            <w:sz w:val="36"/>
                            <w:szCs w:val="36"/>
                          </w:rPr>
                        </w:pPr>
                        <w:r>
                          <w:rPr>
                            <w:sz w:val="36"/>
                            <w:szCs w:val="36"/>
                          </w:rPr>
                          <w:t>□</w:t>
                        </w:r>
                      </w:p>
                    </w:tc>
                    <w:tc>
                      <w:tcPr>
                        <w:tcW w:w="9922" w:type="dxa"/>
                      </w:tcPr>
                      <w:p w14:paraId="3A27DCE7" w14:textId="169E84C2">
                        <w:pPr>
                          <w:jc w:val="both"/>
                          <w:rPr>
                            <w:b/>
                            <w:szCs w:val="24"/>
                            <w:lang w:eastAsia="lt-LT"/>
                          </w:rPr>
                        </w:pPr>
                        <w:r>
                          <w:rPr>
                            <w:szCs w:val="24"/>
                          </w:rPr>
                          <w:t>1.1.1. Molekulinės technologijos medicinai ir biofarmacijai</w:t>
                        </w:r>
                      </w:p>
                    </w:tc>
                    <w:tc>
                      <w:tcPr>
                        <w:tcW w:w="1418" w:type="dxa"/>
                      </w:tcPr>
                      <w:p w14:paraId="26525440" w14:textId="77777777">
                        <w:pPr>
                          <w:jc w:val="both"/>
                          <w:rPr>
                            <w:b/>
                            <w:szCs w:val="24"/>
                            <w:lang w:eastAsia="lt-LT"/>
                          </w:rPr>
                        </w:pPr>
                        <w:r>
                          <w:rPr>
                            <w:sz w:val="36"/>
                            <w:szCs w:val="36"/>
                          </w:rPr>
                          <w:t>□</w:t>
                        </w:r>
                      </w:p>
                    </w:tc>
                  </w:tr>
                  <w:tr w14:paraId="060D19E9" w14:textId="77777777">
                    <w:tc>
                      <w:tcPr>
                        <w:tcW w:w="2122" w:type="dxa"/>
                        <w:vMerge/>
                        <w:shd w:val="clear" w:color="auto" w:fill="BFBFBF"/>
                      </w:tcPr>
                      <w:p w14:paraId="4EB1470A" w14:textId="77777777">
                        <w:pPr>
                          <w:jc w:val="both"/>
                          <w:rPr>
                            <w:b/>
                            <w:szCs w:val="24"/>
                            <w:lang w:eastAsia="lt-LT"/>
                          </w:rPr>
                        </w:pPr>
                      </w:p>
                    </w:tc>
                    <w:tc>
                      <w:tcPr>
                        <w:tcW w:w="992" w:type="dxa"/>
                        <w:vMerge/>
                      </w:tcPr>
                      <w:p w14:paraId="01FF2DB1" w14:textId="77777777">
                        <w:pPr>
                          <w:jc w:val="both"/>
                          <w:rPr>
                            <w:b/>
                            <w:szCs w:val="24"/>
                            <w:lang w:eastAsia="lt-LT"/>
                          </w:rPr>
                        </w:pPr>
                      </w:p>
                    </w:tc>
                    <w:tc>
                      <w:tcPr>
                        <w:tcW w:w="9922" w:type="dxa"/>
                      </w:tcPr>
                      <w:p w14:paraId="358897B9" w14:textId="75BBB253">
                        <w:pPr>
                          <w:jc w:val="both"/>
                          <w:rPr>
                            <w:b/>
                            <w:szCs w:val="24"/>
                            <w:lang w:eastAsia="lt-LT"/>
                          </w:rPr>
                        </w:pPr>
                        <w:r>
                          <w:rPr>
                            <w:szCs w:val="24"/>
                          </w:rPr>
                          <w:t>1.1.2. Pažangios taikomosios technologijos asmens ir visuomenės sveikatai</w:t>
                        </w:r>
                      </w:p>
                    </w:tc>
                    <w:tc>
                      <w:tcPr>
                        <w:tcW w:w="1418" w:type="dxa"/>
                      </w:tcPr>
                      <w:p w14:paraId="5431656E" w14:textId="77777777">
                        <w:pPr>
                          <w:jc w:val="both"/>
                          <w:rPr>
                            <w:b/>
                            <w:szCs w:val="24"/>
                            <w:lang w:eastAsia="lt-LT"/>
                          </w:rPr>
                        </w:pPr>
                        <w:r>
                          <w:rPr>
                            <w:sz w:val="36"/>
                            <w:szCs w:val="36"/>
                          </w:rPr>
                          <w:t>□</w:t>
                        </w:r>
                      </w:p>
                    </w:tc>
                  </w:tr>
                  <w:tr w14:paraId="529C71EE" w14:textId="77777777">
                    <w:trPr>
                      <w:trHeight w:val="162"/>
                    </w:trPr>
                    <w:tc>
                      <w:tcPr>
                        <w:tcW w:w="2122" w:type="dxa"/>
                        <w:vMerge/>
                        <w:shd w:val="clear" w:color="auto" w:fill="BFBFBF"/>
                      </w:tcPr>
                      <w:p w14:paraId="3FA7B72B" w14:textId="77777777">
                        <w:pPr>
                          <w:jc w:val="both"/>
                          <w:rPr>
                            <w:b/>
                            <w:szCs w:val="24"/>
                            <w:lang w:eastAsia="lt-LT"/>
                          </w:rPr>
                        </w:pPr>
                      </w:p>
                    </w:tc>
                    <w:tc>
                      <w:tcPr>
                        <w:tcW w:w="992" w:type="dxa"/>
                        <w:vMerge/>
                      </w:tcPr>
                      <w:p w14:paraId="202AB6F4" w14:textId="77777777">
                        <w:pPr>
                          <w:jc w:val="both"/>
                          <w:rPr>
                            <w:b/>
                            <w:szCs w:val="24"/>
                            <w:lang w:eastAsia="lt-LT"/>
                          </w:rPr>
                        </w:pPr>
                      </w:p>
                    </w:tc>
                    <w:tc>
                      <w:tcPr>
                        <w:tcW w:w="9922" w:type="dxa"/>
                      </w:tcPr>
                      <w:p w14:paraId="21B96950" w14:textId="06881770">
                        <w:pPr>
                          <w:jc w:val="both"/>
                          <w:rPr>
                            <w:b/>
                            <w:szCs w:val="24"/>
                            <w:lang w:eastAsia="lt-LT"/>
                          </w:rPr>
                        </w:pPr>
                        <w:r>
                          <w:rPr>
                            <w:szCs w:val="24"/>
                          </w:rPr>
                          <w:t>1.1.3. Pažangi medicinos inžinerija ankstyvai diagnostikai ir gydymui</w:t>
                        </w:r>
                      </w:p>
                    </w:tc>
                    <w:tc>
                      <w:tcPr>
                        <w:tcW w:w="1418" w:type="dxa"/>
                      </w:tcPr>
                      <w:p w14:paraId="6109DE27" w14:textId="77777777">
                        <w:pPr>
                          <w:jc w:val="both"/>
                          <w:rPr>
                            <w:b/>
                            <w:szCs w:val="24"/>
                            <w:lang w:eastAsia="lt-LT"/>
                          </w:rPr>
                        </w:pPr>
                        <w:r>
                          <w:rPr>
                            <w:sz w:val="36"/>
                            <w:szCs w:val="36"/>
                          </w:rPr>
                          <w:t>□</w:t>
                        </w:r>
                      </w:p>
                    </w:tc>
                  </w:tr>
                  <w:tr w14:paraId="564D547C" w14:textId="77777777">
                    <w:trPr>
                      <w:trHeight w:val="410"/>
                    </w:trPr>
                    <w:tc>
                      <w:tcPr>
                        <w:tcW w:w="2122" w:type="dxa"/>
                        <w:vMerge/>
                        <w:shd w:val="clear" w:color="auto" w:fill="BFBFBF"/>
                      </w:tcPr>
                      <w:p w14:paraId="56CBA9A7" w14:textId="77777777">
                        <w:pPr>
                          <w:jc w:val="both"/>
                          <w:rPr>
                            <w:b/>
                            <w:szCs w:val="24"/>
                            <w:lang w:eastAsia="lt-LT"/>
                          </w:rPr>
                        </w:pPr>
                      </w:p>
                    </w:tc>
                    <w:tc>
                      <w:tcPr>
                        <w:tcW w:w="992" w:type="dxa"/>
                        <w:vMerge/>
                      </w:tcPr>
                      <w:p w14:paraId="5E383E9D" w14:textId="77777777">
                        <w:pPr>
                          <w:jc w:val="both"/>
                          <w:rPr>
                            <w:b/>
                            <w:szCs w:val="24"/>
                            <w:lang w:eastAsia="lt-LT"/>
                          </w:rPr>
                        </w:pPr>
                      </w:p>
                    </w:tc>
                    <w:tc>
                      <w:tcPr>
                        <w:tcW w:w="9922" w:type="dxa"/>
                      </w:tcPr>
                      <w:p w14:paraId="2EC6E9CC" w14:textId="157F7508">
                        <w:pPr>
                          <w:jc w:val="both"/>
                          <w:rPr>
                            <w:szCs w:val="24"/>
                          </w:rPr>
                        </w:pPr>
                        <w:r>
                          <w:rPr>
                            <w:szCs w:val="24"/>
                          </w:rPr>
                          <w:t>1.1.4. Saugus maistas ir tvarūs agrobiologiniai ištekliai</w:t>
                        </w:r>
                      </w:p>
                    </w:tc>
                    <w:tc>
                      <w:tcPr>
                        <w:tcW w:w="1418" w:type="dxa"/>
                      </w:tcPr>
                      <w:p w14:paraId="20040C01" w14:textId="77777777">
                        <w:pPr>
                          <w:jc w:val="both"/>
                          <w:rPr>
                            <w:sz w:val="36"/>
                            <w:szCs w:val="36"/>
                          </w:rPr>
                        </w:pPr>
                        <w:r>
                          <w:rPr>
                            <w:sz w:val="36"/>
                            <w:szCs w:val="36"/>
                          </w:rPr>
                          <w:t>□</w:t>
                        </w:r>
                      </w:p>
                    </w:tc>
                  </w:tr>
                  <w:tr w14:paraId="2D706991" w14:textId="77777777">
                    <w:tc>
                      <w:tcPr>
                        <w:tcW w:w="2122" w:type="dxa"/>
                        <w:vMerge w:val="restart"/>
                        <w:shd w:val="clear" w:color="auto" w:fill="BFBFBF"/>
                        <w:vAlign w:val="center"/>
                      </w:tcPr>
                      <w:p w14:paraId="6FAEF5E1" w14:textId="77777777">
                        <w:pPr>
                          <w:rPr>
                            <w:b/>
                            <w:szCs w:val="24"/>
                            <w:lang w:eastAsia="lt-LT"/>
                          </w:rPr>
                        </w:pPr>
                        <w:r>
                          <w:rPr>
                            <w:b/>
                            <w:szCs w:val="24"/>
                            <w:lang w:eastAsia="lt-LT"/>
                          </w:rPr>
                          <w:t xml:space="preserve">1.2. </w:t>
                        </w:r>
                        <w:r>
                          <w:rPr>
                            <w:b/>
                            <w:szCs w:val="24"/>
                          </w:rPr>
                          <w:t>Nauji gamybos procesai, medžiagos ir technologijos</w:t>
                        </w:r>
                      </w:p>
                    </w:tc>
                    <w:tc>
                      <w:tcPr>
                        <w:tcW w:w="992" w:type="dxa"/>
                        <w:vMerge w:val="restart"/>
                        <w:vAlign w:val="center"/>
                      </w:tcPr>
                      <w:p w14:paraId="261BBAF7" w14:textId="77777777">
                        <w:pPr>
                          <w:jc w:val="center"/>
                          <w:rPr>
                            <w:b/>
                            <w:sz w:val="36"/>
                            <w:szCs w:val="36"/>
                            <w:lang w:eastAsia="lt-LT"/>
                          </w:rPr>
                        </w:pPr>
                        <w:r>
                          <w:rPr>
                            <w:sz w:val="36"/>
                            <w:szCs w:val="36"/>
                          </w:rPr>
                          <w:t>□</w:t>
                        </w:r>
                      </w:p>
                    </w:tc>
                    <w:tc>
                      <w:tcPr>
                        <w:tcW w:w="9922" w:type="dxa"/>
                      </w:tcPr>
                      <w:p w14:paraId="10E063E2" w14:textId="742CDF27">
                        <w:pPr>
                          <w:jc w:val="both"/>
                          <w:rPr>
                            <w:szCs w:val="24"/>
                            <w:lang w:eastAsia="lt-LT"/>
                          </w:rPr>
                        </w:pPr>
                        <w:r>
                          <w:rPr>
                            <w:szCs w:val="24"/>
                            <w:lang w:eastAsia="lt-LT"/>
                          </w:rPr>
                          <w:t>1.2.1. F</w:t>
                        </w:r>
                        <w:r>
                          <w:rPr>
                            <w:szCs w:val="24"/>
                          </w:rPr>
                          <w:t>otoninės ir lazerinės technologijos</w:t>
                        </w:r>
                      </w:p>
                    </w:tc>
                    <w:tc>
                      <w:tcPr>
                        <w:tcW w:w="1418" w:type="dxa"/>
                      </w:tcPr>
                      <w:p w14:paraId="0B6499E4" w14:textId="77777777">
                        <w:pPr>
                          <w:jc w:val="both"/>
                          <w:rPr>
                            <w:b/>
                            <w:szCs w:val="24"/>
                            <w:lang w:eastAsia="lt-LT"/>
                          </w:rPr>
                        </w:pPr>
                        <w:r>
                          <w:rPr>
                            <w:sz w:val="36"/>
                            <w:szCs w:val="36"/>
                          </w:rPr>
                          <w:t>□</w:t>
                        </w:r>
                      </w:p>
                    </w:tc>
                  </w:tr>
                  <w:tr w14:paraId="6C3A0260" w14:textId="77777777">
                    <w:tc>
                      <w:tcPr>
                        <w:tcW w:w="2122" w:type="dxa"/>
                        <w:vMerge/>
                        <w:shd w:val="clear" w:color="auto" w:fill="BFBFBF"/>
                      </w:tcPr>
                      <w:p w14:paraId="4C8E99D2" w14:textId="77777777">
                        <w:pPr>
                          <w:jc w:val="both"/>
                          <w:rPr>
                            <w:b/>
                            <w:szCs w:val="24"/>
                            <w:lang w:eastAsia="lt-LT"/>
                          </w:rPr>
                        </w:pPr>
                      </w:p>
                    </w:tc>
                    <w:tc>
                      <w:tcPr>
                        <w:tcW w:w="992" w:type="dxa"/>
                        <w:vMerge/>
                      </w:tcPr>
                      <w:p w14:paraId="15AFE555" w14:textId="77777777">
                        <w:pPr>
                          <w:jc w:val="both"/>
                          <w:rPr>
                            <w:b/>
                            <w:szCs w:val="24"/>
                            <w:lang w:eastAsia="lt-LT"/>
                          </w:rPr>
                        </w:pPr>
                      </w:p>
                    </w:tc>
                    <w:tc>
                      <w:tcPr>
                        <w:tcW w:w="9922" w:type="dxa"/>
                      </w:tcPr>
                      <w:p w14:paraId="17FDB1C4" w14:textId="752C8554">
                        <w:pPr>
                          <w:jc w:val="both"/>
                          <w:rPr>
                            <w:b/>
                            <w:szCs w:val="24"/>
                            <w:lang w:eastAsia="lt-LT"/>
                          </w:rPr>
                        </w:pPr>
                        <w:r>
                          <w:rPr>
                            <w:szCs w:val="24"/>
                            <w:lang w:eastAsia="lt-LT"/>
                          </w:rPr>
                          <w:t>1.2.2. P</w:t>
                        </w:r>
                        <w:r>
                          <w:rPr>
                            <w:szCs w:val="24"/>
                          </w:rPr>
                          <w:t xml:space="preserve">ažangiosios medžiagos ir konstrukcijos </w:t>
                        </w:r>
                      </w:p>
                    </w:tc>
                    <w:tc>
                      <w:tcPr>
                        <w:tcW w:w="1418" w:type="dxa"/>
                      </w:tcPr>
                      <w:p w14:paraId="7A997568" w14:textId="77777777">
                        <w:pPr>
                          <w:jc w:val="both"/>
                          <w:rPr>
                            <w:b/>
                            <w:szCs w:val="24"/>
                            <w:lang w:eastAsia="lt-LT"/>
                          </w:rPr>
                        </w:pPr>
                        <w:r>
                          <w:rPr>
                            <w:sz w:val="36"/>
                            <w:szCs w:val="36"/>
                          </w:rPr>
                          <w:t>□</w:t>
                        </w:r>
                      </w:p>
                    </w:tc>
                  </w:tr>
                  <w:tr w14:paraId="10BEBD3C" w14:textId="77777777">
                    <w:tc>
                      <w:tcPr>
                        <w:tcW w:w="2122" w:type="dxa"/>
                        <w:vMerge/>
                        <w:shd w:val="clear" w:color="auto" w:fill="BFBFBF"/>
                      </w:tcPr>
                      <w:p w14:paraId="087A16C9" w14:textId="77777777">
                        <w:pPr>
                          <w:jc w:val="both"/>
                          <w:rPr>
                            <w:b/>
                            <w:szCs w:val="24"/>
                            <w:lang w:eastAsia="lt-LT"/>
                          </w:rPr>
                        </w:pPr>
                      </w:p>
                    </w:tc>
                    <w:tc>
                      <w:tcPr>
                        <w:tcW w:w="992" w:type="dxa"/>
                        <w:vMerge/>
                      </w:tcPr>
                      <w:p w14:paraId="4EC8E4E0" w14:textId="77777777">
                        <w:pPr>
                          <w:jc w:val="both"/>
                          <w:rPr>
                            <w:b/>
                            <w:szCs w:val="24"/>
                            <w:lang w:eastAsia="lt-LT"/>
                          </w:rPr>
                        </w:pPr>
                      </w:p>
                    </w:tc>
                    <w:tc>
                      <w:tcPr>
                        <w:tcW w:w="9922" w:type="dxa"/>
                      </w:tcPr>
                      <w:p w14:paraId="0C0146A3" w14:textId="5778DFA0">
                        <w:pPr>
                          <w:jc w:val="both"/>
                          <w:rPr>
                            <w:szCs w:val="24"/>
                            <w:lang w:eastAsia="lt-LT"/>
                          </w:rPr>
                        </w:pPr>
                        <w:r>
                          <w:rPr>
                            <w:szCs w:val="24"/>
                            <w:lang w:eastAsia="lt-LT"/>
                          </w:rPr>
                          <w:t xml:space="preserve">1.2.3. </w:t>
                        </w:r>
                        <w:r>
                          <w:rPr>
                            <w:szCs w:val="24"/>
                          </w:rPr>
                          <w:t>Lanksčios produktų kūrimo, gamybos ir procesų valdymo, dizaino technologijos</w:t>
                        </w:r>
                      </w:p>
                    </w:tc>
                    <w:tc>
                      <w:tcPr>
                        <w:tcW w:w="1418" w:type="dxa"/>
                      </w:tcPr>
                      <w:p w14:paraId="27FF85DA" w14:textId="77777777">
                        <w:pPr>
                          <w:jc w:val="both"/>
                          <w:rPr>
                            <w:b/>
                            <w:szCs w:val="24"/>
                            <w:lang w:eastAsia="lt-LT"/>
                          </w:rPr>
                        </w:pPr>
                        <w:r>
                          <w:rPr>
                            <w:sz w:val="36"/>
                            <w:szCs w:val="36"/>
                          </w:rPr>
                          <w:t>□</w:t>
                        </w:r>
                      </w:p>
                    </w:tc>
                  </w:tr>
                  <w:tr w14:paraId="2BD5716B" w14:textId="77777777">
                    <w:tc>
                      <w:tcPr>
                        <w:tcW w:w="2122" w:type="dxa"/>
                        <w:vMerge/>
                        <w:shd w:val="clear" w:color="auto" w:fill="BFBFBF"/>
                      </w:tcPr>
                      <w:p w14:paraId="006E73C1" w14:textId="77777777">
                        <w:pPr>
                          <w:jc w:val="both"/>
                          <w:rPr>
                            <w:b/>
                            <w:szCs w:val="24"/>
                            <w:lang w:eastAsia="lt-LT"/>
                          </w:rPr>
                        </w:pPr>
                      </w:p>
                    </w:tc>
                    <w:tc>
                      <w:tcPr>
                        <w:tcW w:w="992" w:type="dxa"/>
                        <w:vMerge/>
                      </w:tcPr>
                      <w:p w14:paraId="285B5522" w14:textId="77777777">
                        <w:pPr>
                          <w:jc w:val="both"/>
                          <w:rPr>
                            <w:b/>
                            <w:szCs w:val="24"/>
                            <w:lang w:eastAsia="lt-LT"/>
                          </w:rPr>
                        </w:pPr>
                      </w:p>
                    </w:tc>
                    <w:tc>
                      <w:tcPr>
                        <w:tcW w:w="9922" w:type="dxa"/>
                      </w:tcPr>
                      <w:p w14:paraId="52DDBEA9" w14:textId="3D4012F1">
                        <w:pPr>
                          <w:jc w:val="both"/>
                          <w:rPr>
                            <w:szCs w:val="24"/>
                            <w:lang w:eastAsia="lt-LT"/>
                          </w:rPr>
                        </w:pPr>
                        <w:r>
                          <w:rPr>
                            <w:szCs w:val="24"/>
                            <w:lang w:eastAsia="lt-LT"/>
                          </w:rPr>
                          <w:t>1.2.4. Energijos vartojimo efektyvumas, išmanumas</w:t>
                        </w:r>
                      </w:p>
                    </w:tc>
                    <w:tc>
                      <w:tcPr>
                        <w:tcW w:w="1418" w:type="dxa"/>
                      </w:tcPr>
                      <w:p w14:paraId="1FE83F69" w14:textId="77777777">
                        <w:pPr>
                          <w:jc w:val="both"/>
                          <w:rPr>
                            <w:sz w:val="36"/>
                            <w:szCs w:val="36"/>
                          </w:rPr>
                        </w:pPr>
                        <w:r>
                          <w:rPr>
                            <w:sz w:val="36"/>
                            <w:szCs w:val="36"/>
                          </w:rPr>
                          <w:t>□</w:t>
                        </w:r>
                      </w:p>
                    </w:tc>
                  </w:tr>
                  <w:tr w14:paraId="5DC5A0C0" w14:textId="77777777">
                    <w:tc>
                      <w:tcPr>
                        <w:tcW w:w="2122" w:type="dxa"/>
                        <w:vMerge/>
                        <w:shd w:val="clear" w:color="auto" w:fill="BFBFBF"/>
                      </w:tcPr>
                      <w:p w14:paraId="366CDA48" w14:textId="77777777">
                        <w:pPr>
                          <w:jc w:val="both"/>
                          <w:rPr>
                            <w:b/>
                            <w:szCs w:val="24"/>
                            <w:lang w:eastAsia="lt-LT"/>
                          </w:rPr>
                        </w:pPr>
                      </w:p>
                    </w:tc>
                    <w:tc>
                      <w:tcPr>
                        <w:tcW w:w="992" w:type="dxa"/>
                        <w:vMerge/>
                      </w:tcPr>
                      <w:p w14:paraId="08FECFC8" w14:textId="77777777">
                        <w:pPr>
                          <w:jc w:val="both"/>
                          <w:rPr>
                            <w:b/>
                            <w:szCs w:val="24"/>
                            <w:lang w:eastAsia="lt-LT"/>
                          </w:rPr>
                        </w:pPr>
                      </w:p>
                    </w:tc>
                    <w:tc>
                      <w:tcPr>
                        <w:tcW w:w="9922" w:type="dxa"/>
                      </w:tcPr>
                      <w:p w14:paraId="3275D40B" w14:textId="134D0952">
                        <w:pPr>
                          <w:jc w:val="both"/>
                          <w:rPr>
                            <w:szCs w:val="24"/>
                            <w:lang w:eastAsia="lt-LT"/>
                          </w:rPr>
                        </w:pPr>
                        <w:r>
                          <w:rPr>
                            <w:szCs w:val="24"/>
                            <w:lang w:eastAsia="lt-LT"/>
                          </w:rPr>
                          <w:t>1.2.5. Atsinaujinantys energijos ištekliai</w:t>
                        </w:r>
                      </w:p>
                    </w:tc>
                    <w:tc>
                      <w:tcPr>
                        <w:tcW w:w="1418" w:type="dxa"/>
                      </w:tcPr>
                      <w:p w14:paraId="6D548029" w14:textId="77777777">
                        <w:pPr>
                          <w:jc w:val="both"/>
                          <w:rPr>
                            <w:sz w:val="36"/>
                            <w:szCs w:val="36"/>
                          </w:rPr>
                        </w:pPr>
                        <w:r>
                          <w:rPr>
                            <w:sz w:val="36"/>
                            <w:szCs w:val="36"/>
                          </w:rPr>
                          <w:t>□</w:t>
                        </w:r>
                      </w:p>
                    </w:tc>
                  </w:tr>
                  <w:tr w14:paraId="057A503F" w14:textId="77777777">
                    <w:tc>
                      <w:tcPr>
                        <w:tcW w:w="2122" w:type="dxa"/>
                        <w:vMerge w:val="restart"/>
                        <w:shd w:val="clear" w:color="auto" w:fill="BFBFBF"/>
                        <w:vAlign w:val="center"/>
                      </w:tcPr>
                      <w:p w14:paraId="01B4C955" w14:textId="77777777">
                        <w:pPr>
                          <w:rPr>
                            <w:b/>
                            <w:szCs w:val="24"/>
                            <w:lang w:eastAsia="lt-LT"/>
                          </w:rPr>
                        </w:pPr>
                        <w:r>
                          <w:rPr>
                            <w:b/>
                            <w:szCs w:val="24"/>
                            <w:lang w:eastAsia="lt-LT"/>
                          </w:rPr>
                          <w:t xml:space="preserve">1.3. </w:t>
                        </w:r>
                        <w:r>
                          <w:rPr>
                            <w:b/>
                            <w:szCs w:val="24"/>
                          </w:rPr>
                          <w:t>Informacinės ir ryšių technologijos</w:t>
                        </w:r>
                      </w:p>
                    </w:tc>
                    <w:tc>
                      <w:tcPr>
                        <w:tcW w:w="992" w:type="dxa"/>
                        <w:vMerge w:val="restart"/>
                        <w:vAlign w:val="center"/>
                      </w:tcPr>
                      <w:p w14:paraId="0F9C84B8" w14:textId="77777777">
                        <w:pPr>
                          <w:jc w:val="center"/>
                          <w:rPr>
                            <w:sz w:val="36"/>
                            <w:szCs w:val="36"/>
                          </w:rPr>
                        </w:pPr>
                        <w:r>
                          <w:rPr>
                            <w:sz w:val="36"/>
                            <w:szCs w:val="36"/>
                          </w:rPr>
                          <w:t>□</w:t>
                        </w:r>
                      </w:p>
                    </w:tc>
                    <w:tc>
                      <w:tcPr>
                        <w:tcW w:w="9922" w:type="dxa"/>
                      </w:tcPr>
                      <w:p w14:paraId="029C3B3A" w14:textId="6A40F530">
                        <w:pPr>
                          <w:jc w:val="both"/>
                          <w:rPr>
                            <w:szCs w:val="24"/>
                            <w:lang w:eastAsia="lt-LT"/>
                          </w:rPr>
                        </w:pPr>
                        <w:r>
                          <w:rPr>
                            <w:szCs w:val="24"/>
                            <w:lang w:eastAsia="lt-LT"/>
                          </w:rPr>
                          <w:t>1.3.1. Dirbtinis intelektas, didieji ir paskirstytieji duomenys, įvairiarūšė analizė, apdorojimas ir diegimas</w:t>
                        </w:r>
                      </w:p>
                    </w:tc>
                    <w:tc>
                      <w:tcPr>
                        <w:tcW w:w="1418" w:type="dxa"/>
                      </w:tcPr>
                      <w:p w14:paraId="3E98C2EA" w14:textId="77777777">
                        <w:pPr>
                          <w:jc w:val="both"/>
                          <w:rPr>
                            <w:sz w:val="36"/>
                            <w:szCs w:val="36"/>
                          </w:rPr>
                        </w:pPr>
                        <w:r>
                          <w:rPr>
                            <w:sz w:val="36"/>
                            <w:szCs w:val="36"/>
                          </w:rPr>
                          <w:t>□</w:t>
                        </w:r>
                      </w:p>
                    </w:tc>
                  </w:tr>
                  <w:tr w14:paraId="234114E9" w14:textId="77777777">
                    <w:trPr>
                      <w:trHeight w:val="292"/>
                    </w:trPr>
                    <w:tc>
                      <w:tcPr>
                        <w:tcW w:w="2122" w:type="dxa"/>
                        <w:vMerge/>
                        <w:shd w:val="clear" w:color="auto" w:fill="BFBFBF"/>
                        <w:vAlign w:val="center"/>
                      </w:tcPr>
                      <w:p w14:paraId="40654512" w14:textId="77777777">
                        <w:pPr>
                          <w:rPr>
                            <w:b/>
                            <w:szCs w:val="24"/>
                            <w:lang w:eastAsia="lt-LT"/>
                          </w:rPr>
                        </w:pPr>
                      </w:p>
                    </w:tc>
                    <w:tc>
                      <w:tcPr>
                        <w:tcW w:w="992" w:type="dxa"/>
                        <w:vMerge/>
                        <w:vAlign w:val="center"/>
                      </w:tcPr>
                      <w:p w14:paraId="0817A89F" w14:textId="77777777">
                        <w:pPr>
                          <w:jc w:val="center"/>
                          <w:rPr>
                            <w:szCs w:val="24"/>
                          </w:rPr>
                        </w:pPr>
                      </w:p>
                    </w:tc>
                    <w:tc>
                      <w:tcPr>
                        <w:tcW w:w="9922" w:type="dxa"/>
                      </w:tcPr>
                      <w:p w14:paraId="0EAC9084" w14:textId="1A69945E">
                        <w:pPr>
                          <w:jc w:val="both"/>
                          <w:rPr>
                            <w:szCs w:val="24"/>
                            <w:lang w:eastAsia="lt-LT"/>
                          </w:rPr>
                        </w:pPr>
                        <w:r>
                          <w:rPr>
                            <w:szCs w:val="24"/>
                            <w:lang w:eastAsia="lt-LT"/>
                          </w:rPr>
                          <w:t>1.3.2. D</w:t>
                        </w:r>
                        <w:r>
                          <w:rPr>
                            <w:szCs w:val="24"/>
                          </w:rPr>
                          <w:t>aiktų internetas</w:t>
                        </w:r>
                      </w:p>
                    </w:tc>
                    <w:tc>
                      <w:tcPr>
                        <w:tcW w:w="1418" w:type="dxa"/>
                      </w:tcPr>
                      <w:p w14:paraId="0D30C6A3" w14:textId="77777777">
                        <w:pPr>
                          <w:jc w:val="both"/>
                          <w:rPr>
                            <w:sz w:val="36"/>
                            <w:szCs w:val="36"/>
                          </w:rPr>
                        </w:pPr>
                        <w:r>
                          <w:rPr>
                            <w:sz w:val="36"/>
                            <w:szCs w:val="36"/>
                          </w:rPr>
                          <w:t>□</w:t>
                        </w:r>
                      </w:p>
                    </w:tc>
                  </w:tr>
                  <w:tr w14:paraId="2DD63C1B" w14:textId="77777777">
                    <w:tc>
                      <w:tcPr>
                        <w:tcW w:w="2122" w:type="dxa"/>
                        <w:vMerge/>
                        <w:shd w:val="clear" w:color="auto" w:fill="BFBFBF"/>
                        <w:vAlign w:val="center"/>
                      </w:tcPr>
                      <w:p w14:paraId="12CC033E" w14:textId="77777777">
                        <w:pPr>
                          <w:rPr>
                            <w:b/>
                            <w:szCs w:val="24"/>
                            <w:lang w:eastAsia="lt-LT"/>
                          </w:rPr>
                        </w:pPr>
                      </w:p>
                    </w:tc>
                    <w:tc>
                      <w:tcPr>
                        <w:tcW w:w="992" w:type="dxa"/>
                        <w:vMerge/>
                        <w:vAlign w:val="center"/>
                      </w:tcPr>
                      <w:p w14:paraId="37A517C6" w14:textId="77777777">
                        <w:pPr>
                          <w:jc w:val="center"/>
                          <w:rPr>
                            <w:szCs w:val="24"/>
                          </w:rPr>
                        </w:pPr>
                      </w:p>
                    </w:tc>
                    <w:tc>
                      <w:tcPr>
                        <w:tcW w:w="9922" w:type="dxa"/>
                      </w:tcPr>
                      <w:p w14:paraId="538DCDE3" w14:textId="0D936E9D">
                        <w:pPr>
                          <w:jc w:val="both"/>
                          <w:rPr>
                            <w:szCs w:val="24"/>
                            <w:lang w:eastAsia="lt-LT"/>
                          </w:rPr>
                        </w:pPr>
                        <w:r>
                          <w:rPr>
                            <w:szCs w:val="24"/>
                            <w:lang w:eastAsia="lt-LT"/>
                          </w:rPr>
                          <w:t>1.3.3. K</w:t>
                        </w:r>
                        <w:r>
                          <w:rPr>
                            <w:szCs w:val="24"/>
                          </w:rPr>
                          <w:t>ibernetinis saugumas</w:t>
                        </w:r>
                      </w:p>
                    </w:tc>
                    <w:tc>
                      <w:tcPr>
                        <w:tcW w:w="1418" w:type="dxa"/>
                      </w:tcPr>
                      <w:p w14:paraId="022057D5" w14:textId="77777777">
                        <w:pPr>
                          <w:jc w:val="both"/>
                          <w:rPr>
                            <w:sz w:val="36"/>
                            <w:szCs w:val="36"/>
                          </w:rPr>
                        </w:pPr>
                        <w:r>
                          <w:rPr>
                            <w:sz w:val="36"/>
                            <w:szCs w:val="36"/>
                          </w:rPr>
                          <w:t>□</w:t>
                        </w:r>
                      </w:p>
                    </w:tc>
                  </w:tr>
                  <w:tr w14:paraId="7D865E31" w14:textId="77777777">
                    <w:tc>
                      <w:tcPr>
                        <w:tcW w:w="2122" w:type="dxa"/>
                        <w:vMerge/>
                        <w:shd w:val="clear" w:color="auto" w:fill="BFBFBF"/>
                        <w:vAlign w:val="center"/>
                      </w:tcPr>
                      <w:p w14:paraId="0ECC945B" w14:textId="77777777">
                        <w:pPr>
                          <w:rPr>
                            <w:b/>
                            <w:szCs w:val="24"/>
                            <w:lang w:eastAsia="lt-LT"/>
                          </w:rPr>
                        </w:pPr>
                      </w:p>
                    </w:tc>
                    <w:tc>
                      <w:tcPr>
                        <w:tcW w:w="992" w:type="dxa"/>
                        <w:vMerge/>
                        <w:vAlign w:val="center"/>
                      </w:tcPr>
                      <w:p w14:paraId="5964288B" w14:textId="77777777">
                        <w:pPr>
                          <w:jc w:val="center"/>
                          <w:rPr>
                            <w:szCs w:val="24"/>
                          </w:rPr>
                        </w:pPr>
                      </w:p>
                    </w:tc>
                    <w:tc>
                      <w:tcPr>
                        <w:tcW w:w="9922" w:type="dxa"/>
                      </w:tcPr>
                      <w:p w14:paraId="72745341" w14:textId="6ABD44AF">
                        <w:pPr>
                          <w:jc w:val="both"/>
                          <w:rPr>
                            <w:szCs w:val="24"/>
                            <w:lang w:eastAsia="lt-LT"/>
                          </w:rPr>
                        </w:pPr>
                        <w:r>
                          <w:rPr>
                            <w:szCs w:val="24"/>
                            <w:lang w:eastAsia="lt-LT"/>
                          </w:rPr>
                          <w:t xml:space="preserve">1.3.4. </w:t>
                        </w:r>
                        <w:r>
                          <w:rPr>
                            <w:szCs w:val="24"/>
                          </w:rPr>
                          <w:t>Finansinės technologijos ir blokų grandinės</w:t>
                        </w:r>
                      </w:p>
                    </w:tc>
                    <w:tc>
                      <w:tcPr>
                        <w:tcW w:w="1418" w:type="dxa"/>
                      </w:tcPr>
                      <w:p w14:paraId="73AAE0FE" w14:textId="77777777">
                        <w:pPr>
                          <w:jc w:val="both"/>
                          <w:rPr>
                            <w:sz w:val="36"/>
                            <w:szCs w:val="36"/>
                          </w:rPr>
                        </w:pPr>
                        <w:r>
                          <w:rPr>
                            <w:sz w:val="36"/>
                            <w:szCs w:val="36"/>
                          </w:rPr>
                          <w:t>□</w:t>
                        </w:r>
                      </w:p>
                    </w:tc>
                  </w:tr>
                  <w:tr w14:paraId="42CD105A" w14:textId="77777777">
                    <w:trPr>
                      <w:trHeight w:val="295"/>
                    </w:trPr>
                    <w:tc>
                      <w:tcPr>
                        <w:tcW w:w="2122" w:type="dxa"/>
                        <w:vMerge/>
                        <w:shd w:val="clear" w:color="auto" w:fill="BFBFBF"/>
                      </w:tcPr>
                      <w:p w14:paraId="26D869A0" w14:textId="77777777">
                        <w:pPr>
                          <w:jc w:val="both"/>
                          <w:rPr>
                            <w:b/>
                            <w:szCs w:val="24"/>
                            <w:lang w:eastAsia="lt-LT"/>
                          </w:rPr>
                        </w:pPr>
                      </w:p>
                    </w:tc>
                    <w:tc>
                      <w:tcPr>
                        <w:tcW w:w="992" w:type="dxa"/>
                        <w:vMerge/>
                      </w:tcPr>
                      <w:p w14:paraId="5758E149" w14:textId="77777777">
                        <w:pPr>
                          <w:jc w:val="both"/>
                          <w:rPr>
                            <w:b/>
                            <w:szCs w:val="24"/>
                            <w:lang w:eastAsia="lt-LT"/>
                          </w:rPr>
                        </w:pPr>
                      </w:p>
                    </w:tc>
                    <w:tc>
                      <w:tcPr>
                        <w:tcW w:w="9922" w:type="dxa"/>
                      </w:tcPr>
                      <w:p w14:paraId="07C79646" w14:textId="0BEBF3CD">
                        <w:pPr>
                          <w:jc w:val="both"/>
                          <w:rPr>
                            <w:szCs w:val="24"/>
                            <w:lang w:eastAsia="lt-LT"/>
                          </w:rPr>
                        </w:pPr>
                        <w:r>
                          <w:rPr>
                            <w:szCs w:val="24"/>
                            <w:lang w:eastAsia="lt-LT"/>
                          </w:rPr>
                          <w:t>1.3.5. Audiovizualinių medijų technologijos ir socialinės inovacijos</w:t>
                        </w:r>
                      </w:p>
                    </w:tc>
                    <w:tc>
                      <w:tcPr>
                        <w:tcW w:w="1418" w:type="dxa"/>
                      </w:tcPr>
                      <w:p w14:paraId="0EDCAC5C" w14:textId="77777777">
                        <w:pPr>
                          <w:jc w:val="both"/>
                          <w:rPr>
                            <w:b/>
                            <w:szCs w:val="24"/>
                            <w:lang w:eastAsia="lt-LT"/>
                          </w:rPr>
                        </w:pPr>
                        <w:r>
                          <w:rPr>
                            <w:sz w:val="36"/>
                            <w:szCs w:val="36"/>
                          </w:rPr>
                          <w:t>□</w:t>
                        </w:r>
                      </w:p>
                    </w:tc>
                  </w:tr>
                  <w:tr w14:paraId="534317A6" w14:textId="77777777">
                    <w:trPr>
                      <w:trHeight w:val="370"/>
                    </w:trPr>
                    <w:tc>
                      <w:tcPr>
                        <w:tcW w:w="2122" w:type="dxa"/>
                        <w:vMerge/>
                        <w:shd w:val="clear" w:color="auto" w:fill="BFBFBF"/>
                      </w:tcPr>
                      <w:p w14:paraId="4FF918BF" w14:textId="77777777">
                        <w:pPr>
                          <w:jc w:val="both"/>
                          <w:rPr>
                            <w:b/>
                            <w:szCs w:val="24"/>
                            <w:lang w:eastAsia="lt-LT"/>
                          </w:rPr>
                        </w:pPr>
                      </w:p>
                    </w:tc>
                    <w:tc>
                      <w:tcPr>
                        <w:tcW w:w="992" w:type="dxa"/>
                        <w:vMerge/>
                      </w:tcPr>
                      <w:p w14:paraId="22373F3D" w14:textId="77777777">
                        <w:pPr>
                          <w:jc w:val="both"/>
                          <w:rPr>
                            <w:b/>
                            <w:szCs w:val="24"/>
                            <w:lang w:eastAsia="lt-LT"/>
                          </w:rPr>
                        </w:pPr>
                      </w:p>
                    </w:tc>
                    <w:tc>
                      <w:tcPr>
                        <w:tcW w:w="9922" w:type="dxa"/>
                      </w:tcPr>
                      <w:p w14:paraId="3C81D78F" w14:textId="4A9B4241">
                        <w:pPr>
                          <w:jc w:val="both"/>
                          <w:rPr>
                            <w:szCs w:val="24"/>
                            <w:lang w:eastAsia="lt-LT"/>
                          </w:rPr>
                        </w:pPr>
                        <w:r>
                          <w:rPr>
                            <w:szCs w:val="24"/>
                            <w:lang w:eastAsia="lt-LT"/>
                          </w:rPr>
                          <w:t>1.3.6. Išmaniosios transporto sistemos</w:t>
                        </w:r>
                      </w:p>
                    </w:tc>
                    <w:tc>
                      <w:tcPr>
                        <w:tcW w:w="1418" w:type="dxa"/>
                      </w:tcPr>
                      <w:p w14:paraId="5C375EF7" w14:textId="77777777">
                        <w:pPr>
                          <w:jc w:val="both"/>
                          <w:rPr>
                            <w:sz w:val="36"/>
                            <w:szCs w:val="36"/>
                          </w:rPr>
                        </w:pPr>
                        <w:r>
                          <w:rPr>
                            <w:sz w:val="36"/>
                            <w:szCs w:val="36"/>
                          </w:rPr>
                          <w:t>□</w:t>
                        </w:r>
                      </w:p>
                    </w:tc>
                  </w:tr>
                </w:tbl>
                <w:p w14:paraId="4FEF270D" w14:textId="77777777">
                  <w:pPr>
                    <w:spacing w:line="276" w:lineRule="auto"/>
                    <w:rPr>
                      <w:szCs w:val="24"/>
                    </w:rPr>
                  </w:pPr>
                </w:p>
              </w:sdtContent>
            </w:sdt>
            <w:sdt>
              <w:sdtPr>
                <w:alias w:val="2 pr. 2 p."/>
                <w:tag w:val="part_5f9106340ae14545b76d4921dbb73f02"/>
                <w:lock w:val="sdtLocked"/>
                <w:richText/>
              </w:sdtPr>
              <w:sdtContent>
                <w:p w14:paraId="24B9FF35" w14:textId="77777777">
                  <w:pPr>
                    <w:spacing w:line="276" w:lineRule="auto"/>
                    <w:rPr>
                      <w:b/>
                      <w:szCs w:val="24"/>
                    </w:rPr>
                  </w:pPr>
                  <w:sdt>
                    <w:sdtPr>
                      <w:alias w:val="Numeris"/>
                      <w:tag w:val="nr_5f9106340ae14545b76d4921dbb73f02"/>
                      <w:lock w:val="sdtLocked"/>
                      <w:richText/>
                    </w:sdtPr>
                    <w:sdtContent>
                      <w:r>
                        <w:rPr>
                          <w:b/>
                          <w:szCs w:val="24"/>
                          <w:lang w:val="pt-BR"/>
                        </w:rPr>
                        <w:t>2</w:t>
                      </w:r>
                    </w:sdtContent>
                  </w:sdt>
                  <w:r>
                    <w:rPr>
                      <w:b/>
                      <w:szCs w:val="24"/>
                      <w:lang w:val="pt-BR"/>
                    </w:rPr>
                    <w:t xml:space="preserve">. </w:t>
                  </w:r>
                  <w:r>
                    <w:rPr>
                      <w:b/>
                      <w:szCs w:val="24"/>
                    </w:rPr>
                    <w:t>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14:paraId="6C1B6DC8" w14:textId="77777777">
                    <w:tc>
                      <w:tcPr>
                        <w:tcW w:w="15127" w:type="dxa"/>
                      </w:tcPr>
                      <w:p w14:paraId="0E8053CC" w14:textId="77777777">
                        <w:pPr>
                          <w:spacing w:line="276" w:lineRule="auto"/>
                          <w:rPr>
                            <w:szCs w:val="24"/>
                            <w:lang w:val="pt-BR"/>
                          </w:rPr>
                        </w:pPr>
                      </w:p>
                    </w:tc>
                  </w:tr>
                </w:tbl>
                <w:p w14:paraId="734F8618" w14:textId="77777777">
                  <w:pPr>
                    <w:spacing w:line="276" w:lineRule="auto"/>
                    <w:rPr>
                      <w:szCs w:val="24"/>
                      <w:lang w:val="pt-BR"/>
                    </w:rPr>
                  </w:pPr>
                </w:p>
              </w:sdtContent>
            </w:sdt>
            <w:sdt>
              <w:sdtPr>
                <w:alias w:val="2 pr. 3 p."/>
                <w:tag w:val="part_53d3d3871fbe460fb3626bd67c10cdf0"/>
                <w:lock w:val="sdtLocked"/>
                <w:richText/>
              </w:sdtPr>
              <w:sdtContent>
                <w:p w14:paraId="4CD82B0C" w14:textId="77777777">
                  <w:pPr>
                    <w:jc w:val="both"/>
                    <w:rPr>
                      <w:b/>
                      <w:szCs w:val="24"/>
                      <w:lang w:eastAsia="lt-LT"/>
                    </w:rPr>
                  </w:pPr>
                  <w:sdt>
                    <w:sdtPr>
                      <w:alias w:val="Numeris"/>
                      <w:tag w:val="nr_53d3d3871fbe460fb3626bd67c10cdf0"/>
                      <w:lock w:val="sdtLocked"/>
                      <w:richText/>
                    </w:sdtPr>
                    <w:sdtContent>
                      <w:r>
                        <w:rPr>
                          <w:b/>
                          <w:szCs w:val="24"/>
                          <w:lang w:val="pt-BR" w:eastAsia="lt-LT"/>
                        </w:rPr>
                        <w:t>3</w:t>
                      </w:r>
                    </w:sdtContent>
                  </w:sdt>
                  <w:r>
                    <w:rPr>
                      <w:b/>
                      <w:szCs w:val="24"/>
                      <w:lang w:val="pt-BR" w:eastAsia="lt-LT"/>
                    </w:rPr>
                    <w:t xml:space="preserve">. </w:t>
                  </w:r>
                  <w:r>
                    <w:rPr>
                      <w:b/>
                      <w:szCs w:val="24"/>
                      <w:lang w:eastAsia="lt-LT"/>
                    </w:rPr>
                    <w:t xml:space="preserve">Projektas atitinka bent vieną iš </w:t>
                  </w:r>
                  <w:r>
                    <w:rPr>
                      <w:b/>
                      <w:szCs w:val="24"/>
                    </w:rPr>
                    <w:t>2022–2030 metų plėtros programos valdytojos Lietuvos Respublikos ekonomikos ir inovacijų ministerijos ekonomikos transformacijos ir konkurencingumo plėtros programos ir 2022–2030 metų plėtros programos valdytojos Lietuvos Respublikos švietimo, mokslo ir sporto ministerijos mokslo plėtros programos pažangos priemonės Nr. 05-001-01-05-06/12-001-01-03-01 „Įgyvendinti misijomis grįstas mokslo ir inovacijų programas“ aprašo, patvirtinto Lietuvos Respublikos ekonomikos ir inovacijų ministro ir Lietuvos Respublikos švietimo, mokslo ir sporto ministro 2022 m. rugpjūčio 17 d. įsakymu Nr. 4-926/V-1258 „Dėl 2022–2030 metų plėtros programos valdytojos Lietuvos Respublikos ekonomikos ir inovacijų ministerijos ekonomikos transformacijos ir konkurencingumo plėtros programos ir 2022–2030 metų plėtros programos valdytojos Lietuvos Respublikos švietimo, mokslo ir sporto ministerijos mokslo plėtros programos pažangos priemonės Nr. 05-001-01-05-06/12-001-01-03-01 „Įgyvendinti misijomis grįstas mokslo ir inovacijų programas“ </w:t>
                  </w:r>
                  <w:r>
                    <w:rPr>
                      <w:b/>
                    </w:rPr>
                    <w:t xml:space="preserve">1 priede nustatytų </w:t>
                  </w:r>
                  <w:r>
                    <w:rPr>
                      <w:b/>
                      <w:szCs w:val="24"/>
                      <w:lang w:eastAsia="lt-LT"/>
                    </w:rPr>
                    <w:t>misijų temų.</w:t>
                  </w:r>
                </w:p>
                <w:p w14:paraId="1BF84D98" w14:textId="77777777">
                  <w:pPr>
                    <w:spacing w:line="276" w:lineRule="auto"/>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3"/>
                    <w:gridCol w:w="512"/>
                  </w:tblGrid>
                  <w:tr w14:paraId="75B4DCAB" w14:textId="77777777">
                    <w:tc>
                      <w:tcPr>
                        <w:tcW w:w="8075" w:type="dxa"/>
                        <w:gridSpan w:val="2"/>
                      </w:tcPr>
                      <w:p w14:paraId="1FC578B8" w14:textId="77777777">
                        <w:pPr>
                          <w:spacing w:line="276" w:lineRule="auto"/>
                          <w:jc w:val="center"/>
                          <w:rPr>
                            <w:b/>
                            <w:bCs/>
                            <w:sz w:val="22"/>
                            <w:szCs w:val="24"/>
                            <w:lang w:val="pt-BR"/>
                          </w:rPr>
                        </w:pPr>
                        <w:r>
                          <w:rPr>
                            <w:b/>
                            <w:bCs/>
                            <w:sz w:val="22"/>
                            <w:szCs w:val="24"/>
                            <w:lang w:val="pt-BR"/>
                          </w:rPr>
                          <w:t>Misijos tema</w:t>
                        </w:r>
                      </w:p>
                    </w:tc>
                  </w:tr>
                  <w:tr w14:paraId="3D6CBEBE" w14:textId="77777777">
                    <w:tc>
                      <w:tcPr>
                        <w:tcW w:w="7563" w:type="dxa"/>
                      </w:tcPr>
                      <w:p w14:paraId="3682844F" w14:textId="77777777">
                        <w:pPr>
                          <w:jc w:val="both"/>
                          <w:rPr>
                            <w:rFonts w:eastAsia="Verdana"/>
                            <w:sz w:val="22"/>
                          </w:rPr>
                        </w:pPr>
                        <w:r>
                          <w:rPr>
                            <w:rFonts w:eastAsia="Verdana"/>
                            <w:sz w:val="22"/>
                          </w:rPr>
                          <w:t>Saugi ir įtrauki e. visuomenė</w:t>
                        </w:r>
                      </w:p>
                    </w:tc>
                    <w:tc>
                      <w:tcPr>
                        <w:tcW w:w="512" w:type="dxa"/>
                      </w:tcPr>
                      <w:p w14:paraId="481A8BA9" w14:textId="77777777">
                        <w:pPr>
                          <w:spacing w:line="276" w:lineRule="auto"/>
                          <w:rPr>
                            <w:sz w:val="22"/>
                            <w:szCs w:val="24"/>
                            <w:lang w:val="pt-BR"/>
                          </w:rPr>
                        </w:pPr>
                        <w:r>
                          <w:rPr>
                            <w:sz w:val="36"/>
                            <w:szCs w:val="36"/>
                          </w:rPr>
                          <w:t>□</w:t>
                        </w:r>
                      </w:p>
                    </w:tc>
                  </w:tr>
                  <w:tr w14:paraId="63F0DADA" w14:textId="77777777">
                    <w:tc>
                      <w:tcPr>
                        <w:tcW w:w="7563" w:type="dxa"/>
                      </w:tcPr>
                      <w:p w14:paraId="0FDE4B87" w14:textId="77777777">
                        <w:pPr>
                          <w:spacing w:line="276" w:lineRule="auto"/>
                          <w:rPr>
                            <w:sz w:val="22"/>
                            <w:szCs w:val="24"/>
                            <w:lang w:val="pt-BR"/>
                          </w:rPr>
                        </w:pPr>
                        <w:r>
                          <w:rPr>
                            <w:rFonts w:eastAsia="Verdana"/>
                            <w:sz w:val="22"/>
                          </w:rPr>
                          <w:t>Sumani ir klimatui neutrali Lietuva</w:t>
                        </w:r>
                      </w:p>
                    </w:tc>
                    <w:tc>
                      <w:tcPr>
                        <w:tcW w:w="512" w:type="dxa"/>
                      </w:tcPr>
                      <w:p w14:paraId="5E043EFA" w14:textId="77777777">
                        <w:pPr>
                          <w:spacing w:line="276" w:lineRule="auto"/>
                          <w:rPr>
                            <w:sz w:val="22"/>
                            <w:szCs w:val="24"/>
                            <w:lang w:val="pt-BR"/>
                          </w:rPr>
                        </w:pPr>
                        <w:r>
                          <w:rPr>
                            <w:sz w:val="36"/>
                            <w:szCs w:val="36"/>
                          </w:rPr>
                          <w:t>□</w:t>
                        </w:r>
                      </w:p>
                    </w:tc>
                  </w:tr>
                  <w:tr w14:paraId="03920043" w14:textId="77777777">
                    <w:tc>
                      <w:tcPr>
                        <w:tcW w:w="7563" w:type="dxa"/>
                      </w:tcPr>
                      <w:p w14:paraId="2A08DBD3" w14:textId="77777777">
                        <w:pPr>
                          <w:spacing w:line="276" w:lineRule="auto"/>
                          <w:rPr>
                            <w:sz w:val="22"/>
                            <w:szCs w:val="24"/>
                            <w:lang w:val="pt-BR"/>
                          </w:rPr>
                        </w:pPr>
                        <w:r>
                          <w:rPr>
                            <w:rFonts w:eastAsia="Verdana"/>
                            <w:sz w:val="22"/>
                          </w:rPr>
                          <w:t>Inovacijos sveikatai</w:t>
                        </w:r>
                      </w:p>
                    </w:tc>
                    <w:tc>
                      <w:tcPr>
                        <w:tcW w:w="512" w:type="dxa"/>
                      </w:tcPr>
                      <w:p w14:paraId="30E60672" w14:textId="77777777">
                        <w:pPr>
                          <w:spacing w:line="276" w:lineRule="auto"/>
                          <w:rPr>
                            <w:sz w:val="22"/>
                            <w:szCs w:val="24"/>
                            <w:lang w:val="pt-BR"/>
                          </w:rPr>
                        </w:pPr>
                        <w:r>
                          <w:rPr>
                            <w:sz w:val="36"/>
                            <w:szCs w:val="36"/>
                          </w:rPr>
                          <w:t>□</w:t>
                        </w:r>
                      </w:p>
                    </w:tc>
                  </w:tr>
                </w:tbl>
                <w:p w14:paraId="1320AA56" w14:textId="77777777">
                  <w:pPr>
                    <w:spacing w:line="276" w:lineRule="auto"/>
                    <w:rPr>
                      <w:szCs w:val="24"/>
                      <w:lang w:val="pt-BR"/>
                    </w:rPr>
                  </w:pPr>
                </w:p>
              </w:sdtContent>
            </w:sdt>
            <w:sdt>
              <w:sdtPr>
                <w:alias w:val="2 pr. 4 p."/>
                <w:tag w:val="part_01097bfead9e406b8283bece473cc115"/>
                <w:lock w:val="sdtLocked"/>
                <w:richText/>
              </w:sdtPr>
              <w:sdtContent>
                <w:p w14:paraId="67336E38" w14:textId="77777777">
                  <w:pPr>
                    <w:spacing w:line="276" w:lineRule="auto"/>
                    <w:rPr>
                      <w:b/>
                      <w:szCs w:val="24"/>
                    </w:rPr>
                  </w:pPr>
                  <w:sdt>
                    <w:sdtPr>
                      <w:alias w:val="Numeris"/>
                      <w:tag w:val="nr_01097bfead9e406b8283bece473cc115"/>
                      <w:lock w:val="sdtLocked"/>
                      <w:richText/>
                    </w:sdtPr>
                    <w:sdtContent>
                      <w:r>
                        <w:rPr>
                          <w:b/>
                          <w:szCs w:val="24"/>
                          <w:lang w:val="pt-BR"/>
                        </w:rPr>
                        <w:t>4</w:t>
                      </w:r>
                    </w:sdtContent>
                  </w:sdt>
                  <w:r>
                    <w:rPr>
                      <w:b/>
                      <w:szCs w:val="24"/>
                      <w:lang w:val="pt-BR"/>
                    </w:rPr>
                    <w:t xml:space="preserve">. </w:t>
                  </w:r>
                  <w:r>
                    <w:rPr>
                      <w:b/>
                      <w:szCs w:val="24"/>
                    </w:rPr>
                    <w:t>Pateikiamas projekto atitikimo pasirinktos (-ų) misijos (-ų) temai (-oms)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14:paraId="2FDDC3F7" w14:textId="77777777">
                    <w:tc>
                      <w:tcPr>
                        <w:tcW w:w="15127" w:type="dxa"/>
                      </w:tcPr>
                      <w:p w14:paraId="3B185766" w14:textId="77777777">
                        <w:pPr>
                          <w:spacing w:line="276" w:lineRule="auto"/>
                          <w:rPr>
                            <w:szCs w:val="24"/>
                            <w:lang w:val="pt-BR"/>
                          </w:rPr>
                        </w:pPr>
                      </w:p>
                    </w:tc>
                  </w:tr>
                </w:tbl>
                <w:p w14:paraId="69B3A163" w14:textId="77777777">
                  <w:pPr>
                    <w:spacing w:line="276" w:lineRule="auto"/>
                    <w:rPr>
                      <w:szCs w:val="24"/>
                    </w:rPr>
                  </w:pPr>
                </w:p>
                <w:p w14:paraId="2B4337D2" w14:textId="77777777">
                  <w:pPr>
                    <w:spacing w:line="276" w:lineRule="auto"/>
                    <w:jc w:val="center"/>
                    <w:rPr>
                      <w:szCs w:val="24"/>
                    </w:rPr>
                  </w:pPr>
                </w:p>
                <w:p w14:paraId="74919C78" w14:textId="77777777">
                  <w:pPr>
                    <w:spacing w:line="276" w:lineRule="auto"/>
                    <w:jc w:val="center"/>
                    <w:rPr>
                      <w:szCs w:val="24"/>
                    </w:rPr>
                  </w:pPr>
                  <w:r>
                    <w:rPr>
                      <w:szCs w:val="24"/>
                    </w:rPr>
                    <w:t>________________________</w:t>
                  </w:r>
                </w:p>
                <w:p w14:paraId="75205D9D" w14:textId="77777777">
                  <w:pPr>
                    <w:spacing w:line="276" w:lineRule="auto"/>
                    <w:jc w:val="center"/>
                    <w:rPr>
                      <w:szCs w:val="24"/>
                    </w:rPr>
                  </w:pPr>
                </w:p>
                <w:p w14:paraId="22379D52" w14:textId="77777777">
                  <w:pPr>
                    <w:spacing w:line="276" w:lineRule="auto"/>
                    <w:jc w:val="center"/>
                    <w:rPr>
                      <w:szCs w:val="24"/>
                    </w:rPr>
                  </w:pP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6838" w:h="11906" w:orient="landscape"/>
      <w:pgMar w:top="1134"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A205BD" w14:textId="77777777">
      <w:r>
        <w:separator/>
      </w:r>
    </w:p>
  </w:endnote>
  <w:endnote w:type="continuationSeparator" w:id="0">
    <w:p w14:paraId="750AD795"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566D73"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A453A6"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DF8540"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0AC751" w14:textId="77777777">
      <w:r>
        <w:separator/>
      </w:r>
    </w:p>
  </w:footnote>
  <w:footnote w:type="continuationSeparator" w:id="0">
    <w:p w14:paraId="1725A9D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E66427"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8D4E32" w14:textId="4BD1E274">
    <w:pPr>
      <w:tabs>
        <w:tab w:val="center" w:pos="4819"/>
        <w:tab w:val="right" w:pos="9638"/>
      </w:tabs>
      <w:jc w:val="center"/>
    </w:pPr>
    <w:r>
      <w:fldChar w:fldCharType="begin"/>
    </w:r>
    <w:r>
      <w:instrText>PAGE   \* MERGEFORMAT</w:instrText>
    </w:r>
    <w:r>
      <w:fldChar w:fldCharType="separate"/>
    </w:r>
    <w:r>
      <w:t>2</w:t>
    </w:r>
    <w:r>
      <w:fldChar w:fldCharType="end"/>
    </w:r>
  </w:p>
  <w:p w14:paraId="12260C75"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9286EB"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02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EC8641"/>
  <w15:chartTrackingRefBased/>
  <w15:docId w15:val="{3F676D1F-AFAB-4981-BA3E-3024668743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2" Abbr="2 pr." DocPartId="47a1a9da72ce425f8a8a5246dd15a062" PartId="f8fdf8c9838e4c29a83c8cf4b99e7370">
    <Part Type="skirsnis" Title="INFORMACIJA, REIKALINGA PROJEKTO ATITIKČIAI SUMANIOSIOS SPECIALIZACIJOS KONCEPCIJAI IR MISIJŲ TEMOMS ĮVERTINTI" DocPartId="25a73bb53ebe41e58f561c3c7454e4b5" PartId="3600da0ebf884549923aa3e84b62df6e">
      <Part Type="punktas" Nr="1" Abbr="2 pr. 1 p." DocPartId="123dc019df284cea90f358e13973fb89" PartId="83ab60f7ede644f0be7791993c25a7cc"/>
      <Part Type="punktas" Nr="2" Abbr="2 pr. 2 p." DocPartId="70caca95437b438e983b93689d3d75f9" PartId="5f9106340ae14545b76d4921dbb73f02"/>
      <Part Type="punktas" Nr="3" Abbr="2 pr. 3 p." DocPartId="2862362eabd0448999785322bf27b861" PartId="53d3d3871fbe460fb3626bd67c10cdf0"/>
      <Part Type="punktas" Nr="4" Abbr="2 pr. 4 p." DocPartId="a78c62b62eac4b528371519966a9cac4" PartId="01097bfead9e406b8283bece473cc115"/>
    </Part>
  </Part>
</Parts>
</file>

<file path=customXml/itemProps1.xml><?xml version="1.0" encoding="utf-8"?>
<ds:datastoreItem xmlns:ds="http://schemas.openxmlformats.org/officeDocument/2006/customXml" ds:itemID="{B8279128-5AB4-407B-A9B7-08A6082CB3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423</Words>
  <Characters>3169</Characters>
  <Application>Microsoft Office Word</Application>
  <DocSecurity>4</DocSecurity>
  <Lines>121</Lines>
  <Paragraphs>61</Paragraphs>
  <ScaleCrop>false</ScaleCrop>
  <Company/>
  <LinksUpToDate>false</LinksUpToDate>
  <CharactersWithSpaces>3531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2025-10-07T04:50:00Z</dcterms:created>
  <dc:creator>Čepas Vytautas | ŠMSM</dc:creator>
  <lastModifiedBy>adlibuser</lastModifiedBy>
  <dcterms:modified xsi:type="dcterms:W3CDTF">2025-10-07T04:50:00Z</dcterms:modified>
  <revision>2</revision>
</coreProperties>
</file>