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6f6ee5d214a44ad29caeaa5c5c9559c0"/>
        <w:lock w:val="sdtLocked"/>
        <w:richText/>
      </w:sdtPr>
      <w:sdtContent>
        <w:p w14:paraId="7E28E4EA" w14:textId="77777777">
          <w:pPr>
            <w:tabs>
              <w:tab w:val="center" w:pos="4986"/>
              <w:tab w:val="right" w:pos="9972"/>
            </w:tabs>
          </w:pPr>
        </w:p>
        <w:p w14:paraId="5253671B" w14:textId="77777777">
          <w:pPr>
            <w:tabs>
              <w:tab w:val="center" w:pos="4819"/>
              <w:tab w:val="right" w:pos="9638"/>
            </w:tabs>
            <w:rPr>
              <w:sz w:val="22"/>
              <w:szCs w:val="22"/>
            </w:rPr>
          </w:pPr>
        </w:p>
        <w:p w14:paraId="6889E6B9" w14:textId="436995F1">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013658" w14:textId="07EE0F1C">
          <w:pPr>
            <w:ind w:left="10328" w:firstLine="729"/>
            <w:jc w:val="both"/>
            <w:rPr>
              <w:szCs w:val="24"/>
            </w:rPr>
          </w:pPr>
          <w:sdt>
            <w:sdtPr>
              <w:alias w:val="Numeris"/>
              <w:tag w:val="nr_6f6ee5d214a44ad29caeaa5c5c9559c0"/>
              <w:lock w:val="sdtLocked"/>
              <w:richText/>
            </w:sdtPr>
            <w:sdtContent>
              <w:r>
                <w:rPr>
                  <w:szCs w:val="24"/>
                </w:rPr>
                <w:t>4</w:t>
              </w:r>
            </w:sdtContent>
          </w:sdt>
          <w:r>
            <w:rPr>
              <w:szCs w:val="24"/>
            </w:rPr>
            <w:t xml:space="preserve"> priedas</w:t>
          </w:r>
        </w:p>
        <w:p w14:paraId="338EBB84" w14:textId="77777777">
          <w:pPr>
            <w:jc w:val="center"/>
            <w:rPr>
              <w:iCs/>
              <w:szCs w:val="24"/>
            </w:rPr>
          </w:pPr>
        </w:p>
        <w:p w14:paraId="05BC8003" w14:textId="461D67EF">
          <w:pPr>
            <w:jc w:val="center"/>
            <w:rPr>
              <w:iCs/>
              <w:szCs w:val="24"/>
            </w:rPr>
          </w:pPr>
          <w:sdt>
            <w:sdtPr>
              <w:alias w:val="Pavadinimas"/>
              <w:tag w:val="title_6f6ee5d214a44ad29caeaa5c5c9559c0"/>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4</w:t>
              </w:r>
            </w:sdtContent>
          </w:sdt>
        </w:p>
        <w:p w14:paraId="2B87AA63" w14:textId="77777777">
          <w:pPr>
            <w:jc w:val="center"/>
            <w:rPr>
              <w:i/>
              <w:szCs w:val="24"/>
            </w:rPr>
          </w:pPr>
        </w:p>
        <w:p w14:paraId="67ABBEC5" w14:textId="50C172DB">
          <w:pPr>
            <w:ind w:firstLine="567"/>
            <w:jc w:val="both"/>
            <w:rPr>
              <w:i/>
              <w:iCs/>
              <w:szCs w:val="24"/>
            </w:rPr>
          </w:pPr>
          <w:r>
            <w:rPr>
              <w:i/>
              <w:iCs/>
              <w:szCs w:val="24"/>
            </w:rPr>
            <w:t>(Projektų finansavimo sąlygų apraše (toliau – Aprašas) nustatomos pagal 2021–2027 metų Europos Sąjungos fondų investicijų programą (toliau – Investicijų programa) ir Ekonomikos gaivinimo ir atsparumo didinimo planą „Naujos kartos Lietuva“ (toliau – planas „Naujos kartos Lietuva“) planuojamų finansuoti plėtros programos (toliau – PP) pažangos priemonės apraše (toliau – priemonės aprašas) nurodytų projektų arba</w:t>
          </w:r>
          <w:r>
            <w:rPr>
              <w:sz w:val="22"/>
              <w:szCs w:val="22"/>
            </w:rPr>
            <w:t xml:space="preserve"> </w:t>
          </w:r>
          <w:r>
            <w:rPr>
              <w:i/>
              <w:iCs/>
              <w:szCs w:val="24"/>
            </w:rPr>
            <w:t>projektų, kuriais bus vykdomos nurodytos veiklos (poveiklės), finansavimo sąlygos.)</w:t>
          </w:r>
        </w:p>
        <w:p w14:paraId="42C289E5" w14:textId="60B21768">
          <w:pPr>
            <w:spacing w:line="259" w:lineRule="auto"/>
            <w:jc w:val="center"/>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14:paraId="410DEAB9" w14:textId="77777777">
            <w:tc>
              <w:tcPr>
                <w:tcW w:w="15020" w:type="dxa"/>
                <w:gridSpan w:val="12"/>
                <w:vAlign w:val="center"/>
              </w:tcPr>
              <w:p w14:paraId="3FA1E654" w14:textId="77777777">
                <w:pPr>
                  <w:jc w:val="center"/>
                  <w:rPr>
                    <w:b/>
                    <w:sz w:val="22"/>
                    <w:szCs w:val="22"/>
                  </w:rPr>
                </w:pPr>
                <w:r>
                  <w:rPr>
                    <w:b/>
                    <w:sz w:val="22"/>
                    <w:szCs w:val="22"/>
                  </w:rPr>
                  <w:t>VEIKLOS AR POVEIKLĖS, KURIOMS NUSTATOMOS PROJEKTŲ FINANSAVIMO SĄLYGOS</w:t>
                </w:r>
              </w:p>
            </w:tc>
          </w:tr>
          <w:tr w14:paraId="14A1599F" w14:textId="77777777">
            <w:tc>
              <w:tcPr>
                <w:tcW w:w="1271" w:type="dxa"/>
                <w:vAlign w:val="center"/>
              </w:tcPr>
              <w:p w14:paraId="4DF29C9D" w14:textId="08279375">
                <w:pPr>
                  <w:jc w:val="center"/>
                  <w:rPr>
                    <w:b/>
                    <w:sz w:val="20"/>
                    <w:szCs w:val="22"/>
                  </w:rPr>
                </w:pPr>
                <w:r>
                  <w:rPr>
                    <w:b/>
                    <w:sz w:val="20"/>
                    <w:szCs w:val="22"/>
                  </w:rPr>
                  <w:t>Veiklos ar poveiklės pavadini-mas</w:t>
                </w:r>
              </w:p>
            </w:tc>
            <w:tc>
              <w:tcPr>
                <w:tcW w:w="1023" w:type="dxa"/>
                <w:vAlign w:val="center"/>
              </w:tcPr>
              <w:p w14:paraId="6F6F11F7" w14:textId="77777777">
                <w:pPr>
                  <w:jc w:val="center"/>
                  <w:rPr>
                    <w:b/>
                    <w:sz w:val="20"/>
                    <w:szCs w:val="22"/>
                  </w:rPr>
                </w:pPr>
                <w:r>
                  <w:rPr>
                    <w:b/>
                    <w:sz w:val="20"/>
                    <w:szCs w:val="22"/>
                  </w:rPr>
                  <w:t>Finansa-vimo šaltinis</w:t>
                </w:r>
              </w:p>
            </w:tc>
            <w:tc>
              <w:tcPr>
                <w:tcW w:w="1236" w:type="dxa"/>
                <w:vAlign w:val="center"/>
              </w:tcPr>
              <w:p w14:paraId="13113641" w14:textId="77777777">
                <w:pPr>
                  <w:jc w:val="center"/>
                  <w:rPr>
                    <w:b/>
                    <w:sz w:val="20"/>
                    <w:szCs w:val="22"/>
                  </w:rPr>
                </w:pPr>
                <w:r>
                  <w:rPr>
                    <w:b/>
                    <w:bCs/>
                    <w:sz w:val="20"/>
                    <w:szCs w:val="22"/>
                  </w:rPr>
                  <w:t>Prioritetas ar komponen-tas</w:t>
                </w:r>
              </w:p>
            </w:tc>
            <w:tc>
              <w:tcPr>
                <w:tcW w:w="1134" w:type="dxa"/>
                <w:vAlign w:val="center"/>
              </w:tcPr>
              <w:p w14:paraId="165B2977" w14:textId="77777777">
                <w:pPr>
                  <w:jc w:val="center"/>
                  <w:rPr>
                    <w:b/>
                    <w:sz w:val="20"/>
                    <w:szCs w:val="22"/>
                  </w:rPr>
                </w:pPr>
                <w:r>
                  <w:rPr>
                    <w:b/>
                    <w:bCs/>
                    <w:sz w:val="20"/>
                    <w:szCs w:val="22"/>
                  </w:rPr>
                  <w:t>Uždavi-nys ar priemonė</w:t>
                </w:r>
              </w:p>
            </w:tc>
            <w:tc>
              <w:tcPr>
                <w:tcW w:w="992" w:type="dxa"/>
                <w:vAlign w:val="center"/>
              </w:tcPr>
              <w:p w14:paraId="42528981" w14:textId="77777777">
                <w:pPr>
                  <w:jc w:val="center"/>
                  <w:rPr>
                    <w:b/>
                    <w:sz w:val="20"/>
                    <w:szCs w:val="22"/>
                  </w:rPr>
                </w:pPr>
                <w:r>
                  <w:rPr>
                    <w:b/>
                    <w:bCs/>
                    <w:sz w:val="20"/>
                    <w:szCs w:val="22"/>
                  </w:rPr>
                  <w:t>Veikla ar poveiklė</w:t>
                </w:r>
              </w:p>
            </w:tc>
            <w:tc>
              <w:tcPr>
                <w:tcW w:w="1984" w:type="dxa"/>
                <w:vAlign w:val="center"/>
              </w:tcPr>
              <w:p w14:paraId="7371FA71" w14:textId="77777777">
                <w:pPr>
                  <w:jc w:val="center"/>
                  <w:rPr>
                    <w:b/>
                    <w:sz w:val="20"/>
                    <w:szCs w:val="22"/>
                  </w:rPr>
                </w:pPr>
                <w:r>
                  <w:rPr>
                    <w:b/>
                    <w:sz w:val="20"/>
                    <w:szCs w:val="22"/>
                  </w:rPr>
                  <w:t>Intervencinės priemonės kodas</w:t>
                </w:r>
              </w:p>
            </w:tc>
            <w:tc>
              <w:tcPr>
                <w:tcW w:w="1344" w:type="dxa"/>
                <w:vAlign w:val="center"/>
              </w:tcPr>
              <w:p w14:paraId="76A1C66C" w14:textId="77777777">
                <w:pPr>
                  <w:jc w:val="center"/>
                  <w:rPr>
                    <w:b/>
                    <w:bCs/>
                    <w:sz w:val="20"/>
                    <w:szCs w:val="22"/>
                  </w:rPr>
                </w:pPr>
                <w:r>
                  <w:rPr>
                    <w:b/>
                    <w:sz w:val="20"/>
                  </w:rPr>
                  <w:t>Regionas, kuriam priskiriama veikla ar poveiklė</w:t>
                </w:r>
              </w:p>
            </w:tc>
            <w:tc>
              <w:tcPr>
                <w:tcW w:w="1080" w:type="dxa"/>
                <w:vAlign w:val="center"/>
              </w:tcPr>
              <w:p w14:paraId="3746035D" w14:textId="77777777">
                <w:pPr>
                  <w:jc w:val="center"/>
                  <w:rPr>
                    <w:b/>
                    <w:sz w:val="20"/>
                    <w:szCs w:val="22"/>
                  </w:rPr>
                </w:pPr>
                <w:r>
                  <w:rPr>
                    <w:b/>
                    <w:bCs/>
                    <w:sz w:val="20"/>
                    <w:szCs w:val="22"/>
                  </w:rPr>
                  <w:t>Paramos formos kodas</w:t>
                </w:r>
              </w:p>
            </w:tc>
            <w:tc>
              <w:tcPr>
                <w:tcW w:w="1344" w:type="dxa"/>
                <w:vAlign w:val="center"/>
              </w:tcPr>
              <w:p w14:paraId="13FBD071" w14:textId="77777777">
                <w:pPr>
                  <w:jc w:val="center"/>
                  <w:rPr>
                    <w:b/>
                    <w:sz w:val="20"/>
                    <w:szCs w:val="22"/>
                  </w:rPr>
                </w:pPr>
                <w:r>
                  <w:rPr>
                    <w:b/>
                    <w:bCs/>
                    <w:sz w:val="20"/>
                    <w:szCs w:val="22"/>
                  </w:rPr>
                  <w:t>Pagrindinės teritorinės srities kodas (-ai)</w:t>
                </w:r>
              </w:p>
            </w:tc>
            <w:tc>
              <w:tcPr>
                <w:tcW w:w="1328" w:type="dxa"/>
                <w:vAlign w:val="center"/>
              </w:tcPr>
              <w:p w14:paraId="3E7847BB" w14:textId="77777777">
                <w:pPr>
                  <w:jc w:val="center"/>
                  <w:rPr>
                    <w:b/>
                    <w:sz w:val="20"/>
                    <w:szCs w:val="22"/>
                  </w:rPr>
                </w:pPr>
                <w:r>
                  <w:rPr>
                    <w:b/>
                    <w:bCs/>
                    <w:sz w:val="20"/>
                    <w:szCs w:val="22"/>
                  </w:rPr>
                  <w:t>Ekonominės veiklos kodas (-ai)</w:t>
                </w:r>
              </w:p>
            </w:tc>
            <w:tc>
              <w:tcPr>
                <w:tcW w:w="1132" w:type="dxa"/>
                <w:vAlign w:val="center"/>
              </w:tcPr>
              <w:p w14:paraId="2764B21E" w14:textId="0B804071">
                <w:pPr>
                  <w:jc w:val="center"/>
                  <w:rPr>
                    <w:b/>
                    <w:bCs/>
                    <w:sz w:val="20"/>
                    <w:szCs w:val="22"/>
                  </w:rPr>
                </w:pPr>
                <w:r>
                  <w:rPr>
                    <w:b/>
                    <w:bCs/>
                    <w:sz w:val="20"/>
                    <w:szCs w:val="22"/>
                  </w:rPr>
                  <w:t>Europos socialinio fondo + (toliau – ESF+) antrinių temų kodai</w:t>
                </w:r>
              </w:p>
            </w:tc>
            <w:tc>
              <w:tcPr>
                <w:tcW w:w="1152" w:type="dxa"/>
                <w:vAlign w:val="center"/>
              </w:tcPr>
              <w:p w14:paraId="5D11F2ED" w14:textId="77777777">
                <w:pPr>
                  <w:jc w:val="center"/>
                  <w:rPr>
                    <w:b/>
                    <w:bCs/>
                    <w:sz w:val="20"/>
                    <w:szCs w:val="22"/>
                  </w:rPr>
                </w:pPr>
                <w:r>
                  <w:rPr>
                    <w:b/>
                    <w:bCs/>
                    <w:sz w:val="20"/>
                    <w:szCs w:val="22"/>
                  </w:rPr>
                  <w:t>Lyčių lygybės matmens kodas</w:t>
                </w:r>
              </w:p>
            </w:tc>
          </w:tr>
          <w:tr w14:paraId="1E90D9DA" w14:textId="77777777">
            <w:trPr>
              <w:trHeight w:val="4048"/>
            </w:trPr>
            <w:tc>
              <w:tcPr>
                <w:tcW w:w="1271" w:type="dxa"/>
                <w:tcMar>
                  <w:left w:w="28" w:type="dxa"/>
                  <w:right w:w="28" w:type="dxa"/>
                </w:tcMar>
              </w:tcPr>
              <w:p w14:paraId="0CF7F558" w14:textId="46D00848">
                <w:pPr>
                  <w:rPr>
                    <w:b/>
                    <w:i/>
                    <w:sz w:val="22"/>
                    <w:szCs w:val="22"/>
                  </w:rPr>
                </w:pPr>
                <w:r>
                  <w:rPr>
                    <w:rFonts w:eastAsia="Republika"/>
                    <w:b/>
                    <w:bCs/>
                    <w:sz w:val="22"/>
                    <w:szCs w:val="22"/>
                  </w:rPr>
                  <w:t>Sveikatos sektoriaus skaitmeni-nimas</w:t>
                </w:r>
              </w:p>
            </w:tc>
            <w:tc>
              <w:tcPr>
                <w:tcW w:w="1023" w:type="dxa"/>
                <w:tcMar>
                  <w:left w:w="28" w:type="dxa"/>
                  <w:right w:w="28" w:type="dxa"/>
                </w:tcMar>
              </w:tcPr>
              <w:p w14:paraId="1F8BD683" w14:textId="5234EEE4">
                <w:pPr>
                  <w:jc w:val="center"/>
                  <w:rPr>
                    <w:b/>
                    <w:sz w:val="22"/>
                    <w:szCs w:val="22"/>
                  </w:rPr>
                </w:pPr>
                <w:r>
                  <w:rPr>
                    <w:b/>
                    <w:bCs/>
                    <w:i/>
                    <w:iCs/>
                    <w:sz w:val="22"/>
                    <w:szCs w:val="22"/>
                  </w:rPr>
                  <w:t xml:space="preserve">Ekonomi-kos gaivinimo ir atsparumo didinimo priemonės (toliau </w:t>
                </w:r>
                <w:r>
                  <w:rPr>
                    <w:b/>
                    <w:i/>
                    <w:iCs/>
                    <w:sz w:val="22"/>
                    <w:szCs w:val="22"/>
                  </w:rPr>
                  <w:t xml:space="preserve">–EGADP)  ir Lietuvos Respubli-kos valstybės biudžeto lėšos</w:t>
                </w:r>
              </w:p>
            </w:tc>
            <w:tc>
              <w:tcPr>
                <w:tcW w:w="1236" w:type="dxa"/>
                <w:tcMar>
                  <w:left w:w="28" w:type="dxa"/>
                  <w:right w:w="28" w:type="dxa"/>
                </w:tcMar>
              </w:tcPr>
              <w:p w14:paraId="52B11324" w14:textId="77777777">
                <w:pPr>
                  <w:jc w:val="center"/>
                  <w:rPr>
                    <w:b/>
                    <w:i/>
                    <w:sz w:val="22"/>
                    <w:szCs w:val="22"/>
                  </w:rPr>
                </w:pPr>
                <w:r>
                  <w:rPr>
                    <w:i/>
                    <w:iCs/>
                    <w:sz w:val="22"/>
                    <w:szCs w:val="22"/>
                  </w:rPr>
                  <w:t>1</w:t>
                </w:r>
              </w:p>
            </w:tc>
            <w:tc>
              <w:tcPr>
                <w:tcW w:w="1134" w:type="dxa"/>
                <w:tcMar>
                  <w:left w:w="28" w:type="dxa"/>
                  <w:right w:w="28" w:type="dxa"/>
                </w:tcMar>
              </w:tcPr>
              <w:p w14:paraId="51E07E80" w14:textId="77777777">
                <w:pPr>
                  <w:jc w:val="center"/>
                  <w:rPr>
                    <w:b/>
                    <w:bCs/>
                    <w:i/>
                    <w:sz w:val="22"/>
                    <w:szCs w:val="22"/>
                  </w:rPr>
                </w:pPr>
                <w:r>
                  <w:rPr>
                    <w:b/>
                    <w:bCs/>
                    <w:i/>
                    <w:sz w:val="22"/>
                    <w:szCs w:val="22"/>
                  </w:rPr>
                  <w:t>A.1.1</w:t>
                </w:r>
              </w:p>
              <w:p w14:paraId="6E3824B7" w14:textId="35351E84">
                <w:pPr>
                  <w:jc w:val="center"/>
                  <w:rPr>
                    <w:b/>
                    <w:sz w:val="22"/>
                    <w:szCs w:val="22"/>
                  </w:rPr>
                </w:pPr>
              </w:p>
            </w:tc>
            <w:tc>
              <w:tcPr>
                <w:tcW w:w="992" w:type="dxa"/>
                <w:tcMar>
                  <w:left w:w="28" w:type="dxa"/>
                  <w:right w:w="28" w:type="dxa"/>
                </w:tcMar>
              </w:tcPr>
              <w:p w14:paraId="7AE57C1C" w14:textId="0E2F80F9">
                <w:pPr>
                  <w:jc w:val="center"/>
                  <w:rPr>
                    <w:b/>
                    <w:i/>
                    <w:sz w:val="22"/>
                    <w:szCs w:val="22"/>
                  </w:rPr>
                </w:pPr>
                <w:r>
                  <w:rPr>
                    <w:b/>
                    <w:i/>
                    <w:sz w:val="22"/>
                    <w:szCs w:val="22"/>
                  </w:rPr>
                  <w:t>A.1.1.11</w:t>
                </w:r>
              </w:p>
            </w:tc>
            <w:tc>
              <w:tcPr>
                <w:tcW w:w="1984" w:type="dxa"/>
                <w:tcMar>
                  <w:left w:w="28" w:type="dxa"/>
                  <w:right w:w="28" w:type="dxa"/>
                </w:tcMar>
              </w:tcPr>
              <w:p w14:paraId="387CFBC8" w14:textId="77777777">
                <w:pPr>
                  <w:jc w:val="center"/>
                  <w:rPr>
                    <w:i/>
                    <w:sz w:val="22"/>
                    <w:szCs w:val="22"/>
                  </w:rPr>
                </w:pPr>
                <w:r>
                  <w:rPr>
                    <w:b/>
                    <w:i/>
                    <w:sz w:val="22"/>
                    <w:szCs w:val="22"/>
                  </w:rPr>
                  <w:t>095</w:t>
                </w:r>
              </w:p>
              <w:p w14:paraId="50D73349" w14:textId="181A4C14">
                <w:pPr>
                  <w:jc w:val="center"/>
                  <w:rPr>
                    <w:i/>
                    <w:sz w:val="22"/>
                    <w:szCs w:val="22"/>
                  </w:rPr>
                </w:pPr>
              </w:p>
            </w:tc>
            <w:tc>
              <w:tcPr>
                <w:tcW w:w="1344" w:type="dxa"/>
                <w:tcMar>
                  <w:left w:w="28" w:type="dxa"/>
                  <w:right w:w="28" w:type="dxa"/>
                </w:tcMar>
              </w:tcPr>
              <w:p w14:paraId="6AD74DC2" w14:textId="77777777">
                <w:pPr>
                  <w:jc w:val="center"/>
                  <w:rPr>
                    <w:i/>
                    <w:sz w:val="22"/>
                    <w:szCs w:val="22"/>
                  </w:rPr>
                </w:pPr>
                <w:r>
                  <w:rPr>
                    <w:b/>
                    <w:bCs/>
                    <w:i/>
                    <w:sz w:val="22"/>
                    <w:szCs w:val="22"/>
                  </w:rPr>
                  <w:t>Nepildoma</w:t>
                </w:r>
              </w:p>
            </w:tc>
            <w:tc>
              <w:tcPr>
                <w:tcW w:w="1080" w:type="dxa"/>
                <w:tcMar>
                  <w:left w:w="28" w:type="dxa"/>
                  <w:right w:w="28" w:type="dxa"/>
                </w:tcMar>
              </w:tcPr>
              <w:p w14:paraId="60CF0E4D" w14:textId="77777777">
                <w:pPr>
                  <w:jc w:val="center"/>
                  <w:rPr>
                    <w:b/>
                    <w:i/>
                    <w:sz w:val="22"/>
                    <w:szCs w:val="22"/>
                  </w:rPr>
                </w:pPr>
                <w:r>
                  <w:rPr>
                    <w:b/>
                    <w:bCs/>
                    <w:i/>
                    <w:sz w:val="22"/>
                    <w:szCs w:val="22"/>
                  </w:rPr>
                  <w:t>Nepildoma</w:t>
                </w:r>
              </w:p>
            </w:tc>
            <w:tc>
              <w:tcPr>
                <w:tcW w:w="1344" w:type="dxa"/>
                <w:tcMar>
                  <w:left w:w="28" w:type="dxa"/>
                  <w:right w:w="28" w:type="dxa"/>
                </w:tcMar>
              </w:tcPr>
              <w:p w14:paraId="02647F83" w14:textId="77777777">
                <w:pPr>
                  <w:jc w:val="center"/>
                  <w:rPr>
                    <w:b/>
                    <w:sz w:val="22"/>
                    <w:szCs w:val="22"/>
                  </w:rPr>
                </w:pPr>
                <w:r>
                  <w:rPr>
                    <w:b/>
                    <w:bCs/>
                    <w:i/>
                    <w:sz w:val="22"/>
                    <w:szCs w:val="22"/>
                  </w:rPr>
                  <w:t>Nepildoma</w:t>
                </w:r>
              </w:p>
            </w:tc>
            <w:tc>
              <w:tcPr>
                <w:tcW w:w="1328" w:type="dxa"/>
                <w:tcMar>
                  <w:left w:w="28" w:type="dxa"/>
                  <w:right w:w="28" w:type="dxa"/>
                </w:tcMar>
              </w:tcPr>
              <w:p w14:paraId="647C6867" w14:textId="77777777">
                <w:pPr>
                  <w:jc w:val="center"/>
                  <w:rPr>
                    <w:b/>
                    <w:sz w:val="22"/>
                    <w:szCs w:val="22"/>
                  </w:rPr>
                </w:pPr>
                <w:r>
                  <w:rPr>
                    <w:b/>
                    <w:bCs/>
                    <w:i/>
                    <w:sz w:val="22"/>
                    <w:szCs w:val="22"/>
                  </w:rPr>
                  <w:t>Nepildoma</w:t>
                </w:r>
              </w:p>
            </w:tc>
            <w:tc>
              <w:tcPr>
                <w:tcW w:w="1132" w:type="dxa"/>
                <w:tcMar>
                  <w:left w:w="28" w:type="dxa"/>
                  <w:right w:w="28" w:type="dxa"/>
                </w:tcMar>
              </w:tcPr>
              <w:p w14:paraId="13BE30E2" w14:textId="77777777">
                <w:pPr>
                  <w:jc w:val="center"/>
                  <w:rPr>
                    <w:i/>
                    <w:iCs/>
                    <w:sz w:val="22"/>
                    <w:szCs w:val="22"/>
                  </w:rPr>
                </w:pPr>
                <w:r>
                  <w:rPr>
                    <w:b/>
                    <w:bCs/>
                    <w:i/>
                    <w:sz w:val="22"/>
                    <w:szCs w:val="22"/>
                  </w:rPr>
                  <w:t>Nepildoma</w:t>
                </w:r>
              </w:p>
            </w:tc>
            <w:tc>
              <w:tcPr>
                <w:tcW w:w="1152" w:type="dxa"/>
                <w:tcMar>
                  <w:left w:w="28" w:type="dxa"/>
                  <w:right w:w="28" w:type="dxa"/>
                </w:tcMar>
              </w:tcPr>
              <w:p w14:paraId="02660314" w14:textId="77777777">
                <w:pPr>
                  <w:jc w:val="center"/>
                  <w:rPr>
                    <w:i/>
                    <w:iCs/>
                    <w:sz w:val="22"/>
                    <w:szCs w:val="22"/>
                  </w:rPr>
                </w:pPr>
                <w:r>
                  <w:rPr>
                    <w:b/>
                    <w:bCs/>
                    <w:i/>
                    <w:sz w:val="22"/>
                    <w:szCs w:val="22"/>
                  </w:rPr>
                  <w:t>Nepildoma</w:t>
                </w:r>
              </w:p>
            </w:tc>
          </w:tr>
        </w:tbl>
        <w:p w14:paraId="75A5427A" w14:textId="77777777">
          <w:pPr>
            <w:ind w:firstLine="567"/>
            <w:jc w:val="both"/>
            <w:rPr>
              <w:i/>
              <w:iCs/>
              <w:sz w:val="22"/>
              <w:szCs w:val="22"/>
            </w:rPr>
          </w:pPr>
        </w:p>
        <w:p w14:paraId="7EF218D8" w14:textId="4551DE1C">
          <w:pPr>
            <w:spacing w:line="259" w:lineRule="auto"/>
            <w:jc w:val="both"/>
            <w:rPr>
              <w:sz w:val="22"/>
              <w:szCs w:val="22"/>
            </w:rPr>
          </w:pPr>
          <w:r>
            <w:rPr>
              <w:sz w:val="22"/>
              <w:szCs w:val="22"/>
            </w:rPr>
            <w:t>-</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14:paraId="23230D82" w14:textId="77777777">
            <w:trPr>
              <w:trHeight w:val="405"/>
            </w:trPr>
            <w:tc>
              <w:tcPr>
                <w:tcW w:w="3688" w:type="dxa"/>
                <w:shd w:val="clear" w:color="auto" w:fill="auto"/>
                <w:vAlign w:val="center"/>
              </w:tcPr>
              <w:p w14:paraId="604600A0" w14:textId="77777777">
                <w:pPr>
                  <w:spacing w:line="259" w:lineRule="auto"/>
                  <w:jc w:val="both"/>
                  <w:rPr>
                    <w:sz w:val="22"/>
                    <w:szCs w:val="22"/>
                  </w:rPr>
                </w:pPr>
                <w:r>
                  <w:rPr>
                    <w:sz w:val="22"/>
                    <w:szCs w:val="22"/>
                  </w:rPr>
                  <w:t>Rodiklio pavadinimas</w:t>
                </w:r>
              </w:p>
            </w:tc>
            <w:tc>
              <w:tcPr>
                <w:tcW w:w="3688" w:type="dxa"/>
                <w:shd w:val="clear" w:color="auto" w:fill="auto"/>
                <w:vAlign w:val="center"/>
              </w:tcPr>
              <w:p w14:paraId="7892E80B" w14:textId="77777777">
                <w:pPr>
                  <w:spacing w:line="259" w:lineRule="auto"/>
                  <w:jc w:val="both"/>
                  <w:rPr>
                    <w:sz w:val="22"/>
                    <w:szCs w:val="22"/>
                  </w:rPr>
                </w:pPr>
                <w:r>
                  <w:rPr>
                    <w:sz w:val="22"/>
                    <w:szCs w:val="22"/>
                  </w:rPr>
                  <w:t>Rodiklio kodas</w:t>
                </w:r>
              </w:p>
            </w:tc>
            <w:tc>
              <w:tcPr>
                <w:tcW w:w="3688" w:type="dxa"/>
                <w:shd w:val="clear" w:color="auto" w:fill="auto"/>
                <w:vAlign w:val="center"/>
              </w:tcPr>
              <w:p w14:paraId="36DCD9BE" w14:textId="77777777">
                <w:pPr>
                  <w:spacing w:line="259" w:lineRule="auto"/>
                  <w:jc w:val="both"/>
                  <w:rPr>
                    <w:sz w:val="22"/>
                    <w:szCs w:val="22"/>
                  </w:rPr>
                </w:pPr>
                <w:r>
                  <w:rPr>
                    <w:sz w:val="22"/>
                    <w:szCs w:val="22"/>
                  </w:rPr>
                  <w:t>Matavimo vienetai</w:t>
                </w:r>
              </w:p>
            </w:tc>
            <w:tc>
              <w:tcPr>
                <w:tcW w:w="3957" w:type="dxa"/>
                <w:shd w:val="clear" w:color="auto" w:fill="auto"/>
                <w:vAlign w:val="center"/>
              </w:tcPr>
              <w:p w14:paraId="519A2FA7" w14:textId="77777777">
                <w:pPr>
                  <w:spacing w:line="259" w:lineRule="auto"/>
                  <w:jc w:val="both"/>
                  <w:rPr>
                    <w:sz w:val="22"/>
                    <w:szCs w:val="22"/>
                  </w:rPr>
                </w:pPr>
                <w:r>
                  <w:rPr>
                    <w:sz w:val="22"/>
                    <w:szCs w:val="22"/>
                  </w:rPr>
                  <w:t>Siektina reikšmė</w:t>
                </w:r>
              </w:p>
            </w:tc>
          </w:tr>
          <w:tr w14:paraId="597EF997" w14:textId="77777777">
            <w:trPr>
              <w:trHeight w:val="725"/>
            </w:trPr>
            <w:tc>
              <w:tcPr>
                <w:tcW w:w="3688" w:type="dxa"/>
              </w:tcPr>
              <w:p w14:paraId="0F16DAB7" w14:textId="77777777">
                <w:pPr>
                  <w:rPr>
                    <w:i/>
                    <w:iCs/>
                    <w:szCs w:val="24"/>
                  </w:rPr>
                </w:pPr>
                <w:r>
                  <w:rPr>
                    <w:i/>
                    <w:iCs/>
                    <w:szCs w:val="24"/>
                  </w:rPr>
                  <w:t>Naujų ir patobulintų viešųjų skaitmeninių paslaugų, produktų ir procesų naudotojai</w:t>
                  <w:tab/>
                </w:r>
              </w:p>
              <w:p w14:paraId="6B7C4000" w14:textId="7AD160F0">
                <w:pPr>
                  <w:spacing w:line="259" w:lineRule="auto"/>
                  <w:ind w:firstLine="720"/>
                  <w:jc w:val="both"/>
                  <w:rPr>
                    <w:i/>
                    <w:iCs/>
                    <w:sz w:val="22"/>
                    <w:szCs w:val="22"/>
                  </w:rPr>
                </w:pPr>
              </w:p>
            </w:tc>
            <w:tc>
              <w:tcPr>
                <w:tcW w:w="3688" w:type="dxa"/>
              </w:tcPr>
              <w:p w14:paraId="4D80DBCF" w14:textId="0033F31C">
                <w:pPr>
                  <w:jc w:val="center"/>
                  <w:rPr>
                    <w:i/>
                    <w:iCs/>
                    <w:szCs w:val="24"/>
                  </w:rPr>
                </w:pPr>
                <w:r>
                  <w:rPr>
                    <w:i/>
                    <w:iCs/>
                    <w:szCs w:val="24"/>
                  </w:rPr>
                  <w:t>R-11-002-02-11-01-34</w:t>
                </w:r>
              </w:p>
              <w:p w14:paraId="4C332E78" w14:textId="6F863CBC">
                <w:pPr>
                  <w:jc w:val="center"/>
                  <w:rPr>
                    <w:i/>
                    <w:iCs/>
                    <w:szCs w:val="24"/>
                  </w:rPr>
                </w:pPr>
                <w:r>
                  <w:rPr>
                    <w:i/>
                    <w:iCs/>
                    <w:szCs w:val="24"/>
                  </w:rPr>
                  <w:t>R. B.1.2007</w:t>
                </w:r>
              </w:p>
              <w:p w14:paraId="3D1A56F3" w14:textId="77777777">
                <w:pPr>
                  <w:spacing w:line="259" w:lineRule="auto"/>
                  <w:jc w:val="both"/>
                  <w:rPr>
                    <w:i/>
                    <w:iCs/>
                    <w:sz w:val="22"/>
                    <w:szCs w:val="22"/>
                  </w:rPr>
                </w:pPr>
              </w:p>
            </w:tc>
            <w:tc>
              <w:tcPr>
                <w:tcW w:w="3688" w:type="dxa"/>
              </w:tcPr>
              <w:p w14:paraId="36866CC3" w14:textId="640238EF">
                <w:pPr>
                  <w:spacing w:line="259" w:lineRule="auto"/>
                  <w:jc w:val="center"/>
                  <w:rPr>
                    <w:i/>
                    <w:iCs/>
                    <w:sz w:val="22"/>
                    <w:szCs w:val="22"/>
                  </w:rPr>
                </w:pPr>
                <w:r>
                  <w:rPr>
                    <w:i/>
                    <w:iCs/>
                    <w:szCs w:val="24"/>
                  </w:rPr>
                  <w:t>Naudotojų skaičius per metus</w:t>
                </w:r>
              </w:p>
            </w:tc>
            <w:tc>
              <w:tcPr>
                <w:tcW w:w="3957" w:type="dxa"/>
              </w:tcPr>
              <w:p w14:paraId="5E074F6D" w14:textId="41CCCCD4">
                <w:pPr>
                  <w:spacing w:line="259" w:lineRule="auto"/>
                  <w:jc w:val="center"/>
                  <w:rPr>
                    <w:sz w:val="22"/>
                    <w:szCs w:val="22"/>
                  </w:rPr>
                </w:pPr>
                <w:r>
                  <w:rPr>
                    <w:i/>
                    <w:iCs/>
                    <w:szCs w:val="24"/>
                  </w:rPr>
                  <w:t>n/a*</w:t>
                </w:r>
              </w:p>
            </w:tc>
          </w:tr>
        </w:tbl>
        <w:p w14:paraId="2682C2C2" w14:textId="53BD7160">
          <w:pPr>
            <w:spacing w:line="259" w:lineRule="auto"/>
            <w:jc w:val="both"/>
            <w:rPr>
              <w:sz w:val="22"/>
              <w:szCs w:val="22"/>
            </w:rPr>
          </w:pPr>
          <w:r>
            <w:rPr>
              <w:i/>
              <w:iCs/>
              <w:szCs w:val="24"/>
            </w:rPr>
            <w:t>*</w:t>
          </w:r>
          <w:r>
            <w:rPr>
              <w:sz w:val="22"/>
              <w:szCs w:val="22"/>
            </w:rPr>
            <w:t>Rodiklis</w:t>
          </w:r>
          <w:r>
            <w:rPr>
              <w:szCs w:val="24"/>
            </w:rPr>
            <w:t xml:space="preserve"> nustatytas </w:t>
          </w:r>
          <w:r>
            <w:rPr>
              <w:sz w:val="22"/>
              <w:szCs w:val="22"/>
            </w:rPr>
            <w:t xml:space="preserve">plane „Naujos kartos Lietuva“ ir neturi siektinų reikšmių. Duomenys bus renkami iš susijusių reformų ir investicijų rodiklių. Ataskaitinis laikotarpis </w:t>
          </w:r>
          <w:r>
            <w:rPr>
              <w:szCs w:val="24"/>
              <w:lang w:eastAsia="lt-LT"/>
            </w:rPr>
            <w:t>–</w:t>
          </w:r>
          <w:r>
            <w:rPr>
              <w:sz w:val="22"/>
              <w:szCs w:val="22"/>
            </w:rPr>
            <w:t xml:space="preserve"> iki 2026 m. gruodžio 31 d.</w:t>
          </w:r>
        </w:p>
        <w:p w14:paraId="3F13B6A3" w14:textId="77777777">
          <w:pPr>
            <w:ind w:firstLine="567"/>
            <w:jc w:val="both"/>
            <w:rPr>
              <w:i/>
              <w:iCs/>
              <w:szCs w:val="24"/>
            </w:rPr>
          </w:pPr>
        </w:p>
        <w:tbl>
          <w:tblPr>
            <w:tblW w:w="1502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3462"/>
          </w:tblGrid>
          <w:tr w14:paraId="5BF63309" w14:textId="77777777">
            <w:tc>
              <w:tcPr>
                <w:tcW w:w="15021" w:type="dxa"/>
                <w:gridSpan w:val="5"/>
              </w:tcPr>
              <w:p w14:paraId="72525790" w14:textId="77777777">
                <w:pPr>
                  <w:rPr>
                    <w:b/>
                    <w:szCs w:val="24"/>
                  </w:rPr>
                </w:pPr>
                <w:r>
                  <w:rPr>
                    <w:b/>
                    <w:szCs w:val="24"/>
                  </w:rPr>
                  <w:t>SPECIALIEJI FINANSAVIMO REIKALAVIMAI</w:t>
                </w:r>
              </w:p>
            </w:tc>
          </w:tr>
          <w:tr w14:paraId="11A3801F" w14:textId="77777777">
            <w:tc>
              <w:tcPr>
                <w:tcW w:w="15021" w:type="dxa"/>
                <w:gridSpan w:val="5"/>
              </w:tcPr>
              <w:p w14:paraId="0F10C6B3" w14:textId="77777777">
                <w:pPr>
                  <w:rPr>
                    <w:b/>
                    <w:bCs/>
                    <w:szCs w:val="24"/>
                  </w:rPr>
                </w:pPr>
                <w:r>
                  <w:rPr>
                    <w:b/>
                    <w:bCs/>
                    <w:szCs w:val="24"/>
                  </w:rPr>
                  <w:t>1. Taikomi teisės aktai</w:t>
                </w:r>
              </w:p>
            </w:tc>
          </w:tr>
          <w:tr w14:paraId="120F6037" w14:textId="77777777">
            <w:tc>
              <w:tcPr>
                <w:tcW w:w="15021" w:type="dxa"/>
                <w:gridSpan w:val="5"/>
              </w:tcPr>
              <w:p w14:paraId="659AF0E2" w14:textId="35D6D8B0">
                <w:pPr>
                  <w:tabs>
                    <w:tab w:val="left" w:pos="316"/>
                  </w:tabs>
                  <w:ind w:firstLine="32"/>
                  <w:jc w:val="both"/>
                  <w:rPr>
                    <w:szCs w:val="24"/>
                    <w:lang w:eastAsia="lt-LT"/>
                  </w:rPr>
                </w:pPr>
                <w:r>
                  <w:rPr>
                    <w:szCs w:val="24"/>
                    <w:lang w:eastAsia="lt-LT"/>
                  </w:rPr>
                  <w:t>1.</w:t>
                  <w:tab/>
                  <w:t xml:space="preserve">Teisės aktai, kuriais vadovaujamasi rengiant, teikiant ir vertinant projekto įgyvendinimo planą (toliau – PĮP), priimant sprendimą dėl projekto finansavimo, sudarant projekto sutartį ir įgyvendinant projektą, finansuojamą pagal 2022–2030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(toliau – Aprašas):</w:t>
                </w:r>
              </w:p>
              <w:p w14:paraId="3C988C32" w14:textId="485D1A1C">
                <w:pPr>
                  <w:tabs>
                    <w:tab w:val="left" w:pos="600"/>
                  </w:tabs>
                  <w:ind w:left="33"/>
                  <w:jc w:val="both"/>
                  <w:rPr>
                    <w:color w:val="000000"/>
                    <w:szCs w:val="24"/>
                  </w:rPr>
                </w:pPr>
                <w:r>
                  <w:rPr>
                    <w:color w:val="000000"/>
                    <w:szCs w:val="24"/>
                  </w:rPr>
                  <w:t>1.1.bendrieji teisės aktai:</w:t>
                </w:r>
              </w:p>
              <w:p w14:paraId="43472252" w14:textId="3BCBC07D">
                <w:pPr>
                  <w:tabs>
                    <w:tab w:val="left" w:pos="600"/>
                  </w:tabs>
                  <w:ind w:left="29"/>
                  <w:jc w:val="both"/>
                  <w:rPr>
                    <w:szCs w:val="24"/>
                    <w:lang w:val="en-US"/>
                  </w:rPr>
                </w:pPr>
                <w:r>
                  <w:rPr>
                    <w:szCs w:val="24"/>
                    <w:lang w:eastAsia="lt-LT"/>
                  </w:rPr>
                  <w:t xml:space="preserve">1.1.1. </w:t>
                </w:r>
                <w:r>
                  <w:rPr>
                    <w:color w:val="000000"/>
                    <w:szCs w:val="24"/>
                  </w:rPr>
                  <w:t xml:space="preserve">2021 m. vasario 12 d. Europos Parlamento ir Tarybos reglamentas </w:t>
                </w:r>
                <w:r>
                  <w:rPr>
                    <w:color w:val="0563C1"/>
                    <w:szCs w:val="24"/>
                    <w:u w:val="single"/>
                  </w:rPr>
                  <w:t>(ES) 2021/241</w:t>
                </w:r>
                <w:r>
                  <w:rPr>
                    <w:color w:val="000000"/>
                    <w:szCs w:val="24"/>
                  </w:rPr>
                  <w:t>, kuriuo nustatoma ekonomikos gaivinimo ir atsparumo didinimo priemonė;</w:t>
                </w:r>
              </w:p>
              <w:p w14:paraId="1AFC7A8F" w14:textId="12A45C98">
                <w:pPr>
                  <w:tabs>
                    <w:tab w:val="left" w:pos="600"/>
                  </w:tabs>
                  <w:ind w:left="29"/>
                  <w:jc w:val="both"/>
                  <w:rPr>
                    <w:szCs w:val="24"/>
                  </w:rPr>
                </w:pPr>
                <w:r>
                  <w:rPr>
                    <w:color w:val="000000"/>
                    <w:szCs w:val="24"/>
                    <w:lang w:eastAsia="lt-LT"/>
                  </w:rPr>
                  <w:t xml:space="preserve">1.1.2. </w:t>
                </w:r>
                <w:r>
                  <w:rPr>
                    <w:szCs w:val="24"/>
                  </w:rPr>
                  <w:t>2021 m. liepos 26 d. Europos Sąjungos Tarybos sprendimas dėl Ekonomikos gaivinimo ir atsparumo didinimo plano „Naujos kartos Lietuva“ patvirtinimo</w:t>
                </w:r>
                <w:r>
                  <w:rPr>
                    <w:szCs w:val="24"/>
                    <w:vertAlign w:val="superscript"/>
                  </w:rPr>
                  <w:footnoteReference w:id="2"/>
                </w:r>
                <w:r>
                  <w:rPr>
                    <w:szCs w:val="24"/>
                  </w:rPr>
                  <w:t>;</w:t>
                </w:r>
              </w:p>
              <w:p w14:paraId="721487AD" w14:textId="5D804568">
                <w:pPr>
                  <w:tabs>
                    <w:tab w:val="left" w:pos="600"/>
                  </w:tabs>
                  <w:ind w:firstLine="62"/>
                  <w:jc w:val="both"/>
                  <w:rPr>
                    <w:szCs w:val="24"/>
                  </w:rPr>
                </w:pPr>
                <w:r>
                  <w:rPr>
                    <w:szCs w:val="24"/>
                  </w:rPr>
                  <w:t>1.1.3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14:paraId="49338B5A" w14:textId="42FD3BAB">
                <w:pPr>
                  <w:tabs>
                    <w:tab w:val="left" w:pos="457"/>
                  </w:tabs>
                  <w:ind w:firstLine="62"/>
                  <w:jc w:val="both"/>
                  <w:rPr>
                    <w:szCs w:val="24"/>
                  </w:rPr>
                </w:pPr>
                <w:r>
                  <w:rPr>
                    <w:szCs w:val="24"/>
                  </w:rPr>
                  <w:t>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25AB17C5" w14:textId="07E6E897">
                <w:pPr>
                  <w:tabs>
                    <w:tab w:val="left" w:pos="220"/>
                    <w:tab w:val="left" w:pos="600"/>
                  </w:tabs>
                  <w:ind w:firstLine="186"/>
                  <w:jc w:val="both"/>
                  <w:rPr>
                    <w:color w:val="000000"/>
                    <w:szCs w:val="24"/>
                  </w:rPr>
                </w:pPr>
                <w:r>
                  <w:rPr>
                    <w:color w:val="000000"/>
                    <w:szCs w:val="24"/>
                  </w:rPr>
                  <w:t>1.1.5. Lietuvos Respublikos sveikatos apsaugos ministro 202</w:t>
                </w:r>
                <w:r>
                  <w:rPr>
                    <w:color w:val="000000"/>
                    <w:szCs w:val="24"/>
                    <w:lang w:val="es-ES"/>
                  </w:rPr>
                  <w:t>2</w:t>
                </w:r>
                <w:r>
                  <w:rPr>
                    <w:color w:val="000000"/>
                    <w:szCs w:val="24"/>
                  </w:rPr>
                  <w:t> m. gegužės </w:t>
                </w:r>
                <w:r>
                  <w:rPr>
                    <w:color w:val="000000"/>
                    <w:szCs w:val="24"/>
                    <w:lang w:val="es-ES"/>
                  </w:rPr>
                  <w:t>20</w:t>
                </w:r>
                <w:r>
                  <w:rPr>
                    <w:color w:val="000000"/>
                    <w:szCs w:val="24"/>
                  </w:rPr>
                  <w:t>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794D55C5" w14:textId="36BF7E16">
                <w:pPr>
                  <w:tabs>
                    <w:tab w:val="left" w:pos="600"/>
                  </w:tabs>
                  <w:jc w:val="both"/>
                  <w:rPr>
                    <w:color w:val="000000"/>
                    <w:szCs w:val="24"/>
                  </w:rPr>
                </w:pPr>
                <w:r>
                  <w:rPr>
                    <w:color w:val="000000"/>
                    <w:szCs w:val="24"/>
                  </w:rPr>
                  <w:t>1.2. specialieji teisės aktai:</w:t>
                </w:r>
              </w:p>
              <w:p w14:paraId="7E52B2CD" w14:textId="40919228">
                <w:pPr>
                  <w:ind w:firstLine="174"/>
                  <w:jc w:val="both"/>
                  <w:rPr>
                    <w:szCs w:val="24"/>
                  </w:rPr>
                </w:pPr>
                <w:r>
                  <w:rPr>
                    <w:szCs w:val="24"/>
                  </w:rPr>
                  <w:t xml:space="preserve">1.2.1. 2021–2030 metų nacionalinis pažangos planas, patvirtintas Lietuvos Respublikos Vyriausybės  2020 m. rugsėjo 9 d. nutarimu Nr. 998 „Dėl 2021–2030 metų nacionalinio pažangos plano patvirtinimo“;</w:t>
                </w:r>
              </w:p>
              <w:p w14:paraId="45A26AFE" w14:textId="385C1309">
                <w:pPr>
                  <w:ind w:firstLine="174"/>
                  <w:jc w:val="both"/>
                  <w:rPr>
                    <w:szCs w:val="24"/>
                  </w:rPr>
                </w:pPr>
                <w:r>
                  <w:rPr>
                    <w:szCs w:val="24"/>
                  </w:rPr>
                  <w:t>1.2.2. 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34571C72" w14:textId="383D0ABC">
                <w:pPr>
                  <w:ind w:firstLine="174"/>
                  <w:jc w:val="both"/>
                  <w:rPr>
                    <w:szCs w:val="24"/>
                  </w:rPr>
                </w:pPr>
                <w:r>
                  <w:rPr>
                    <w:szCs w:val="24"/>
                  </w:rPr>
                  <w:t xml:space="preserve">1.2.3 Lietuvos Respublikos valstybės informacinių išteklių valdymo įstatymas; </w:t>
                </w:r>
              </w:p>
              <w:p w14:paraId="0CEB1975" w14:textId="18D1ADD5">
                <w:pPr>
                  <w:ind w:firstLine="174"/>
                  <w:jc w:val="both"/>
                  <w:rPr>
                    <w:szCs w:val="24"/>
                  </w:rPr>
                </w:pPr>
                <w:r>
                  <w:rPr>
                    <w:szCs w:val="24"/>
                  </w:rPr>
                  <w:t>1.2.4. Lietuvos Respublikos kibernetinio saugumo įstatymas;</w:t>
                </w:r>
              </w:p>
              <w:p w14:paraId="45F46578" w14:textId="3F068E8F">
                <w:pPr>
                  <w:ind w:firstLine="174"/>
                  <w:jc w:val="both"/>
                  <w:rPr>
                    <w:szCs w:val="24"/>
                  </w:rPr>
                </w:pPr>
                <w:r>
                  <w:rPr>
                    <w:szCs w:val="24"/>
                  </w:rPr>
                  <w:t>1.2.5. Lietuvos Respublikos sveikatos sistemos įstatymas;</w:t>
                </w:r>
              </w:p>
              <w:p w14:paraId="6E56F256" w14:textId="7997D70B">
                <w:pPr>
                  <w:ind w:firstLine="174"/>
                  <w:jc w:val="both"/>
                  <w:rPr>
                    <w:szCs w:val="24"/>
                  </w:rPr>
                </w:pPr>
                <w:r>
                  <w:rPr>
                    <w:szCs w:val="24"/>
                  </w:rPr>
                  <w:t>1.2.6. Lietuvos Respublikos farmacijos įstatymas;</w:t>
                </w:r>
              </w:p>
              <w:p w14:paraId="323C6164" w14:textId="5121ABB1">
                <w:pPr>
                  <w:ind w:firstLine="174"/>
                  <w:jc w:val="both"/>
                  <w:rPr>
                    <w:szCs w:val="24"/>
                  </w:rPr>
                </w:pPr>
                <w:r>
                  <w:rPr>
                    <w:szCs w:val="24"/>
                  </w:rPr>
                  <w:t>1.2.7.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3E559D24" w14:textId="13C49852">
                <w:pPr>
                  <w:ind w:firstLine="174"/>
                  <w:jc w:val="both"/>
                  <w:rPr>
                    <w:szCs w:val="24"/>
                  </w:rPr>
                </w:pPr>
                <w:r>
                  <w:rPr>
                    <w:szCs w:val="24"/>
                  </w:rPr>
                  <w:t>1.2.8. Lietuvos Respublikos Vyriausybės 2018 m. rugpjūčio 13 d. nutarimas Nr. 818 „Dėl Lietuvos Respublikos kibernetinio saugumo įstatymo įgyvendinimo“;</w:t>
                </w:r>
              </w:p>
              <w:p w14:paraId="51710288" w14:textId="3940EF67">
                <w:pPr>
                  <w:ind w:firstLine="174"/>
                  <w:jc w:val="both"/>
                  <w:rPr>
                    <w:szCs w:val="24"/>
                  </w:rPr>
                </w:pPr>
                <w:r>
                  <w:rPr>
                    <w:szCs w:val="24"/>
                  </w:rPr>
                  <w:t>1.2.9. 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777B0700" w14:textId="5C8522F1">
                <w:pPr>
                  <w:ind w:firstLine="174"/>
                  <w:jc w:val="both"/>
                  <w:rPr>
                    <w:szCs w:val="24"/>
                  </w:rPr>
                </w:pPr>
                <w:r>
                  <w:rPr>
                    <w:szCs w:val="24"/>
                  </w:rPr>
                  <w:t>1.2.10. Elektroninių paslaugų kūrimo metodika, patvirtinta Lietuvos Respublikos susisiekimo ministro 2015 m. spalio 7 d. įsakymu Nr. 3-416(1.5 E) „Dėl metodinių dokumentų patvirtinimo“;</w:t>
                </w:r>
              </w:p>
              <w:p w14:paraId="45C884E9" w14:textId="131BA7D4">
                <w:pPr>
                  <w:ind w:firstLine="174"/>
                  <w:jc w:val="both"/>
                  <w:rPr>
                    <w:szCs w:val="24"/>
                  </w:rPr>
                </w:pPr>
                <w:r>
                  <w:rPr>
                    <w:szCs w:val="24"/>
                  </w:rPr>
                  <w:t>1.2.11.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389FA680" w14:textId="79C2B8C8">
                <w:pPr>
                  <w:ind w:firstLine="174"/>
                  <w:jc w:val="both"/>
                  <w:rPr>
                    <w:szCs w:val="24"/>
                  </w:rPr>
                </w:pPr>
                <w:r>
                  <w:rPr>
                    <w:szCs w:val="24"/>
                  </w:rPr>
                  <w:t>1.2.12.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5FC35DC1" w14:textId="7B5D7BCF">
                <w:pPr>
                  <w:ind w:firstLine="174"/>
                  <w:jc w:val="both"/>
                  <w:rPr>
                    <w:szCs w:val="24"/>
                  </w:rPr>
                </w:pPr>
                <w:r>
                  <w:rPr>
                    <w:szCs w:val="24"/>
                  </w:rPr>
                  <w:t>1.2.13.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64F0AC79" w14:textId="2557E469">
                <w:pPr>
                  <w:ind w:firstLine="174"/>
                  <w:jc w:val="both"/>
                  <w:rPr>
                    <w:szCs w:val="24"/>
                  </w:rPr>
                </w:pPr>
                <w:r>
                  <w:rPr>
                    <w:szCs w:val="24"/>
                  </w:rPr>
                  <w:t>1.2.14. Lietuvos Respublikos Vyriausybės 2015 m. gegužės 13 d. nutarimas Nr. 498 „Dėl valstybės informacinių išteklių infrastruktūros konsolidavimo ir jos valdymo optimizavimo“ (toliau – Nutarimas Nr. 498);</w:t>
                </w:r>
              </w:p>
              <w:p w14:paraId="7FABA77F" w14:textId="270235C7">
                <w:pPr>
                  <w:ind w:firstLine="174"/>
                  <w:jc w:val="both"/>
                  <w:rPr>
                    <w:szCs w:val="24"/>
                  </w:rPr>
                </w:pPr>
                <w:r>
                  <w:rPr>
                    <w:szCs w:val="24"/>
                  </w:rPr>
                  <w:t xml:space="preserve">1.2.15. Europos Komisijos 2012 m. birželio 19 d. įgyvendinimo reglamentas </w:t>
                </w:r>
                <w:r>
                  <w:rPr>
                    <w:color w:val="0563C1"/>
                    <w:szCs w:val="24"/>
                    <w:u w:val="single"/>
                  </w:rPr>
                  <w:t>(ES) Nr. 520/2012</w:t>
                </w:r>
                <w:r>
                  <w:rPr>
                    <w:szCs w:val="24"/>
                  </w:rPr>
                  <w:t xml:space="preserve"> „Dėl farmakologinio budrumo veiklos, numatytos Europos Parlamento ir Tarybos reglamente </w:t>
                </w:r>
                <w:r>
                  <w:rPr>
                    <w:color w:val="0563C1"/>
                    <w:szCs w:val="24"/>
                    <w:u w:val="single"/>
                  </w:rPr>
                  <w:t>(EB) Nr. 726/2004</w:t>
                </w:r>
                <w:r>
                  <w:rPr>
                    <w:szCs w:val="24"/>
                  </w:rPr>
                  <w:t xml:space="preserve"> ir Europos Parlamento ir Tarybos direktyvoje </w:t>
                </w:r>
                <w:r>
                  <w:rPr>
                    <w:color w:val="0563C1"/>
                    <w:szCs w:val="24"/>
                    <w:u w:val="single"/>
                  </w:rPr>
                  <w:t>2001/83/EB</w:t>
                </w:r>
                <w:r>
                  <w:rPr>
                    <w:szCs w:val="24"/>
                  </w:rPr>
                  <w:t>, vykdymo“</w:t>
                </w:r>
                <w:r>
                  <w:rPr>
                    <w:szCs w:val="24"/>
                    <w:vertAlign w:val="superscript"/>
                  </w:rPr>
                  <w:footnoteReference w:id="3"/>
                </w:r>
                <w:r>
                  <w:rPr>
                    <w:szCs w:val="24"/>
                  </w:rPr>
                  <w:t xml:space="preserve">; </w:t>
                </w:r>
              </w:p>
              <w:p w14:paraId="62B9B468" w14:textId="6EE3FB41">
                <w:pPr>
                  <w:ind w:firstLine="174"/>
                  <w:jc w:val="both"/>
                  <w:rPr>
                    <w:szCs w:val="24"/>
                  </w:rPr>
                </w:pPr>
                <w:r>
                  <w:rPr>
                    <w:szCs w:val="24"/>
                  </w:rPr>
                  <w:t>1.2.16. Elektroninės sveikatos paslaugų ir bendradarbiavimo infrastruktūros informacinės sistemos naudojimo tvarkos aprašas, patvirtintas Lietuvos Respublikos sveikatos apsaugos ministro 2015 m. gegužės 26 d</w:t>
                </w:r>
                <w:r>
                  <w:rPr>
                    <w:b/>
                    <w:bCs/>
                    <w:szCs w:val="24"/>
                  </w:rPr>
                  <w:t xml:space="preserve">. </w:t>
                </w:r>
                <w:r>
                  <w:rPr>
                    <w:szCs w:val="24"/>
                  </w:rPr>
                  <w:t xml:space="preserve">įsakymu Nr. V-657 „Dėl Elektroninės sveikatos paslaugų ir bendradarbiavimo infrastruktūros informacinės sistemos naudojimo tvarkos aprašo patvirtinimo“; </w:t>
                </w:r>
              </w:p>
              <w:p w14:paraId="7E00989F" w14:textId="61B178D8">
                <w:pPr>
                  <w:spacing w:line="276" w:lineRule="atLeast"/>
                  <w:ind w:right="-1" w:firstLine="174"/>
                  <w:jc w:val="both"/>
                  <w:rPr>
                    <w:color w:val="000000"/>
                    <w:szCs w:val="24"/>
                  </w:rPr>
                </w:pPr>
                <w:r>
                  <w:rPr>
                    <w:szCs w:val="24"/>
                  </w:rPr>
                  <w:t xml:space="preserve">1.2.17. </w:t>
                </w:r>
                <w:r>
                  <w:rPr>
                    <w:color w:val="000000"/>
                    <w:szCs w:val="24"/>
                  </w:rPr>
                  <w:t xml:space="preserve">Elektroninės sveikatos paslaugų ir bendradarbiavimo infrastruktūros informacinės sistemos nuostatai, patvirtinti </w:t>
                </w:r>
                <w:r>
                  <w:rPr>
                    <w:color w:val="000000"/>
                    <w:szCs w:val="24"/>
                    <w:lang w:eastAsia="lt-LT"/>
                  </w:rPr>
                  <w:t xml:space="preserve">Lietuvos Respublikos Vyriausybės 2011 m. rugsėjo 7 d. nutarimu Nr. 1057 „Dėl </w:t>
                </w:r>
                <w:r>
                  <w:rPr>
                    <w:color w:val="000000"/>
                    <w:szCs w:val="24"/>
                  </w:rPr>
                  <w:t>Elektroninės sveikatos paslaugų ir bendradarbiavimo infrastruktūros informacinės sistemos nuostatų patvirtinimo“;</w:t>
                </w:r>
              </w:p>
              <w:p w14:paraId="2B59C36B" w14:textId="349837C0">
                <w:pPr>
                  <w:spacing w:line="276" w:lineRule="atLeast"/>
                  <w:ind w:right="-1" w:firstLine="174"/>
                  <w:jc w:val="both"/>
                  <w:rPr>
                    <w:color w:val="000000"/>
                    <w:szCs w:val="24"/>
                  </w:rPr>
                </w:pPr>
                <w:r>
                  <w:rPr>
                    <w:color w:val="000000"/>
                    <w:szCs w:val="24"/>
                  </w:rPr>
                  <w:t>1.2.18.</w:t>
                </w:r>
                <w:r>
                  <w:t xml:space="preserve"> </w:t>
                </w:r>
                <w:r>
                  <w:rPr>
                    <w:color w:val="000000"/>
                    <w:szCs w:val="24"/>
                  </w:rPr>
                  <w:t xml:space="preserve">Komisijos reglamentas </w:t>
                </w:r>
                <w:r>
                  <w:rPr>
                    <w:color w:val="0563C1"/>
                    <w:szCs w:val="24"/>
                    <w:u w:val="single"/>
                  </w:rPr>
                  <w:t>(EB) 1234/2008</w:t>
                </w:r>
                <w:r>
                  <w:rPr>
                    <w:color w:val="000000"/>
                    <w:szCs w:val="24"/>
                  </w:rPr>
                  <w:t xml:space="preserve"> dėl žmonėms skirtų vaistų ir veterinarinių vaistų registracijos pažymėjimų sąlygų keitimo nagrinėjimo;</w:t>
                </w:r>
              </w:p>
              <w:p w14:paraId="6C76A502" w14:textId="4E9F9019">
                <w:pPr>
                  <w:spacing w:line="276" w:lineRule="atLeast"/>
                  <w:ind w:right="-1" w:firstLine="174"/>
                  <w:jc w:val="both"/>
                  <w:rPr>
                    <w:color w:val="000000"/>
                    <w:szCs w:val="24"/>
                  </w:rPr>
                </w:pPr>
                <w:r>
                  <w:rPr>
                    <w:color w:val="000000"/>
                    <w:szCs w:val="24"/>
                  </w:rPr>
                  <w:t xml:space="preserve">1.2.19. Europos Parlamento ir Tarybos reglamentas </w:t>
                </w:r>
                <w:r>
                  <w:rPr>
                    <w:color w:val="0563C1"/>
                    <w:szCs w:val="24"/>
                    <w:u w:val="single"/>
                  </w:rPr>
                  <w:t>(ES) Nr. 536/2014</w:t>
                </w:r>
                <w:r>
                  <w:rPr>
                    <w:color w:val="000000"/>
                    <w:szCs w:val="24"/>
                  </w:rPr>
                  <w:t xml:space="preserve"> dėl žmonėms skirtų vaistų klinikinių tyrimų, kuriuo panaikinama Direktyva </w:t>
                </w:r>
                <w:r>
                  <w:rPr>
                    <w:color w:val="0563C1"/>
                    <w:szCs w:val="24"/>
                    <w:u w:val="single"/>
                  </w:rPr>
                  <w:t>2001/20/EB</w:t>
                </w:r>
                <w:r>
                  <w:rPr>
                    <w:color w:val="000000"/>
                    <w:szCs w:val="24"/>
                  </w:rPr>
                  <w:t>;</w:t>
                </w:r>
              </w:p>
              <w:p w14:paraId="0A552434" w14:textId="1866B00B">
                <w:pPr>
                  <w:spacing w:line="276" w:lineRule="atLeast"/>
                  <w:ind w:right="-1" w:firstLine="174"/>
                  <w:jc w:val="both"/>
                  <w:rPr>
                    <w:color w:val="000000"/>
                    <w:szCs w:val="24"/>
                  </w:rPr>
                </w:pPr>
                <w:r>
                  <w:rPr>
                    <w:color w:val="000000"/>
                    <w:szCs w:val="24"/>
                  </w:rPr>
                  <w:t>1.2.20. Lietuvos Respublikos narkotinių ir psichotropinių medžiagų kontrolės įstatymas Nr. VIII-602;</w:t>
                </w:r>
              </w:p>
              <w:p w14:paraId="661FD10A" w14:textId="6E5FA5EC">
                <w:pPr>
                  <w:spacing w:line="276" w:lineRule="atLeast"/>
                  <w:ind w:right="-1" w:firstLine="174"/>
                  <w:jc w:val="both"/>
                  <w:rPr>
                    <w:color w:val="000000"/>
                    <w:szCs w:val="24"/>
                  </w:rPr>
                </w:pPr>
                <w:r>
                  <w:rPr>
                    <w:color w:val="000000"/>
                    <w:szCs w:val="24"/>
                  </w:rPr>
                  <w:t>1.2.21. Lietuvos Respublikos 2004 m. liepos 8 d. įstatymas Nr. IX-2321 dėl Europos farmakopėjos rengimo, pataisytos pagal Konvencijos dėl Europos farmakopėjos rengimo protokolą, ratifikavimo;</w:t>
                </w:r>
              </w:p>
              <w:p w14:paraId="61E283DE" w14:textId="0774E1CD">
                <w:pPr>
                  <w:spacing w:line="276" w:lineRule="atLeast"/>
                  <w:ind w:right="-1" w:firstLine="174"/>
                  <w:jc w:val="both"/>
                  <w:rPr>
                    <w:color w:val="000000"/>
                    <w:szCs w:val="24"/>
                  </w:rPr>
                </w:pPr>
                <w:r>
                  <w:rPr>
                    <w:color w:val="000000"/>
                    <w:szCs w:val="24"/>
                  </w:rPr>
                  <w:t>1.2.22. Lietuvos Respublikos Vyriausybės 1995 m. gruodžio 28 d. nutarimas Nr. 1630 „Dėl Veiklos, susijusios su medžiagomis, įtrauktomis į II ir III narkotinių ir psichotropinių medžiagų sąrašus, licencijavimo taisyklių patvirtinimo“;</w:t>
                </w:r>
              </w:p>
              <w:p w14:paraId="4566CFDC" w14:textId="1AD5CAE4">
                <w:pPr>
                  <w:spacing w:line="276" w:lineRule="atLeast"/>
                  <w:ind w:right="-1" w:firstLine="174"/>
                  <w:jc w:val="both"/>
                  <w:rPr>
                    <w:color w:val="000000"/>
                    <w:szCs w:val="24"/>
                  </w:rPr>
                </w:pPr>
                <w:r>
                  <w:rPr>
                    <w:color w:val="000000"/>
                    <w:szCs w:val="24"/>
                  </w:rPr>
                  <w:t>1.2.23. Lietuvos Respublikos Vyriausybės 2006 m. lapkričio 30 d. nutarimas Nr. 1191 „Dėl Farmacinės veiklos licencijavimo taisyklių, Reikalavimų kvalifikuotam asmeniui, atsakingam už gamybą ir (ar) importą, aprašo ir farmacinės veiklos licencijų formų patvirtinimo“;</w:t>
                </w:r>
              </w:p>
              <w:p w14:paraId="78393F22" w14:textId="68DC3552">
                <w:pPr>
                  <w:spacing w:line="276" w:lineRule="atLeast"/>
                  <w:ind w:right="-1" w:firstLine="174"/>
                  <w:jc w:val="both"/>
                  <w:rPr>
                    <w:color w:val="000000"/>
                    <w:szCs w:val="24"/>
                  </w:rPr>
                </w:pPr>
                <w:r>
                  <w:rPr>
                    <w:color w:val="000000"/>
                    <w:szCs w:val="24"/>
                  </w:rPr>
                  <w:t>1.2.24. Lietuvos Respublikos Vyriausybės 2008 m. birželio 18 d. nutarimas Nr. 637 „Dėl Lietuvos Respublikos reglamentuojamų profesinių kvalifikacijų pripažinimo įstatymo įgyvendinimo“;</w:t>
                </w:r>
              </w:p>
              <w:p w14:paraId="3B8EDD56" w14:textId="7A490291">
                <w:pPr>
                  <w:spacing w:line="276" w:lineRule="atLeast"/>
                  <w:ind w:right="-1" w:firstLine="174"/>
                  <w:jc w:val="both"/>
                  <w:rPr>
                    <w:color w:val="000000"/>
                    <w:szCs w:val="24"/>
                  </w:rPr>
                </w:pPr>
                <w:r>
                  <w:rPr>
                    <w:color w:val="000000"/>
                    <w:szCs w:val="24"/>
                  </w:rPr>
                  <w:t xml:space="preserve">1.2.25. Lietuvos Respublikos sveikatos apsaugos ministro 2003 m. spalio 8 d. įsakymas Nr. V-597 „Dėl Informacijos, susijusios su žmonių apsinuodijimais, kaupimo ir teikimo taisyklių patvirtinimo“; </w:t>
                </w:r>
              </w:p>
              <w:p w14:paraId="3ABCD3C5" w14:textId="25B255CB">
                <w:pPr>
                  <w:spacing w:line="276" w:lineRule="atLeast"/>
                  <w:ind w:right="-1" w:firstLine="174"/>
                  <w:jc w:val="both"/>
                  <w:rPr>
                    <w:color w:val="000000"/>
                    <w:szCs w:val="24"/>
                  </w:rPr>
                </w:pPr>
                <w:r>
                  <w:rPr>
                    <w:color w:val="000000"/>
                    <w:szCs w:val="24"/>
                  </w:rPr>
                  <w:t>1.2.26. Lietuvos Respublikos sveikatos apsaugos ministerijos 1996 m. sausio 4 d. įsakymas Nr. 11 „Dėl farmacinės veiklos su narkotiniais ir psichotropiniais vaistais ir vaistinėmis medžiagomis licencijavimo“;</w:t>
                </w:r>
              </w:p>
              <w:p w14:paraId="6CE70E5A" w14:textId="45921F64">
                <w:pPr>
                  <w:spacing w:line="276" w:lineRule="atLeast"/>
                  <w:ind w:right="-1" w:firstLine="174"/>
                  <w:jc w:val="both"/>
                  <w:rPr>
                    <w:color w:val="000000"/>
                    <w:szCs w:val="24"/>
                  </w:rPr>
                </w:pPr>
                <w:r>
                  <w:rPr>
                    <w:color w:val="000000"/>
                    <w:szCs w:val="24"/>
                  </w:rPr>
                  <w:t>1.2.27. Lietuvos Respublikos sveikatos apsaugos ministerijos 1997 m. gruodžio 23 d. įsakymas Nr. 705 „Dėl narkotinių vaistų ir vaistinių medžiagų legalios apyvartos kontrolės“;</w:t>
                </w:r>
              </w:p>
              <w:p w14:paraId="4EA1CA76" w14:textId="11CB2695">
                <w:pPr>
                  <w:spacing w:line="276" w:lineRule="atLeast"/>
                  <w:ind w:right="-1" w:firstLine="174"/>
                  <w:jc w:val="both"/>
                  <w:rPr>
                    <w:color w:val="000000"/>
                    <w:szCs w:val="24"/>
                  </w:rPr>
                </w:pPr>
                <w:r>
                  <w:rPr>
                    <w:color w:val="000000"/>
                    <w:szCs w:val="24"/>
                  </w:rPr>
                  <w:t>1.2.28. Lietuvos Respublikos sveikatos apsaugos ministro 2000 m. sausio 6 d. įsakymas Nr. 5 „Dėl narkotinių ir psichotropinių medžiagų sąrašų patvirtinimo“;</w:t>
                </w:r>
              </w:p>
              <w:p w14:paraId="161DC380" w14:textId="3993E125">
                <w:pPr>
                  <w:spacing w:line="276" w:lineRule="atLeast"/>
                  <w:ind w:right="-1" w:firstLine="174"/>
                  <w:jc w:val="both"/>
                  <w:rPr>
                    <w:color w:val="000000"/>
                    <w:szCs w:val="24"/>
                  </w:rPr>
                </w:pPr>
                <w:r>
                  <w:rPr>
                    <w:color w:val="000000"/>
                    <w:szCs w:val="24"/>
                  </w:rPr>
                  <w:t>1.2.29. Lietuvos Respublikos sveikatos apsaugos ministro 2001 m. liepos 25 d. įsakymas Nr. 409 „Dėl narkotinių ir psichotropinių vaistų bei vaistinių medžiagų importo ir eksporto kontrolės užtikrinimo“;</w:t>
                </w:r>
              </w:p>
              <w:p w14:paraId="66D79433" w14:textId="79311910">
                <w:pPr>
                  <w:spacing w:line="276" w:lineRule="atLeast"/>
                  <w:ind w:right="-1" w:firstLine="174"/>
                  <w:jc w:val="both"/>
                  <w:rPr>
                    <w:color w:val="000000"/>
                    <w:szCs w:val="24"/>
                  </w:rPr>
                </w:pPr>
                <w:r>
                  <w:rPr>
                    <w:color w:val="000000"/>
                    <w:szCs w:val="24"/>
                  </w:rPr>
                  <w:t>1.2.30. Lietuvos Respublikos sveikatos apsaugos ministro 2002 m. kovo 18 d. įsakymas Nr. 132 „Dėl sveikatos priežiūros ir farmacijos specialistų profesinės kvalifikacijos tobulinimo ir jo finansavimo tvarkos“;</w:t>
                </w:r>
              </w:p>
              <w:p w14:paraId="1202F2A7" w14:textId="16DCC341">
                <w:pPr>
                  <w:spacing w:line="276" w:lineRule="atLeast"/>
                  <w:ind w:right="-1" w:firstLine="174"/>
                  <w:jc w:val="both"/>
                  <w:rPr>
                    <w:color w:val="000000"/>
                    <w:szCs w:val="24"/>
                  </w:rPr>
                </w:pPr>
                <w:r>
                  <w:rPr>
                    <w:color w:val="000000"/>
                    <w:szCs w:val="24"/>
                  </w:rPr>
                  <w:t>1.2.31. Lietuvos Respublikos sveikatos apsaugos ministro 2002 m. balandžio 5 d. įsakymas Nr. 159 „Dėl Vaistinių preparatų ir medicinos pagalbos priemonių įrašymo į kompensavimo sąrašus ir jų keitimo tvarkos aprašo patvirtinimo“;</w:t>
                </w:r>
              </w:p>
              <w:p w14:paraId="3959D875" w14:textId="2E3B641E">
                <w:pPr>
                  <w:spacing w:line="276" w:lineRule="atLeast"/>
                  <w:ind w:right="-1" w:firstLine="174"/>
                  <w:jc w:val="both"/>
                  <w:rPr>
                    <w:color w:val="000000"/>
                    <w:szCs w:val="24"/>
                  </w:rPr>
                </w:pPr>
                <w:r>
                  <w:rPr>
                    <w:color w:val="000000"/>
                    <w:szCs w:val="24"/>
                  </w:rPr>
                  <w:t>1.2.32. Lietuvos Respublikos sveikatos apsaugos ministro 2003 m. sausio 6 d. įsakymas Nr. V-1 „Dėl Numerio sveikatos specialisto spaudui suteikimo ir panaikinimo taisyklių patvirtinimo“;</w:t>
                </w:r>
              </w:p>
              <w:p w14:paraId="7AB74F6D" w14:textId="377C92AA">
                <w:pPr>
                  <w:spacing w:line="276" w:lineRule="atLeast"/>
                  <w:ind w:right="-1" w:firstLine="174"/>
                  <w:jc w:val="both"/>
                  <w:rPr>
                    <w:color w:val="000000"/>
                    <w:szCs w:val="24"/>
                  </w:rPr>
                </w:pPr>
                <w:r>
                  <w:rPr>
                    <w:color w:val="000000"/>
                    <w:szCs w:val="24"/>
                  </w:rPr>
                  <w:t>1.2.33. Lietuvos Respublikos sveikatos apsaugos ministro 2006 m. lapkričio 28 d. įsakymas Nr. V-1012 „Dėl Vaistininko praktikos licencijavimo taisyklių patvirtinimo“;</w:t>
                </w:r>
              </w:p>
              <w:p w14:paraId="45865DBC" w14:textId="41134D56">
                <w:pPr>
                  <w:spacing w:line="276" w:lineRule="atLeast"/>
                  <w:ind w:right="-1" w:firstLine="174"/>
                  <w:jc w:val="both"/>
                  <w:rPr>
                    <w:color w:val="000000"/>
                    <w:szCs w:val="24"/>
                  </w:rPr>
                </w:pPr>
                <w:r>
                  <w:rPr>
                    <w:color w:val="000000"/>
                    <w:szCs w:val="24"/>
                  </w:rPr>
                  <w:t>1.2.34. Lietuvos Respublikos sveikatos apsaugos ministro 2006 m. gruodžio 13 d. įsakymas Nr. V-1046 „Dėl įgaliojimų suteikimo Valstybinei vaistų kontrolės tarnybai prie Lietuvos Respublikos sveikatos apsaugos ministerijos“;</w:t>
                </w:r>
              </w:p>
              <w:p w14:paraId="31795F1C" w14:textId="1C8AC452">
                <w:pPr>
                  <w:spacing w:line="276" w:lineRule="atLeast"/>
                  <w:ind w:right="-1" w:firstLine="174"/>
                  <w:jc w:val="both"/>
                  <w:rPr>
                    <w:color w:val="000000"/>
                    <w:szCs w:val="24"/>
                  </w:rPr>
                </w:pPr>
                <w:r>
                  <w:rPr>
                    <w:color w:val="000000"/>
                    <w:szCs w:val="24"/>
                  </w:rPr>
                  <w:t>1.2.35. Lietuvos Respublikos sveikatos apsaugos ministro 2006 m. gruodžio 13 d. įsakymas Nr. V-1052 „Dėl Vaistininko padėjėjų (farmakotechnikų) įrašymo į sąrašą taisyklių patvirtinimo“;</w:t>
                </w:r>
              </w:p>
              <w:p w14:paraId="48887F92" w14:textId="5F0B3A0B">
                <w:pPr>
                  <w:spacing w:line="276" w:lineRule="atLeast"/>
                  <w:ind w:right="-1" w:firstLine="174"/>
                  <w:jc w:val="both"/>
                  <w:rPr>
                    <w:color w:val="000000"/>
                    <w:szCs w:val="24"/>
                  </w:rPr>
                </w:pPr>
                <w:r>
                  <w:rPr>
                    <w:color w:val="000000"/>
                    <w:szCs w:val="24"/>
                  </w:rPr>
                  <w:t>1.2.36. Lietuvos Respublikos sveikatos apsaugos ministro 2006 m. gruodžio 13 d. įsakymas Nr. V-1053 „Dėl farmacinės veiklos licencijų paraiškų formų patvirtinimo“;</w:t>
                </w:r>
              </w:p>
              <w:p w14:paraId="79C5EF64" w14:textId="129A3CBB">
                <w:pPr>
                  <w:spacing w:line="276" w:lineRule="atLeast"/>
                  <w:ind w:right="-1" w:firstLine="174"/>
                  <w:jc w:val="both"/>
                  <w:rPr>
                    <w:color w:val="000000"/>
                    <w:szCs w:val="24"/>
                  </w:rPr>
                </w:pPr>
                <w:r>
                  <w:rPr>
                    <w:color w:val="000000"/>
                    <w:szCs w:val="24"/>
                  </w:rPr>
                  <w:t>1.2.37. Lietuvos Respublikos sveikatos apsaugos ministro 2006 m. gruodžio 28 d. įsakymas Nr. V-1128 „Dėl Vaistinių preparatų reklamos taisyklių patvirtinimo“;</w:t>
                </w:r>
              </w:p>
              <w:p w14:paraId="1C18B500" w14:textId="42189B97">
                <w:pPr>
                  <w:spacing w:line="276" w:lineRule="atLeast"/>
                  <w:ind w:right="-1" w:firstLine="174"/>
                  <w:jc w:val="both"/>
                  <w:rPr>
                    <w:color w:val="000000"/>
                    <w:szCs w:val="24"/>
                  </w:rPr>
                </w:pPr>
                <w:r>
                  <w:rPr>
                    <w:color w:val="000000"/>
                    <w:szCs w:val="24"/>
                  </w:rPr>
                  <w:t>1.2.38. Lietuvos Respublikos sveikatos apsaugos ministro 2007 m. kovo 26 d. įsakymas Nr. V-197 „Dėl Vaistininko ir vaistininko padėjėjo (farmakotechniko) teisių ir pareigų paskirstymo aprašo patvirtinimo“;</w:t>
                </w:r>
              </w:p>
              <w:p w14:paraId="50C3A849" w14:textId="5DF46764">
                <w:pPr>
                  <w:spacing w:line="276" w:lineRule="atLeast"/>
                  <w:ind w:right="-1" w:firstLine="174"/>
                  <w:jc w:val="both"/>
                  <w:rPr>
                    <w:color w:val="000000"/>
                    <w:szCs w:val="24"/>
                  </w:rPr>
                </w:pPr>
                <w:r>
                  <w:rPr>
                    <w:color w:val="000000"/>
                    <w:szCs w:val="24"/>
                  </w:rPr>
                  <w:t>1.2.39. Lietuvos Respublikos sveikatos apsaugos ministro 2007 m. liepos 10 d. įsakymas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farmakotoksikologinių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p>
              <w:p w14:paraId="676F66A2" w14:textId="773E47D1">
                <w:pPr>
                  <w:spacing w:line="276" w:lineRule="atLeast"/>
                  <w:ind w:right="-1" w:firstLine="174"/>
                  <w:jc w:val="both"/>
                  <w:rPr>
                    <w:color w:val="000000"/>
                    <w:szCs w:val="24"/>
                  </w:rPr>
                </w:pPr>
                <w:r>
                  <w:rPr>
                    <w:color w:val="000000"/>
                    <w:szCs w:val="24"/>
                  </w:rPr>
                  <w:t>1.2.40. Lietuvos Respublikos sveikatos apsaugos ministro 2008 m. gruodžio 29 d. įsakymas Nr. V-228 „Dėl Vaistinių preparatų lygiagretaus importo taisyklių patvirtinimo“;</w:t>
                </w:r>
              </w:p>
              <w:p w14:paraId="7E673C13" w14:textId="4ADFFC76">
                <w:pPr>
                  <w:spacing w:line="276" w:lineRule="atLeast"/>
                  <w:ind w:right="-1" w:firstLine="174"/>
                  <w:jc w:val="both"/>
                  <w:rPr>
                    <w:color w:val="000000"/>
                    <w:szCs w:val="24"/>
                  </w:rPr>
                </w:pPr>
                <w:r>
                  <w:rPr>
                    <w:color w:val="000000"/>
                    <w:szCs w:val="24"/>
                  </w:rPr>
                  <w:t>1.2.41. Lietuvos Respublikos sveikatos apsaugos ministro 2010 m.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ir leidimo gaminti pažangios terapijos vaistinius preparatus konkretiems pacientams pagal gydytojo paskyrimą formų patvirtinimo“;</w:t>
                </w:r>
              </w:p>
              <w:p w14:paraId="37BF2A51" w14:textId="0DE5293D">
                <w:pPr>
                  <w:spacing w:line="276" w:lineRule="atLeast"/>
                  <w:ind w:right="-1" w:firstLine="174"/>
                  <w:jc w:val="both"/>
                  <w:rPr>
                    <w:color w:val="000000"/>
                    <w:szCs w:val="24"/>
                  </w:rPr>
                </w:pPr>
                <w:r>
                  <w:rPr>
                    <w:color w:val="000000"/>
                    <w:szCs w:val="24"/>
                  </w:rPr>
                  <w:t>1.2.42.</w:t>
                </w:r>
                <w:r>
                  <w:t xml:space="preserve"> </w:t>
                </w:r>
                <w:r>
                  <w:rPr>
                    <w:color w:val="000000"/>
                    <w:szCs w:val="24"/>
                  </w:rPr>
                  <w:t>Lietuvos Respublikos sveikatos apsaugos ministro 2010 m. spalio 11 d. įsakymas Nr. V-894 „Dėl sveikatos specialistų spaudų ir licencijų, asmens sveikatos priežiūros, odontologinės priežiūros (pagalbos) įstaigų licencijų, vaistinių bei didmeninio platinimo įmonių farmacinės veiklos licencijų, vaistininko padėjėjų (farmakotechnikų) registravimo duomenų tvarkymo“;</w:t>
                </w:r>
              </w:p>
              <w:p w14:paraId="2210BEB8" w14:textId="487C7872">
                <w:pPr>
                  <w:spacing w:line="276" w:lineRule="atLeast"/>
                  <w:ind w:right="-1" w:firstLine="174"/>
                  <w:jc w:val="both"/>
                  <w:rPr>
                    <w:color w:val="000000"/>
                    <w:szCs w:val="24"/>
                  </w:rPr>
                </w:pPr>
                <w:r>
                  <w:rPr>
                    <w:color w:val="000000"/>
                    <w:szCs w:val="24"/>
                  </w:rPr>
                  <w:t>1.2.43. Lietuvos Respublikos sveikatos apsaugos ministro 2011 m. sausio 27 d. įsakymas Nr. V-76 „Dėl licencijų verstis veikla, susijusia su II ir III sąrašų narkotinėmis ir psichotropinėmis medžiagomis arba III sąrašo psichotropinėmis medžiagomis, paraiškos šioms licencijoms gauti, patikslinti ir pakeisti bei leidimų narkotinių / psichotropinių vaistų ir vaistinių medžiagų importui / eksportui formų patvirtinimo“;</w:t>
                </w:r>
              </w:p>
              <w:p w14:paraId="65747C3E" w14:textId="16D55E21">
                <w:pPr>
                  <w:spacing w:line="276" w:lineRule="atLeast"/>
                  <w:ind w:right="-1" w:firstLine="174"/>
                  <w:jc w:val="both"/>
                  <w:rPr>
                    <w:color w:val="000000"/>
                    <w:szCs w:val="24"/>
                  </w:rPr>
                </w:pPr>
                <w:r>
                  <w:rPr>
                    <w:color w:val="000000"/>
                    <w:szCs w:val="24"/>
                  </w:rPr>
                  <w:t>1.2.44. Lietuvos Respublikos sveikatos apsaugos ministro 2013 m. vasario 20 d. įsakymas Nr. V-185 „Dėl Sveikatos priežiūros ar farmacijos specialisto pranešimo apie įtariamą nepageidaujamą reakciją (ĮNR) pateikimo tvarkos aprašo, Sveikatos priežiūros ar farmacijos specialisto pranešimo apie įtariamą nepageidaujamą reakciją (ĮNR) formos ir Paciento pranešimo apie įtariamą nepageidaujamą reakciją (ĮNR) formos patvirtinimo“;</w:t>
                </w:r>
              </w:p>
              <w:p w14:paraId="6EC0E7A5" w14:textId="25545164">
                <w:pPr>
                  <w:spacing w:line="276" w:lineRule="atLeast"/>
                  <w:ind w:right="-1" w:firstLine="174"/>
                  <w:jc w:val="both"/>
                  <w:rPr>
                    <w:color w:val="000000"/>
                    <w:szCs w:val="24"/>
                  </w:rPr>
                </w:pPr>
                <w:r>
                  <w:rPr>
                    <w:color w:val="000000"/>
                    <w:szCs w:val="24"/>
                  </w:rPr>
                  <w:t>1.2.45. Lietuvos Respublikos sveikatos apsaugos ministro 2013 m. balandžio 11 d. įsakymas Nr. V-367 „Dėl Pritarimo atlikti poregistracinį vaistinio preparato saugumo tyrimą išdavimo tvarkos aprašo, Paraiškos gauti pritarimą atlikti poregistracinį vaistinio preparato saugumo tyrimą formos, Pranešimų apie įtariamas nepageidaujamas reakcijas siuntimo į „Eudravigilance“ duomenų bazę ir vaistinių preparatų, įregistruotų iki 2012 m. liepos 21 d. arba įregistruotų tik Lietuvos Respublikoje, periodiškai atnaujinamų saugumo protokolų teikimo Europos vaistų agentūrai tvarkos aprašo, Valstybinės vaistų kontrolės tarnybos prie Lietuvos Respublikos sveikatos apsaugos ministerijos interneto svetainėje skelbtinos informacijos, susijusios su farmakologiniu budrumu, sąrašo patvirtinimo“;</w:t>
                </w:r>
              </w:p>
              <w:p w14:paraId="68977384" w14:textId="1288CE8A">
                <w:pPr>
                  <w:spacing w:line="276" w:lineRule="atLeast"/>
                  <w:ind w:right="-1" w:firstLine="174"/>
                  <w:jc w:val="both"/>
                  <w:rPr>
                    <w:color w:val="000000"/>
                    <w:szCs w:val="24"/>
                  </w:rPr>
                </w:pPr>
                <w:r>
                  <w:rPr>
                    <w:color w:val="000000"/>
                    <w:szCs w:val="24"/>
                  </w:rPr>
                  <w:t>1.2.46. Lietuvos Respublikos sveikatos apsaugos ministro 2013 m. rugpjūčio 27 d. įsakymas Nr. V-781 „Dėl informacijos apie registruotus veikliųjų medžiagų gamintojus, importuotojus ir platintojus skelbimo Valstybinės vaistų kontrolės tarnybos prie Lietuvos Respublikos sveikatos apsaugos ministerijos interneto svetainėje ir prašymo įrašyti asmenį į Lietuvos Respublikos registruotų veikliųjų medžiagų gamintojų, importuotojų ir platintojų sąrašą formos patvirtinimo“;</w:t>
                </w:r>
              </w:p>
              <w:p w14:paraId="0A1D850E" w14:textId="701E7B47">
                <w:pPr>
                  <w:spacing w:line="276" w:lineRule="atLeast"/>
                  <w:ind w:right="-1" w:firstLine="174"/>
                  <w:jc w:val="both"/>
                  <w:rPr>
                    <w:color w:val="000000"/>
                    <w:szCs w:val="24"/>
                  </w:rPr>
                </w:pPr>
                <w:r>
                  <w:rPr>
                    <w:color w:val="000000"/>
                    <w:szCs w:val="24"/>
                  </w:rPr>
                  <w:t>1.2.47. Lietuvos Respublikos sveikatos apsaugos ministro 2014 m. balandžio 25 d. įsakymas Nr. V-518 „Dėl Gamybos licencijos turėtojų ir veikliųjų medžiagų gamintojų atitikties geros gamybos praktikos reikalavimams patikrinimų tvarkos aprašo ir Geros gamybos praktikos pažymėjimų išdavimo tvarkos aprašo patvirtinimo“;</w:t>
                </w:r>
              </w:p>
              <w:p w14:paraId="233D5379" w14:textId="49E6DEFC">
                <w:pPr>
                  <w:spacing w:line="276" w:lineRule="atLeast"/>
                  <w:ind w:right="-1" w:firstLine="174"/>
                  <w:jc w:val="both"/>
                  <w:rPr>
                    <w:color w:val="000000"/>
                    <w:szCs w:val="24"/>
                  </w:rPr>
                </w:pPr>
                <w:r>
                  <w:rPr>
                    <w:color w:val="000000"/>
                    <w:szCs w:val="24"/>
                  </w:rPr>
                  <w:t>1.2.48. Lietuvos Respublikos sveikatos apsaugos ministro 2014 m. gegužės 5 d. įsakymas Nr. V-524 „Dėl farmacinės veiklos vykdymo pagal vaistinių preparatų gerą platinimo praktiką“;</w:t>
                </w:r>
              </w:p>
              <w:p w14:paraId="2A000A17" w14:textId="2568409A">
                <w:pPr>
                  <w:spacing w:line="276" w:lineRule="atLeast"/>
                  <w:ind w:right="-1" w:firstLine="174"/>
                  <w:jc w:val="both"/>
                  <w:rPr>
                    <w:color w:val="000000"/>
                    <w:szCs w:val="24"/>
                  </w:rPr>
                </w:pPr>
                <w:r>
                  <w:rPr>
                    <w:color w:val="000000"/>
                    <w:szCs w:val="24"/>
                  </w:rPr>
                  <w:t>1.2.49. Lietuvos Respublikos sveikatos apsaugos ministro 2014 m. liepos 2 d. įsakymas Nr. V-753 „Dėl Veterinarijos tikslams naudojamų narkotinių ir psichotropinių vaistinių preparatų skyrimo, laikymo, atsargų dydžio nustatymo bei apskaitos tvarkos aprašo patvirtinimo“;</w:t>
                </w:r>
              </w:p>
              <w:p w14:paraId="6E500657" w14:textId="402FC257">
                <w:pPr>
                  <w:spacing w:line="276" w:lineRule="atLeast"/>
                  <w:ind w:right="-1" w:firstLine="174"/>
                  <w:jc w:val="both"/>
                  <w:rPr>
                    <w:color w:val="000000"/>
                    <w:szCs w:val="24"/>
                  </w:rPr>
                </w:pPr>
                <w:r>
                  <w:rPr>
                    <w:color w:val="000000"/>
                    <w:szCs w:val="24"/>
                  </w:rPr>
                  <w:t>1.2.50. Lietuvos Respublikos sveikatos apsaugos ministro 2014 m. liepos 3 d. įsakymas Nr. V-762 „Dėl Didmeninio platinimo licencijos turėtojų ir veikliųjų medžiagų platintojų ir importuotojų atitikties geros platinimo praktikos reikalavimams patikrinimų tvarkos aprašo ir Geros platinimo praktikos pažymėjimų išdavimo tvarkos aprašo patvirtinimo“;</w:t>
                </w:r>
              </w:p>
              <w:p w14:paraId="3BC920C3" w14:textId="6263C607">
                <w:pPr>
                  <w:spacing w:line="276" w:lineRule="atLeast"/>
                  <w:ind w:right="-1" w:firstLine="174"/>
                  <w:jc w:val="both"/>
                  <w:rPr>
                    <w:color w:val="000000"/>
                    <w:szCs w:val="24"/>
                  </w:rPr>
                </w:pPr>
                <w:r>
                  <w:rPr>
                    <w:color w:val="000000"/>
                    <w:szCs w:val="24"/>
                  </w:rPr>
                  <w:t>1.2.51. Lietuvos Respublikos sveikatos apsaugos ministro 2020 m. birželio 23 d. įsakymas Nr. V-1537 „Dėl Informacijos apie perleistų verčių gavėjams perleistas vertes, juridinių asmenų duomenų bei sveikatos priežiūros ir (ar) farmacijos specialistų asmens duomenų teikimo Valstybinei vaistų kontrolės tarnybai prie Lietuvos Respublikos sveikatos apsaugos ministerijos ir informacijos apie perleistas vertes bei sveikatos priežiūros ir (ar) farmacijos specialistų asmens duomenų skelbimo tvarkos aprašo patvirtinimo“;</w:t>
                </w:r>
              </w:p>
              <w:p w14:paraId="2D7AEAD9" w14:textId="28B0E2B2">
                <w:pPr>
                  <w:spacing w:line="276" w:lineRule="atLeast"/>
                  <w:ind w:right="-1" w:firstLine="174"/>
                  <w:jc w:val="both"/>
                  <w:rPr>
                    <w:color w:val="000000"/>
                    <w:szCs w:val="24"/>
                  </w:rPr>
                </w:pPr>
                <w:r>
                  <w:rPr>
                    <w:color w:val="000000"/>
                    <w:szCs w:val="24"/>
                  </w:rPr>
                  <w:t>1.2.52. Lietuvos Respublikos sveikatos apsaugos ministro 2015 m. gruodžio 21 d. įsakymas Nr. V-1491 „Dėl Siūlymo parduoti vaistinius preparatus ir kompensuojamąsias medicinos pagalbos priemones gyventojams nuotoliniu būdu tvarkos aprašo patvirtinimo“;</w:t>
                </w:r>
              </w:p>
              <w:p w14:paraId="73EC4B9F" w14:textId="18FB1CFB">
                <w:pPr>
                  <w:spacing w:line="276" w:lineRule="atLeast"/>
                  <w:ind w:right="-1" w:firstLine="174"/>
                  <w:jc w:val="both"/>
                  <w:rPr>
                    <w:color w:val="000000"/>
                    <w:szCs w:val="24"/>
                  </w:rPr>
                </w:pPr>
                <w:r>
                  <w:rPr>
                    <w:color w:val="000000"/>
                    <w:szCs w:val="24"/>
                  </w:rPr>
                  <w:t>1.2.53. Valstybinės vaistų kontrolės tarnybos prie Lietuvos Respublikos sveikatos apsaugos ministerijos viršininko 2006 m. rugpjūčio 29 d. įsakymas Nr. 1A-479 „Dėl formų patvirtinimo“;</w:t>
                </w:r>
              </w:p>
              <w:p w14:paraId="3165AEAB" w14:textId="24F58C93">
                <w:pPr>
                  <w:spacing w:line="276" w:lineRule="atLeast"/>
                  <w:ind w:right="-1" w:firstLine="174"/>
                  <w:jc w:val="both"/>
                  <w:rPr>
                    <w:color w:val="000000"/>
                    <w:szCs w:val="24"/>
                  </w:rPr>
                </w:pPr>
                <w:r>
                  <w:rPr>
                    <w:color w:val="000000"/>
                    <w:szCs w:val="24"/>
                  </w:rPr>
                  <w:t>1.2.54. Valstybinės vaistų kontrolės tarnybos prie Lietuvos Respublikos sveikatos apsaugos ministerijos viršininko 2022 m. birželio 21 d. įsakymas Nr. (1.72E)1A-669 „Dėl Reklaminių renginių patikrinimų tvarkos aprašo patvirtinimo“;</w:t>
                </w:r>
              </w:p>
              <w:p w14:paraId="07A9DC3F" w14:textId="5A74691C">
                <w:pPr>
                  <w:spacing w:line="276" w:lineRule="atLeast"/>
                  <w:ind w:right="-1" w:firstLine="174"/>
                  <w:jc w:val="both"/>
                  <w:rPr>
                    <w:color w:val="000000"/>
                    <w:szCs w:val="24"/>
                  </w:rPr>
                </w:pPr>
                <w:r>
                  <w:rPr>
                    <w:color w:val="000000"/>
                    <w:szCs w:val="24"/>
                  </w:rPr>
                  <w:t>1.2.55. Valstybinės vaistų kontrolės tarnybos prie Lietuvos Respublikos sveikatos apsaugos ministerijos viršininko 2009 m. birželio 25 d. įsakymas Nr. 1A-618 „Dėl Vaistinių preparatų registravimo numerių rašymo tvarkos patvirtinimo“;</w:t>
                </w:r>
              </w:p>
              <w:p w14:paraId="13DDE132" w14:textId="6243C83E">
                <w:pPr>
                  <w:spacing w:line="276" w:lineRule="atLeast"/>
                  <w:ind w:right="-1" w:firstLine="174"/>
                  <w:jc w:val="both"/>
                  <w:rPr>
                    <w:color w:val="000000"/>
                    <w:szCs w:val="24"/>
                  </w:rPr>
                </w:pPr>
                <w:r>
                  <w:rPr>
                    <w:color w:val="000000"/>
                    <w:szCs w:val="24"/>
                  </w:rPr>
                  <w:t>1.2.56. Valstybinės vaistų kontrolės tarnybos prie Lietuvos Respublikos sveikatos apsaugos ministerijos viršininko 2010 m. gruodžio 7 d. įsakymas Nr. 1A-1323 „Dėl Farmakologinio budrumo patikrinimų taisyklių patvirtinimo“;</w:t>
                </w:r>
              </w:p>
              <w:p w14:paraId="0F9785FC" w14:textId="25F356BC">
                <w:pPr>
                  <w:spacing w:line="276" w:lineRule="atLeast"/>
                  <w:ind w:right="-1" w:firstLine="174"/>
                  <w:jc w:val="both"/>
                  <w:rPr>
                    <w:color w:val="000000"/>
                    <w:szCs w:val="24"/>
                  </w:rPr>
                </w:pPr>
                <w:r>
                  <w:rPr>
                    <w:color w:val="000000"/>
                    <w:szCs w:val="24"/>
                  </w:rPr>
                  <w:t>1.2.57. Lietuvos Respublikos sveikatos apsaugos ministro 2022 m. liepos 4 d. įsakymas Nr. V-1195 „Dėl Klinikinių vaistinių preparatų tyrimų patikrinimų tvarkos aprašo ir Geros klinikinės praktikos patikrinimo pažymos formos patvirtinimo“;</w:t>
                </w:r>
              </w:p>
              <w:p w14:paraId="1534D30B" w14:textId="4681CB4C">
                <w:pPr>
                  <w:spacing w:line="276" w:lineRule="atLeast"/>
                  <w:ind w:right="-1" w:firstLine="174"/>
                  <w:jc w:val="both"/>
                  <w:rPr>
                    <w:color w:val="000000"/>
                    <w:szCs w:val="24"/>
                  </w:rPr>
                </w:pPr>
                <w:r>
                  <w:rPr>
                    <w:color w:val="000000"/>
                    <w:szCs w:val="24"/>
                  </w:rPr>
                  <w:t>1.2.58. Valstybinės vaistų kontrolės tarnybos prie Lietuvos Respublikos sveikatos apsaugos ministerijos viršininko 2011 m. vasario 23 d. įsakymas Nr. 1A-159 „Dėl farmacinių formų, talpyklių, uždorių ir vartojimo įtaisų, sudėtinių farmacinių formų bei vartojimo būdų ir metodų standartinių terminų sąrašų patvirtinimo“;</w:t>
                </w:r>
              </w:p>
              <w:p w14:paraId="619069AE" w14:textId="05753045">
                <w:pPr>
                  <w:spacing w:line="276" w:lineRule="atLeast"/>
                  <w:ind w:right="-1" w:firstLine="174"/>
                  <w:jc w:val="both"/>
                  <w:rPr>
                    <w:color w:val="000000"/>
                    <w:szCs w:val="24"/>
                  </w:rPr>
                </w:pPr>
                <w:r>
                  <w:rPr>
                    <w:color w:val="000000"/>
                    <w:szCs w:val="24"/>
                  </w:rPr>
                  <w:t>1.2.59. Valstybinės vaistų kontrolės tarnybos prie Lietuvos Respublikos sveikatos apsaugos ministerijos viršininko 2011 m. kovo 24 d. įsakymas Nr. 1A-233 „Dėl vaistinių preparatų pakuočių išpardavimo“;</w:t>
                </w:r>
              </w:p>
              <w:p w14:paraId="6E16CBEF" w14:textId="2B831DD4">
                <w:pPr>
                  <w:spacing w:line="276" w:lineRule="atLeast"/>
                  <w:ind w:right="-1" w:firstLine="174"/>
                  <w:jc w:val="both"/>
                  <w:rPr>
                    <w:color w:val="000000"/>
                    <w:szCs w:val="24"/>
                  </w:rPr>
                </w:pPr>
                <w:r>
                  <w:rPr>
                    <w:color w:val="000000"/>
                    <w:szCs w:val="24"/>
                  </w:rPr>
                  <w:t>1.2.60. Valstybinės vaistų kontrolės tarnybos prie Lietuvos Respublikos sveikatos apsaugos ministerijos viršininko 2011 m. gegužės 6 d. įsakymas Nr. 1A-429 „Dėl Paraiškos įrašyti interneto svetainę į Lietuvos Respublikos sveikatos apsaugos ministro tvirtinamą Interneto svetainių, kuriose gali būti reklamuojami receptiniai vaistiniai preparatai, sąrašą formos patvirtinimo“;</w:t>
                </w:r>
              </w:p>
              <w:p w14:paraId="7C7EDCEE" w14:textId="32BF81F9">
                <w:pPr>
                  <w:spacing w:line="276" w:lineRule="atLeast"/>
                  <w:ind w:right="-1" w:firstLine="174"/>
                  <w:jc w:val="both"/>
                  <w:rPr>
                    <w:color w:val="000000"/>
                    <w:szCs w:val="24"/>
                  </w:rPr>
                </w:pPr>
                <w:r>
                  <w:rPr>
                    <w:color w:val="000000"/>
                    <w:szCs w:val="24"/>
                  </w:rPr>
                  <w:t>1.2.61. Valstybinės vaistų kontrolės tarnybos prie Lietuvos Respublikos sveikatos apsaugos ministerijos viršininko 2011 m. birželio 28 d. įsakymas Nr. 1A-608 „Dėl vaistinio preparato sertifikato ir Paraiškos gauti vaistinio preparato sertifikatą formų patvirtinimo“;</w:t>
                </w:r>
              </w:p>
              <w:p w14:paraId="0B653457" w14:textId="77777777">
                <w:pPr>
                  <w:spacing w:line="276" w:lineRule="atLeast"/>
                  <w:ind w:right="-1" w:firstLine="174"/>
                  <w:jc w:val="both"/>
                  <w:rPr>
                    <w:color w:val="000000"/>
                    <w:szCs w:val="24"/>
                  </w:rPr>
                </w:pPr>
                <w:r>
                  <w:rPr>
                    <w:color w:val="000000"/>
                    <w:szCs w:val="24"/>
                  </w:rPr>
                  <w:t>1.2.62. Valstybinės vaistų kontrolės tarnybos prie Lietuvos Respublikos sveikatos apsaugos ministerijos viršininko 2011 m. spalio 18 d. įsakymas Nr. 1A-1019 „Dėl II sąrašo narkotinių ir (ar) psichotropinių medžiagų bei vaistinių preparatų, kurių sudėtyje yra šių medžiagų, apyvartos ataskaitų teikimo ir formų patvirtinimo“;</w:t>
                </w:r>
              </w:p>
              <w:p w14:paraId="1804148B" w14:textId="77777777">
                <w:pPr>
                  <w:spacing w:line="276" w:lineRule="atLeast"/>
                  <w:ind w:right="-1" w:firstLine="174"/>
                  <w:jc w:val="both"/>
                  <w:rPr>
                    <w:color w:val="000000"/>
                    <w:szCs w:val="24"/>
                  </w:rPr>
                </w:pPr>
                <w:r>
                  <w:rPr>
                    <w:color w:val="000000"/>
                    <w:szCs w:val="24"/>
                  </w:rPr>
                  <w:t>1.2.63. Valstybinės vaistų kontrolės tarnybos prie Lietuvos Respublikos sveikatos apsaugos ministerijos viršininko 2012 m. sausio 12 d. įsakymas Nr. 1A-49 „Dėl vaistinių ir jų filialų patikrinimų taisyklių ir Geros vaistinių praktikos tikrinimo pažymos, Vaistinės tikslinio tikrinimo pažymos formų patvirtinimo“;</w:t>
                </w:r>
              </w:p>
              <w:p w14:paraId="42F7D8CC" w14:textId="2D8E32CC">
                <w:pPr>
                  <w:spacing w:line="276" w:lineRule="atLeast"/>
                  <w:ind w:right="-1" w:firstLine="174"/>
                  <w:jc w:val="both"/>
                  <w:rPr>
                    <w:color w:val="000000"/>
                    <w:szCs w:val="24"/>
                  </w:rPr>
                </w:pPr>
                <w:r>
                  <w:rPr>
                    <w:color w:val="000000"/>
                    <w:szCs w:val="24"/>
                  </w:rPr>
                  <w:t>1.2.64. Valstybinės vaistų kontrolės tarnybos prie Lietuvos Respublikos sveikatos apsaugos ministerijos viršininko 2012 m. spalio 1 d. įsakymas Nr. (1.4)1A-989 „Dėl asmens sveikatos priežiūros įstaigų patikrinimų dėl vaistinių preparatų laikymo ir įtraukimo į apskaitą reikalavimų vykdymo taisyklių ir asmens sveikatos priežiūros veiklos, susijusios su vaistinių preparatų laikymu ir įtraukimu į apskaitą, bendrojo tikrinimo, asmens sveikatos priežiūros įstaigos veiklos, susijusios su vaistinių preparatų laikymu ir įtraukimu į apskaitą, tikslinio tikrinimo pažymų formų patvirtinimo“;</w:t>
                </w:r>
              </w:p>
              <w:p w14:paraId="036F08B2" w14:textId="77777777">
                <w:pPr>
                  <w:spacing w:line="276" w:lineRule="atLeast"/>
                  <w:ind w:right="-1" w:firstLine="174"/>
                  <w:jc w:val="both"/>
                  <w:rPr>
                    <w:color w:val="000000"/>
                    <w:szCs w:val="24"/>
                  </w:rPr>
                </w:pPr>
                <w:r>
                  <w:rPr>
                    <w:color w:val="000000"/>
                    <w:szCs w:val="24"/>
                  </w:rPr>
                  <w:t>1.2.65. Valstybinės vaistų kontrolės tarnybos prie Lietuvos Respublikos sveikatos apsaugos ministerijos viršininko 2012 m. spalio 16 d. įsakymas Nr. (1.4)1A-1046 „Dėl duomenų ir informacijos apie vaistinių preparatų tiekimą Lietuvos Respublikos rinkai pateikimo Valstybinei vaistų kontrolės tarnybai prie Lietuvos Respublikos sveikatos apsaugos ministerijos tvarkos aprašo patvirtinimo“;</w:t>
                </w:r>
              </w:p>
              <w:p w14:paraId="3670BB98" w14:textId="77777777">
                <w:pPr>
                  <w:spacing w:line="276" w:lineRule="atLeast"/>
                  <w:ind w:right="-1" w:firstLine="174"/>
                  <w:jc w:val="both"/>
                  <w:rPr>
                    <w:color w:val="000000"/>
                    <w:szCs w:val="24"/>
                  </w:rPr>
                </w:pPr>
                <w:r>
                  <w:rPr>
                    <w:color w:val="000000"/>
                    <w:szCs w:val="24"/>
                  </w:rPr>
                  <w:t>1.2.66. Valstybinės vaistų kontrolės tarnybos prie Lietuvos Respublikos sveikatos apsaugos ministerijos viršininko 2014 m. vasario 4 d. įsakymas Nr. (1.4)1A-107 „Dėl reikalavimų vaistinio preparato registruotojo farmakologinio budrumo sistemai aprašo patvirtinimo“;</w:t>
                </w:r>
              </w:p>
              <w:p w14:paraId="00A76D1A" w14:textId="77777777">
                <w:pPr>
                  <w:spacing w:line="276" w:lineRule="atLeast"/>
                  <w:ind w:right="-1" w:firstLine="174"/>
                  <w:jc w:val="both"/>
                  <w:rPr>
                    <w:color w:val="000000"/>
                    <w:szCs w:val="24"/>
                  </w:rPr>
                </w:pPr>
                <w:r>
                  <w:rPr>
                    <w:color w:val="000000"/>
                    <w:szCs w:val="24"/>
                  </w:rPr>
                  <w:t xml:space="preserve">1.2.67. Valstybinės vaistų kontrolės tarnybos prie Lietuvos Respublikos sveikatos apsaugos ministerijos viršininko 2015 m. vasario 27 d. įsakymas Nr. (1.4)1A-289 „Dėl 2006 m. gegužės 17 d. Europos Parlamento ir Tarnybos reglamento </w:t>
                </w:r>
                <w:r>
                  <w:rPr>
                    <w:color w:val="0563C1"/>
                    <w:szCs w:val="24"/>
                    <w:u w:val="single"/>
                  </w:rPr>
                  <w:t>(EB) Nr. 816/2006</w:t>
                </w:r>
                <w:r>
                  <w:rPr>
                    <w:color w:val="000000"/>
                    <w:szCs w:val="24"/>
                  </w:rPr>
                  <w:t xml:space="preserve"> dėl patentų, susijusių su farmacijos produktų, eksportuojamų į šalis, turinčias problemų visuomenės sveikatos srityje, gamyba, priverstinio licencijavimo įgyvendinimo taisyklių patvirtinimo“;</w:t>
                </w:r>
              </w:p>
              <w:p w14:paraId="25B88739" w14:textId="2E01C9FB">
                <w:pPr>
                  <w:spacing w:line="276" w:lineRule="atLeast"/>
                  <w:ind w:right="-1" w:firstLine="174"/>
                  <w:jc w:val="both"/>
                  <w:rPr>
                    <w:color w:val="000000"/>
                    <w:szCs w:val="24"/>
                  </w:rPr>
                </w:pPr>
                <w:r>
                  <w:rPr>
                    <w:color w:val="000000"/>
                    <w:szCs w:val="24"/>
                  </w:rPr>
                  <w:t>1.2.68. Valstybinės vaistų kontrolės tarnybos prie Lietuvos Respublikos sveikatos apsaugos ministerijos viršininko 2015 m. liepos 2 d. įsakymas Nr. (1.72E)1A-749 „Dėl Paraiškos registruoti lygiagrečiai importuojamą vaistinį preparatą bei Paraiškos pakeisti lygiagretaus importo leidimo sąlygas formų patvirtinimo“;</w:t>
                </w:r>
              </w:p>
              <w:p w14:paraId="12A8D0A5" w14:textId="0A5C9D0C">
                <w:pPr>
                  <w:spacing w:line="276" w:lineRule="atLeast"/>
                  <w:ind w:right="-1" w:firstLine="174"/>
                  <w:jc w:val="both"/>
                  <w:rPr>
                    <w:color w:val="000000"/>
                    <w:szCs w:val="24"/>
                  </w:rPr>
                </w:pPr>
                <w:r>
                  <w:rPr>
                    <w:color w:val="000000"/>
                    <w:szCs w:val="24"/>
                  </w:rPr>
                  <w:t>1.2.69. Valstybinės vaistų kontrolės tarnybos prie Lietuvos Respublikos sveikatos apsaugos ministerijos viršininko 2015 m. liepos 3 d. įsakymas Nr. (1.72E)1A-755 „Dėl paraiškų registruoti vaistinį preparatą, perregistruoti vaistinį preparatą, pakeisti registracijos pažymėjimo sąlygas, teisės į vaistinio preparato registraciją perleidimo, nereglamentiniam pakuotės ir (ar) pakuotės lapelio keitimui, vaistinio preparato klasifikacijos keitimui ir registracijos pažymėjimo priedų formų bei standartinius teiginius, MedDRA terminus ir laikymo sąlygų apibūdinimus, kurie turi būti vartojami vaistinio preparato charakteristikų santraukoje, patvirtinimo“.</w:t>
                </w:r>
              </w:p>
              <w:p w14:paraId="4876D67D" w14:textId="0F293185">
                <w:pPr>
                  <w:spacing w:line="276" w:lineRule="atLeast"/>
                  <w:ind w:right="-1"/>
                  <w:jc w:val="both"/>
                  <w:rPr>
                    <w:color w:val="000000"/>
                    <w:szCs w:val="24"/>
                  </w:rPr>
                </w:pPr>
                <w:r>
                  <w:t>2. Apraše vartojamos sąvokos suprantamos taip, kaip jos apibrėžtos Aprašo 1 punkte nurodytuose teisės aktuose.</w:t>
                </w:r>
              </w:p>
            </w:tc>
          </w:tr>
          <w:tr w14:paraId="36A8B936" w14:textId="77777777">
            <w:tc>
              <w:tcPr>
                <w:tcW w:w="15021" w:type="dxa"/>
                <w:gridSpan w:val="5"/>
              </w:tcPr>
              <w:p w14:paraId="72EAD98C" w14:textId="77777777">
                <w:pPr>
                  <w:rPr>
                    <w:b/>
                    <w:szCs w:val="24"/>
                  </w:rPr>
                </w:pPr>
                <w:r>
                  <w:rPr>
                    <w:b/>
                    <w:szCs w:val="24"/>
                  </w:rPr>
                  <w:t>2. Reikalavimai projektams</w:t>
                </w:r>
              </w:p>
            </w:tc>
          </w:tr>
          <w:tr w14:paraId="77814FE2" w14:textId="77777777">
            <w:tc>
              <w:tcPr>
                <w:tcW w:w="15021" w:type="dxa"/>
                <w:gridSpan w:val="5"/>
              </w:tcPr>
              <w:p w14:paraId="7E9CF09E" w14:textId="3A5D6953">
                <w:pPr>
                  <w:tabs>
                    <w:tab w:val="left" w:pos="454"/>
                  </w:tabs>
                  <w:ind w:firstLine="174"/>
                  <w:jc w:val="both"/>
                  <w:rPr>
                    <w:color w:val="000000"/>
                    <w:szCs w:val="24"/>
                    <w:lang w:eastAsia="lt-LT"/>
                  </w:rPr>
                </w:pPr>
                <w:r>
                  <w:rPr>
                    <w:color w:val="000000"/>
                    <w:szCs w:val="24"/>
                    <w:lang w:eastAsia="lt-LT"/>
                  </w:rPr>
                  <w:t xml:space="preserve">2.1. Galimas pareiškėjas – Valstybinė vaistų kontrolės tarnyba prie Lietuvos Respublikos sveikatos apsaugos ministerijos (toliau  – VVKT).</w:t>
                </w:r>
              </w:p>
              <w:p w14:paraId="617DB14A" w14:textId="3A2E9C10">
                <w:pPr>
                  <w:tabs>
                    <w:tab w:val="left" w:pos="454"/>
                  </w:tabs>
                  <w:ind w:firstLine="174"/>
                  <w:jc w:val="both"/>
                  <w:rPr>
                    <w:color w:val="000000"/>
                    <w:szCs w:val="24"/>
                    <w:lang w:eastAsia="lt-LT"/>
                  </w:rPr>
                </w:pPr>
                <w:r>
                  <w:rPr>
                    <w:color w:val="000000"/>
                    <w:szCs w:val="24"/>
                    <w:lang w:eastAsia="lt-LT"/>
                  </w:rPr>
                  <w:t xml:space="preserve">2.2. </w:t>
                </w:r>
                <w:r>
                  <w:rPr>
                    <w:bCs/>
                    <w:iCs/>
                    <w:szCs w:val="24"/>
                  </w:rPr>
                  <w:t>Partneriai nėra galimi</w:t>
                </w:r>
                <w:r>
                  <w:rPr>
                    <w:szCs w:val="24"/>
                    <w:lang w:eastAsia="lt-LT"/>
                  </w:rPr>
                  <w:t>.</w:t>
                </w:r>
              </w:p>
              <w:p w14:paraId="27F1966D" w14:textId="77777777">
                <w:pPr>
                  <w:tabs>
                    <w:tab w:val="left" w:pos="426"/>
                  </w:tabs>
                  <w:ind w:firstLine="174"/>
                  <w:jc w:val="both"/>
                  <w:rPr>
                    <w:color w:val="000000"/>
                    <w:szCs w:val="24"/>
                  </w:rPr>
                </w:pPr>
                <w:r>
                  <w:rPr>
                    <w:color w:val="000000"/>
                    <w:szCs w:val="24"/>
                    <w:lang w:eastAsia="lt-LT"/>
                  </w:rPr>
                  <w:t xml:space="preserve">2.3. </w:t>
                </w:r>
                <w:r>
                  <w:rPr>
                    <w:color w:val="000000"/>
                    <w:szCs w:val="24"/>
                  </w:rPr>
                  <w:t>Projektui pagal šio Aprašo veiklą įgyvendinti skiriama iki 3 305 659,00 Eur (trijų milijonų trijų šimtų penkių tūkstančių šešių šimtų penkiasdešimt devynių eurų) lėšų, iš kurių:</w:t>
                </w:r>
              </w:p>
              <w:p w14:paraId="7A2496E1" w14:textId="77777777">
                <w:pPr>
                  <w:tabs>
                    <w:tab w:val="left" w:pos="426"/>
                  </w:tabs>
                  <w:ind w:firstLine="174"/>
                  <w:jc w:val="both"/>
                  <w:rPr>
                    <w:color w:val="000000"/>
                    <w:szCs w:val="24"/>
                  </w:rPr>
                </w:pPr>
                <w:r>
                  <w:rPr>
                    <w:color w:val="000000"/>
                    <w:szCs w:val="24"/>
                  </w:rPr>
                  <w:t>2.3.1. iki 2 611 470,61</w:t>
                </w:r>
                <w:r>
                  <w:rPr>
                    <w:b/>
                    <w:bCs/>
                    <w:color w:val="000000"/>
                    <w:szCs w:val="24"/>
                  </w:rPr>
                  <w:t xml:space="preserve"> </w:t>
                </w:r>
                <w:r>
                  <w:rPr>
                    <w:color w:val="000000"/>
                    <w:szCs w:val="24"/>
                  </w:rPr>
                  <w:t xml:space="preserve">Eur </w:t>
                </w:r>
                <w:r>
                  <w:rPr>
                    <w:szCs w:val="24"/>
                  </w:rPr>
                  <w:t xml:space="preserve">(dviejų milijonų šešių šimtų vienuolikos tūkstančių keturių šimtų septyniasdešimt eurų 61 ct) </w:t>
                </w:r>
                <w:r>
                  <w:rPr>
                    <w:color w:val="000000"/>
                    <w:szCs w:val="24"/>
                  </w:rPr>
                  <w:t>Europos Sąjungos (toliau – ES) Ekonomikos gaivinimo ir atsparumo didinimo priemonės lėšų;</w:t>
                </w:r>
              </w:p>
              <w:p w14:paraId="68BD3A49" w14:textId="77777777">
                <w:pPr>
                  <w:tabs>
                    <w:tab w:val="left" w:pos="426"/>
                  </w:tabs>
                  <w:ind w:firstLine="174"/>
                  <w:jc w:val="both"/>
                  <w:rPr>
                    <w:bCs/>
                    <w:color w:val="000000"/>
                    <w:szCs w:val="24"/>
                  </w:rPr>
                </w:pPr>
                <w:r>
                  <w:rPr>
                    <w:color w:val="000000"/>
                    <w:szCs w:val="24"/>
                  </w:rPr>
                  <w:t xml:space="preserve">2.3.2.  </w:t>
                </w:r>
                <w:r>
                  <w:rPr>
                    <w:bCs/>
                    <w:sz w:val="22"/>
                    <w:szCs w:val="22"/>
                  </w:rPr>
                  <w:t xml:space="preserve">iki 694 188,39 Eur (šešių šimtų devyniasdešimt keturių tūkstančių vieno šimto aštuoniasdešimt aštuonių eurų 39 ct) </w:t>
                </w:r>
                <w:r>
                  <w:rPr>
                    <w:bCs/>
                    <w:color w:val="000000"/>
                    <w:szCs w:val="24"/>
                  </w:rPr>
                  <w:t xml:space="preserve">Lietuvos Respublikos valstybės biudžeto lėšų pridėtinės vertės mokesčiui (toliau </w:t>
                </w:r>
                <w:r>
                  <w:rPr>
                    <w:color w:val="000000"/>
                    <w:szCs w:val="24"/>
                    <w:lang w:eastAsia="lt-LT"/>
                  </w:rPr>
                  <w:t>–</w:t>
                </w:r>
                <w:r>
                  <w:rPr>
                    <w:bCs/>
                    <w:color w:val="000000"/>
                    <w:szCs w:val="24"/>
                  </w:rPr>
                  <w:t xml:space="preserve"> PVM) padengti.</w:t>
                </w:r>
              </w:p>
              <w:p w14:paraId="3E71E8CC" w14:textId="77777777">
                <w:pPr>
                  <w:ind w:left="454" w:hanging="280"/>
                  <w:rPr>
                    <w:color w:val="000000"/>
                    <w:szCs w:val="24"/>
                  </w:rPr>
                </w:pPr>
                <w:r>
                  <w:rPr>
                    <w:szCs w:val="24"/>
                  </w:rPr>
                  <w:t xml:space="preserve">2.4. Finansuojamos veiklos turi būti baigtos įgyvendinti </w:t>
                </w:r>
                <w:r>
                  <w:rPr>
                    <w:color w:val="000000"/>
                    <w:szCs w:val="24"/>
                  </w:rPr>
                  <w:t>iki 2025 metų gruodžio 31 d.</w:t>
                </w:r>
              </w:p>
              <w:p w14:paraId="32FCB1A0" w14:textId="769CBF53">
                <w:pPr>
                  <w:tabs>
                    <w:tab w:val="left" w:pos="459"/>
                  </w:tabs>
                  <w:ind w:firstLine="174"/>
                  <w:jc w:val="both"/>
                  <w:rPr>
                    <w:iCs/>
                    <w:szCs w:val="24"/>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color w:val="000000"/>
                    <w:szCs w:val="24"/>
                    <w:lang w:eastAsia="lt-LT"/>
                  </w:rPr>
                  <w:t xml:space="preserve">Numatoma poveiklė – </w:t>
                </w:r>
                <w:r>
                  <w:rPr>
                    <w:szCs w:val="24"/>
                  </w:rPr>
                  <w:t>vaistinių preparatų rinkos ir farmacinės veiklos kontrolės efektyvumo ir kokybės didinimas</w:t>
                </w:r>
                <w:r>
                  <w:rPr>
                    <w:iCs/>
                    <w:szCs w:val="24"/>
                  </w:rPr>
                  <w:t xml:space="preserve">.  </w:t>
                </w:r>
              </w:p>
              <w:p w14:paraId="233726F6" w14:textId="77777777">
                <w:pPr>
                  <w:tabs>
                    <w:tab w:val="left" w:pos="459"/>
                  </w:tabs>
                  <w:jc w:val="both"/>
                  <w:rPr>
                    <w:szCs w:val="24"/>
                    <w:lang w:eastAsia="lt-LT"/>
                  </w:rPr>
                </w:pPr>
                <w:r>
                  <w:rPr>
                    <w:szCs w:val="24"/>
                    <w:lang w:eastAsia="lt-LT"/>
                  </w:rPr>
                  <w:t xml:space="preserve">Finansuojama: </w:t>
                </w:r>
              </w:p>
              <w:p w14:paraId="15DE6B0F" w14:textId="77777777">
                <w:pPr>
                  <w:tabs>
                    <w:tab w:val="left" w:pos="459"/>
                  </w:tabs>
                  <w:ind w:firstLine="174"/>
                  <w:rPr>
                    <w:szCs w:val="24"/>
                  </w:rPr>
                </w:pPr>
                <w:r>
                  <w:rPr>
                    <w:szCs w:val="24"/>
                  </w:rPr>
                  <w:t>2.5.1. SPOR</w:t>
                </w:r>
                <w:r>
                  <w:rPr>
                    <w:szCs w:val="24"/>
                    <w:vertAlign w:val="superscript"/>
                  </w:rPr>
                  <w:footnoteReference w:id="4"/>
                </w:r>
                <w:r>
                  <w:rPr>
                    <w:szCs w:val="24"/>
                  </w:rPr>
                  <w:t xml:space="preserve"> klasifikatoriaus VVKT naudojamose informacinėse sistemose įdiegimas;</w:t>
                </w:r>
              </w:p>
              <w:p w14:paraId="10BDE110" w14:textId="77777777">
                <w:pPr>
                  <w:tabs>
                    <w:tab w:val="left" w:pos="459"/>
                  </w:tabs>
                  <w:ind w:firstLine="174"/>
                  <w:rPr>
                    <w:szCs w:val="24"/>
                  </w:rPr>
                </w:pPr>
                <w:r>
                  <w:rPr>
                    <w:szCs w:val="24"/>
                  </w:rPr>
                  <w:t>2.5.2. galimybės automatizuotai gauti vaistinių preparatų registracijos paraiškų duomenis kartu su tarptautinėmis duomenų bazėmis realizavimas;</w:t>
                </w:r>
              </w:p>
              <w:p w14:paraId="5F6FE8A5" w14:textId="77777777">
                <w:pPr>
                  <w:tabs>
                    <w:tab w:val="left" w:pos="459"/>
                  </w:tabs>
                  <w:ind w:firstLine="174"/>
                  <w:rPr>
                    <w:szCs w:val="24"/>
                  </w:rPr>
                </w:pPr>
                <w:r>
                  <w:rPr>
                    <w:szCs w:val="24"/>
                  </w:rPr>
                  <w:t>2.5.3. elektroninių priemonių vaistinių preparatų rinkos kontrolės ataskaitų teikimui ir duomenų tvarkymui bei apdorojimui sukūrimas;</w:t>
                </w:r>
              </w:p>
              <w:p w14:paraId="633CE6DE" w14:textId="77777777">
                <w:pPr>
                  <w:tabs>
                    <w:tab w:val="left" w:pos="459"/>
                  </w:tabs>
                  <w:ind w:firstLine="174"/>
                  <w:jc w:val="both"/>
                  <w:rPr>
                    <w:szCs w:val="24"/>
                  </w:rPr>
                </w:pPr>
                <w:r>
                  <w:rPr>
                    <w:szCs w:val="24"/>
                  </w:rPr>
                  <w:t>2.5.4. elektroninių priemonių, sudarančių galimybes gyventojams ir VVKT paslaugų gavėjams patogiai, efektyviai ir greitai gauti naujausią informaciją apie VVKT teikiamas paslaugas ir jų rezultatus sukūrimas;</w:t>
                </w:r>
              </w:p>
              <w:p w14:paraId="3271C630" w14:textId="77777777">
                <w:pPr>
                  <w:tabs>
                    <w:tab w:val="left" w:pos="459"/>
                  </w:tabs>
                  <w:ind w:firstLine="176"/>
                  <w:rPr>
                    <w:szCs w:val="24"/>
                  </w:rPr>
                </w:pPr>
                <w:r>
                  <w:rPr>
                    <w:szCs w:val="24"/>
                  </w:rPr>
                  <w:t>2.5.5. ūkio subjektų patikros procesų kompiuterizavimas;</w:t>
                </w:r>
              </w:p>
              <w:p w14:paraId="51CCFCB9" w14:textId="77777777">
                <w:pPr>
                  <w:tabs>
                    <w:tab w:val="left" w:pos="459"/>
                  </w:tabs>
                  <w:ind w:firstLine="176"/>
                  <w:rPr>
                    <w:szCs w:val="24"/>
                  </w:rPr>
                </w:pPr>
                <w:r>
                  <w:rPr>
                    <w:szCs w:val="24"/>
                  </w:rPr>
                  <w:t>2.5.6. galimybės gauti išsilavinimo ir asmens dokumentų duomenis automatizuotai sukūrimas;</w:t>
                </w:r>
              </w:p>
              <w:p w14:paraId="40082484" w14:textId="77777777">
                <w:pPr>
                  <w:tabs>
                    <w:tab w:val="left" w:pos="459"/>
                  </w:tabs>
                  <w:ind w:firstLine="176"/>
                  <w:jc w:val="both"/>
                  <w:rPr>
                    <w:szCs w:val="24"/>
                  </w:rPr>
                </w:pPr>
                <w:r>
                  <w:rPr>
                    <w:szCs w:val="24"/>
                  </w:rPr>
                  <w:t>2.5.7. funkcionalumų, reikalingų Elektroninės sveikatos paslaugų ir bendradarbiavimo infrastruktūros informacinės sistemos</w:t>
                </w:r>
                <w:r>
                  <w:rPr>
                    <w:b/>
                    <w:bCs/>
                    <w:szCs w:val="24"/>
                  </w:rPr>
                  <w:t> </w:t>
                </w:r>
                <w:r>
                  <w:rPr>
                    <w:szCs w:val="24"/>
                  </w:rPr>
                  <w:t xml:space="preserve">(toliau </w:t>
                </w:r>
                <w:r>
                  <w:rPr>
                    <w:color w:val="000000"/>
                    <w:szCs w:val="24"/>
                    <w:lang w:eastAsia="lt-LT"/>
                  </w:rPr>
                  <w:t>–</w:t>
                </w:r>
                <w:r>
                  <w:rPr>
                    <w:szCs w:val="24"/>
                  </w:rPr>
                  <w:t xml:space="preserve"> ESPBI IS) plėtrai įdiegimas.</w:t>
                </w:r>
              </w:p>
              <w:p w14:paraId="136DB798" w14:textId="77777777">
                <w:pPr>
                  <w:ind w:firstLine="176"/>
                  <w:jc w:val="both"/>
                  <w:rPr>
                    <w:szCs w:val="24"/>
                  </w:rPr>
                </w:pPr>
                <w:r>
                  <w:rPr>
                    <w:szCs w:val="24"/>
                  </w:rPr>
                  <w:t>2.6. Tikslinė grupės:</w:t>
                </w:r>
              </w:p>
              <w:p w14:paraId="7328FB50" w14:textId="77777777">
                <w:pPr>
                  <w:ind w:firstLine="176"/>
                  <w:rPr>
                    <w:szCs w:val="24"/>
                  </w:rPr>
                </w:pPr>
                <w:r>
                  <w:rPr>
                    <w:szCs w:val="24"/>
                  </w:rPr>
                  <w:t>2.6.1. VVKT darbuotojai, atsakingi už vaistinių preparatų stebėsenos, kontrolės ir kitas susijusias paslaugas;</w:t>
                </w:r>
              </w:p>
              <w:p w14:paraId="063E15A4" w14:textId="77777777">
                <w:pPr>
                  <w:ind w:firstLine="176"/>
                  <w:jc w:val="both"/>
                  <w:rPr>
                    <w:szCs w:val="24"/>
                  </w:rPr>
                </w:pPr>
                <w:r>
                  <w:rPr>
                    <w:szCs w:val="24"/>
                  </w:rPr>
                  <w:t>2.6.2. vaistinės, mažmeninės ir didmeninės prekybos;</w:t>
                </w:r>
              </w:p>
              <w:p w14:paraId="16D0E582" w14:textId="77777777">
                <w:pPr>
                  <w:ind w:firstLine="176"/>
                  <w:jc w:val="both"/>
                  <w:rPr>
                    <w:szCs w:val="24"/>
                  </w:rPr>
                </w:pPr>
                <w:r>
                  <w:rPr>
                    <w:szCs w:val="24"/>
                  </w:rPr>
                  <w:t>2.6.3. vaistų registruotojai, jų atstovai ir gamintojai;</w:t>
                </w:r>
              </w:p>
              <w:p w14:paraId="67017727" w14:textId="77777777">
                <w:pPr>
                  <w:ind w:firstLine="176"/>
                  <w:jc w:val="both"/>
                  <w:rPr>
                    <w:szCs w:val="24"/>
                  </w:rPr>
                </w:pPr>
                <w:r>
                  <w:rPr>
                    <w:szCs w:val="24"/>
                  </w:rPr>
                  <w:t>2.6.4. asmens sveikatos priežiūros įstaigos;</w:t>
                </w:r>
              </w:p>
              <w:p w14:paraId="4071AE42" w14:textId="77777777">
                <w:pPr>
                  <w:tabs>
                    <w:tab w:val="left" w:pos="459"/>
                  </w:tabs>
                  <w:ind w:firstLine="176"/>
                  <w:jc w:val="both"/>
                  <w:rPr>
                    <w:color w:val="000000"/>
                    <w:szCs w:val="24"/>
                  </w:rPr>
                </w:pPr>
                <w:r>
                  <w:rPr>
                    <w:szCs w:val="24"/>
                  </w:rPr>
                  <w:t xml:space="preserve">2.6.5. </w:t>
                </w:r>
                <w:r>
                  <w:rPr>
                    <w:color w:val="000000"/>
                    <w:szCs w:val="24"/>
                  </w:rPr>
                  <w:t>Lietuvos Respublikos gyventojai.</w:t>
                </w:r>
              </w:p>
              <w:p w14:paraId="6CFB1CE9" w14:textId="310C504F">
                <w:pPr>
                  <w:tabs>
                    <w:tab w:val="left" w:pos="459"/>
                  </w:tabs>
                  <w:ind w:firstLine="176"/>
                  <w:jc w:val="both"/>
                  <w:rPr>
                    <w:rFonts w:eastAsia="Calibri"/>
                    <w:szCs w:val="24"/>
                  </w:rPr>
                </w:pPr>
                <w:r>
                  <w:rPr>
                    <w:szCs w:val="24"/>
                  </w:rPr>
                  <w:t xml:space="preserve">2.7.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46884833" w14:textId="6707F372">
                <w:pPr>
                  <w:tabs>
                    <w:tab w:val="left" w:pos="1170"/>
                    <w:tab w:val="left" w:pos="1710"/>
                  </w:tabs>
                  <w:ind w:firstLine="176"/>
                  <w:jc w:val="both"/>
                  <w:rPr>
                    <w:szCs w:val="24"/>
                  </w:rPr>
                </w:pPr>
                <w:r>
                  <w:rPr>
                    <w:rFonts w:eastAsia="Calibri"/>
                    <w:szCs w:val="24"/>
                  </w:rPr>
                  <w:t xml:space="preserve">2.8. </w:t>
                </w:r>
                <w:r>
                  <w:rPr>
                    <w:szCs w:val="24"/>
                  </w:rPr>
                  <w:t xml:space="preserve">Vykdydama Aprašo 2.5 papunktyje nurodytą poveiklę VVKT, įgyvendindama projektą, savo informacinių sistemų tobulinimo planą turi nusimatyti ir vykdyti taip, kad tai neturėtų neigiamos įtakos ESPBI IS plėtrai ir užtikrintų sėkmingą reikalingų funkcionalumų įdiegimą. </w:t>
                </w:r>
              </w:p>
              <w:p w14:paraId="7D824D87" w14:textId="226B131A">
                <w:pPr>
                  <w:tabs>
                    <w:tab w:val="left" w:pos="457"/>
                    <w:tab w:val="left" w:pos="601"/>
                  </w:tabs>
                  <w:ind w:firstLine="176"/>
                  <w:jc w:val="both"/>
                  <w:rPr>
                    <w:szCs w:val="24"/>
                  </w:rPr>
                </w:pPr>
                <w:r>
                  <w:rPr>
                    <w:szCs w:val="24"/>
                  </w:rPr>
                  <w:t>2.9.</w:t>
                  <w:tab/>
                  <w:t>Projekto parengtumo reikalavimai:</w:t>
                </w:r>
              </w:p>
              <w:p w14:paraId="62F2692C" w14:textId="6F7BD30C">
                <w:pPr>
                  <w:tabs>
                    <w:tab w:val="left" w:pos="690"/>
                    <w:tab w:val="left" w:pos="743"/>
                  </w:tabs>
                  <w:ind w:left="32" w:firstLine="144"/>
                  <w:jc w:val="both"/>
                  <w:rPr>
                    <w:szCs w:val="24"/>
                  </w:rPr>
                </w:pPr>
                <w:r>
                  <w:rPr>
                    <w:szCs w:val="24"/>
                  </w:rPr>
                  <w:t xml:space="preserve">2.9.1. Projekto investicinis projektas iki pateikiant administruojančiajai institucijai (toliau </w:t>
                </w:r>
                <w:r>
                  <w:rPr>
                    <w:color w:val="000000"/>
                    <w:szCs w:val="24"/>
                    <w:lang w:eastAsia="lt-LT"/>
                  </w:rPr>
                  <w:t>–</w:t>
                </w:r>
                <w:r>
                  <w:rPr>
                    <w:szCs w:val="24"/>
                  </w:rPr>
                  <w:t xml:space="preserve"> CPVA) privalo būti suderintas su Sveikatos apsaugos ministerija;</w:t>
                </w:r>
              </w:p>
              <w:p w14:paraId="292A79B8" w14:textId="2EC4DA09">
                <w:pPr>
                  <w:tabs>
                    <w:tab w:val="decimal" w:pos="458"/>
                    <w:tab w:val="left" w:pos="660"/>
                    <w:tab w:val="left" w:pos="743"/>
                  </w:tabs>
                  <w:ind w:left="29" w:firstLine="147"/>
                  <w:jc w:val="both"/>
                  <w:rPr>
                    <w:bCs/>
                    <w:strike/>
                    <w:szCs w:val="24"/>
                  </w:rPr>
                </w:pPr>
                <w:r>
                  <w:rPr>
                    <w:szCs w:val="24"/>
                  </w:rPr>
                  <w:t xml:space="preserve">2.9.2. </w:t>
                </w:r>
                <w:r>
                  <w:rPr>
                    <w:szCs w:val="24"/>
                    <w:lang w:eastAsia="lt-LT"/>
                  </w:rPr>
                  <w:t>Projektui taikomos matomumo ir informavimo priemonės nurodytos Projektų administravimo ir finansavimo taisyklių VIII skyriaus „Kiti projektų reikalavimai“ pirmame skirsnyje „Informavimas apie projektą ir komunikacija“. Papildomi matomumo reikalavimai nenustatomi.</w:t>
                </w:r>
              </w:p>
              <w:p w14:paraId="627D11E5" w14:textId="47F22010">
                <w:pPr>
                  <w:tabs>
                    <w:tab w:val="decimal" w:pos="458"/>
                    <w:tab w:val="left" w:pos="660"/>
                    <w:tab w:val="left" w:pos="743"/>
                  </w:tabs>
                  <w:ind w:left="29" w:firstLine="147"/>
                  <w:jc w:val="both"/>
                  <w:rPr>
                    <w:szCs w:val="24"/>
                  </w:rPr>
                </w:pPr>
                <w:r>
                  <w:rPr>
                    <w:szCs w:val="24"/>
                  </w:rPr>
                  <w:t xml:space="preserve">2.10. </w:t>
                  <w:tab/>
                </w:r>
                <w:r>
                  <w:rPr>
                    <w:szCs w:val="24"/>
                    <w:lang w:eastAsia="lt-LT"/>
                  </w:rPr>
                  <w:t>Kartu su projekto įgyvendinimo planu administruojančiajai institucijai turi būti pateikti šie dokumentai:</w:t>
                </w:r>
              </w:p>
              <w:p w14:paraId="066AD43F" w14:textId="024007B0">
                <w:pPr>
                  <w:tabs>
                    <w:tab w:val="decimal" w:pos="458"/>
                    <w:tab w:val="left" w:pos="680"/>
                  </w:tabs>
                  <w:ind w:left="29" w:firstLine="157"/>
                  <w:jc w:val="both"/>
                  <w:rPr>
                    <w:szCs w:val="24"/>
                  </w:rPr>
                </w:pPr>
                <w:r>
                  <w:rPr>
                    <w:szCs w:val="24"/>
                    <w:lang w:eastAsia="lt-LT"/>
                  </w:rPr>
                  <w:t xml:space="preserve">2.10.1. </w:t>
                </w:r>
                <w:r>
                  <w:rPr>
                    <w:szCs w:val="24"/>
                  </w:rPr>
                  <w:t>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w:t>
                </w:r>
                <w:r>
                  <w:rPr>
                    <w:color w:val="000000"/>
                    <w:szCs w:val="24"/>
                    <w:lang w:eastAsia="lt-LT"/>
                  </w:rPr>
                  <w:t>–</w:t>
                </w:r>
                <w:r>
                  <w:rPr>
                    <w:szCs w:val="24"/>
                  </w:rPr>
                  <w:t xml:space="preserve">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5647E5B4" w14:textId="6AAA9F90">
                <w:pPr>
                  <w:tabs>
                    <w:tab w:val="left" w:pos="680"/>
                    <w:tab w:val="left" w:pos="884"/>
                  </w:tabs>
                  <w:ind w:firstLine="176"/>
                  <w:jc w:val="both"/>
                  <w:rPr>
                    <w:szCs w:val="24"/>
                  </w:rPr>
                </w:pPr>
                <w:r>
                  <w:rPr>
                    <w:szCs w:val="24"/>
                  </w:rPr>
                  <w:t>2.10.2.</w:t>
                  <w:tab/>
                </w:r>
                <w:r>
                  <w:rPr>
                    <w:szCs w:val="24"/>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Cs w:val="24"/>
                    <w:u w:val="single"/>
                    <w:lang w:eastAsia="lt-LT"/>
                  </w:rPr>
                  <w:t>http://www.ppplietuva.lt/</w:t>
                </w:r>
                <w:r>
                  <w:rPr>
                    <w:szCs w:val="24"/>
                    <w:lang w:eastAsia="lt-LT"/>
                  </w:rPr>
                  <w:t xml:space="preserve"> skiltyje „Viešųjų investicijų projektų rengimas“ prie „Rengimas ir vertinimas“;</w:t>
                </w:r>
              </w:p>
              <w:p w14:paraId="0B21BE3F" w14:textId="1302747C">
                <w:pPr>
                  <w:ind w:firstLine="176"/>
                  <w:jc w:val="both"/>
                  <w:rPr>
                    <w:szCs w:val="24"/>
                  </w:rPr>
                </w:pPr>
                <w:r>
                  <w:rPr>
                    <w:szCs w:val="24"/>
                  </w:rPr>
                  <w:t xml:space="preserve">2.10.3. dokumentai, pagrindžiantys projekto išlaidų pagrįstumą (sudarytos sutartys, komerciniai pasiūlymai, nuorodos į rinkoje esančias kainas (pvz.,  Centrinėje viešųjų pirkimų informacinėje sistemoje), jeigu išlaidos grindžiamos tiekėjų pasiūlymais, paklausimai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75EF678D" w14:textId="7A64C3B1">
                <w:pPr>
                  <w:ind w:firstLine="176"/>
                  <w:jc w:val="both"/>
                  <w:rPr>
                    <w:color w:val="000000"/>
                    <w:szCs w:val="24"/>
                  </w:rPr>
                </w:pPr>
                <w:r>
                  <w:rPr>
                    <w:szCs w:val="24"/>
                    <w:lang w:eastAsia="lt-LT"/>
                  </w:rPr>
                  <w:t xml:space="preserve">2.10.4. </w:t>
                </w:r>
                <w:r>
                  <w:rPr>
                    <w:szCs w:val="24"/>
                  </w:rPr>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1E0EFF63" w14:textId="6B5B28CE">
                <w:pPr>
                  <w:tabs>
                    <w:tab w:val="left" w:pos="426"/>
                    <w:tab w:val="left" w:pos="709"/>
                  </w:tabs>
                  <w:ind w:firstLine="176"/>
                  <w:jc w:val="both"/>
                  <w:rPr>
                    <w:szCs w:val="24"/>
                  </w:rPr>
                </w:pPr>
                <w:r>
                  <w:rPr>
                    <w:szCs w:val="24"/>
                  </w:rPr>
                  <w:t>2.11.Taikomi reikalavimai projekto įgyvendinimo metu:</w:t>
                </w:r>
              </w:p>
              <w:p w14:paraId="1D9C0F39" w14:textId="1228724C">
                <w:pPr>
                  <w:tabs>
                    <w:tab w:val="left" w:pos="426"/>
                    <w:tab w:val="left" w:pos="709"/>
                  </w:tabs>
                  <w:ind w:firstLine="186"/>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0700BF33" w14:textId="340EA4AE">
                <w:pPr>
                  <w:tabs>
                    <w:tab w:val="left" w:pos="426"/>
                    <w:tab w:val="left" w:pos="709"/>
                  </w:tabs>
                  <w:ind w:firstLine="176"/>
                  <w:jc w:val="both"/>
                  <w:rPr>
                    <w:color w:val="000000"/>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50CF4EF4" w14:textId="09925B4A">
                <w:pPr>
                  <w:ind w:firstLine="176"/>
                  <w:jc w:val="both"/>
                  <w:rPr>
                    <w:szCs w:val="24"/>
                  </w:rPr>
                </w:pPr>
                <w:r>
                  <w:rPr>
                    <w:szCs w:val="24"/>
                  </w:rPr>
                  <w:t>2.11.3. Sukūrus ar modernizavus elektronines paslaugas, turi būti patvirtintas kuriamos arba modernizuojamos informacinės sistemos priėmimo ir tinkamumo eksploatuoti aktas, kaip tai nustatyta Valstybės informacinių sistemų gyvavimo ciklo valdymo metodikoje.</w:t>
                </w:r>
              </w:p>
              <w:p w14:paraId="2169EBA1" w14:textId="52E18D9F">
                <w:pPr>
                  <w:ind w:firstLine="176"/>
                  <w:jc w:val="both"/>
                  <w:rPr>
                    <w:i/>
                    <w:iCs/>
                    <w:szCs w:val="24"/>
                  </w:rPr>
                </w:pPr>
                <w:r>
                  <w:rPr>
                    <w:color w:val="000000"/>
                    <w:szCs w:val="24"/>
                  </w:rPr>
                  <w:t>2.11.4. 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szCs w:val="24"/>
                  </w:rPr>
                  <w:t xml:space="preserve"> paslaugų teikėjo infrastruktūroje (Nutarimas Nr. 498).</w:t>
                </w:r>
              </w:p>
            </w:tc>
          </w:tr>
          <w:tr w14:paraId="2C5A959B" w14:textId="77777777">
            <w:tc>
              <w:tcPr>
                <w:tcW w:w="15021" w:type="dxa"/>
                <w:gridSpan w:val="5"/>
              </w:tcPr>
              <w:p w14:paraId="36E28D7C" w14:textId="77777777">
                <w:pPr>
                  <w:jc w:val="both"/>
                  <w:rPr>
                    <w:iCs/>
                    <w:szCs w:val="24"/>
                  </w:rPr>
                </w:pPr>
                <w:r>
                  <w:rPr>
                    <w:b/>
                    <w:szCs w:val="24"/>
                  </w:rPr>
                  <w:t>2.1. Reikalavimai jungtinio projekto projektams</w:t>
                </w:r>
              </w:p>
            </w:tc>
          </w:tr>
          <w:tr w14:paraId="38BE2ECA" w14:textId="77777777">
            <w:trPr>
              <w:trHeight w:val="564"/>
            </w:trPr>
            <w:tc>
              <w:tcPr>
                <w:tcW w:w="15021" w:type="dxa"/>
                <w:gridSpan w:val="5"/>
              </w:tcPr>
              <w:p w14:paraId="763DB7B9" w14:textId="45F9E652">
                <w:pPr>
                  <w:jc w:val="both"/>
                  <w:rPr>
                    <w:szCs w:val="24"/>
                  </w:rPr>
                </w:pPr>
                <w:r>
                  <w:rPr>
                    <w:szCs w:val="24"/>
                  </w:rPr>
                  <w:t>Netaikoma.</w:t>
                </w:r>
              </w:p>
            </w:tc>
          </w:tr>
          <w:tr w14:paraId="28933284" w14:textId="77777777">
            <w:trPr>
              <w:trHeight w:val="285"/>
            </w:trPr>
            <w:tc>
              <w:tcPr>
                <w:tcW w:w="15021" w:type="dxa"/>
                <w:gridSpan w:val="5"/>
              </w:tcPr>
              <w:p w14:paraId="7315DB83" w14:textId="77777777">
                <w:pPr>
                  <w:rPr>
                    <w:sz w:val="22"/>
                    <w:szCs w:val="22"/>
                  </w:rPr>
                </w:pPr>
                <w:r>
                  <w:rPr>
                    <w:b/>
                    <w:szCs w:val="24"/>
                  </w:rPr>
                  <w:t>3. Horizontaliųjų principų (toliau – HP) reikalavimai</w:t>
                </w:r>
              </w:p>
            </w:tc>
          </w:tr>
          <w:tr w14:paraId="02E4D004" w14:textId="77777777">
            <w:tc>
              <w:tcPr>
                <w:tcW w:w="15021" w:type="dxa"/>
                <w:gridSpan w:val="5"/>
              </w:tcPr>
              <w:p w14:paraId="1F49B11E" w14:textId="052FB59A">
                <w:pPr>
                  <w:ind w:firstLine="176"/>
                  <w:jc w:val="both"/>
                  <w:rPr>
                    <w:szCs w:val="24"/>
                  </w:rPr>
                </w:pPr>
                <w:r>
                  <w:rPr>
                    <w:szCs w:val="24"/>
                  </w:rPr>
                  <w:t xml:space="preserve">3.1.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inovatyvumo (kūrybingumo) (vykdomi inovatyvūs viešieji pirkimai, taikomos naujos technologijos, kuriami ar diegiami inovatyvūs sprendimai ir pan.)). Projekte neturi būti numatyta veiksmų, kurie turėtų neigiamą poveikį įgyvendinant HP. </w:t>
                </w:r>
              </w:p>
              <w:p w14:paraId="4992511D" w14:textId="2B90381F">
                <w:pPr>
                  <w:ind w:firstLine="176"/>
                  <w:jc w:val="both"/>
                  <w:rPr>
                    <w:szCs w:val="24"/>
                  </w:rPr>
                </w:pPr>
                <w:r>
                  <w:rPr>
                    <w:szCs w:val="24"/>
                  </w:rPr>
                  <w:t>3.2. Projekto atitikties reikšmingos žalos nedarymo HP vertinimo reikalavimai pateikiami Aprašo priede Nr. 1.1.</w:t>
                </w:r>
              </w:p>
              <w:p w14:paraId="2339FE7D" w14:textId="2E863279">
                <w:pPr>
                  <w:ind w:firstLine="186"/>
                  <w:jc w:val="both"/>
                  <w:rPr>
                    <w:i/>
                    <w:iCs/>
                    <w:szCs w:val="24"/>
                  </w:rPr>
                </w:pPr>
                <w:r>
                  <w:rPr>
                    <w:szCs w:val="24"/>
                  </w:rPr>
                  <w:t xml:space="preserve">3.3.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w:t>
                </w:r>
                <w:r>
                  <w:rPr>
                    <w:szCs w:val="24"/>
                  </w:rPr>
                  <w:t xml:space="preserve">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tc>
          </w:tr>
          <w:tr w14:paraId="48E0E687" w14:textId="77777777">
            <w:tc>
              <w:tcPr>
                <w:tcW w:w="15021" w:type="dxa"/>
                <w:gridSpan w:val="5"/>
              </w:tcPr>
              <w:p w14:paraId="1F0CCB53" w14:textId="4C3DFF11">
                <w:pPr>
                  <w:spacing w:line="259" w:lineRule="auto"/>
                  <w:jc w:val="both"/>
                  <w:rPr>
                    <w:b/>
                    <w:iCs/>
                    <w:szCs w:val="24"/>
                  </w:rPr>
                </w:pPr>
                <w:r>
                  <w:rPr>
                    <w:b/>
                    <w:iCs/>
                    <w:szCs w:val="24"/>
                  </w:rPr>
                  <w:t>3.1. Europos Sąjungos pagrindinių teisių chartijos (toliau – Chartija) reikalavimai</w:t>
                </w:r>
              </w:p>
            </w:tc>
          </w:tr>
          <w:tr w14:paraId="3A9654E5" w14:textId="77777777">
            <w:tc>
              <w:tcPr>
                <w:tcW w:w="15021" w:type="dxa"/>
                <w:gridSpan w:val="5"/>
              </w:tcPr>
              <w:p w14:paraId="76F89C6F" w14:textId="575142E1">
                <w:pPr>
                  <w:spacing w:line="276" w:lineRule="auto"/>
                  <w:jc w:val="both"/>
                  <w:rPr>
                    <w:i/>
                    <w:iCs/>
                    <w:color w:val="FF0000"/>
                    <w:szCs w:val="24"/>
                  </w:rPr>
                </w:pPr>
                <w:r>
                  <w:rPr>
                    <w:szCs w:val="24"/>
                  </w:rPr>
                  <w:t>Projekto įgyvendinimo metu nepažeidžiamos Europos Sąjungos pagrindinių teisių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14:paraId="24EC0894" w14:textId="77777777">
            <w:tc>
              <w:tcPr>
                <w:tcW w:w="15021" w:type="dxa"/>
                <w:gridSpan w:val="5"/>
              </w:tcPr>
              <w:p w14:paraId="3443B7B9" w14:textId="77777777">
                <w:pPr>
                  <w:rPr>
                    <w:b/>
                    <w:szCs w:val="24"/>
                  </w:rPr>
                </w:pPr>
                <w:r>
                  <w:rPr>
                    <w:b/>
                    <w:szCs w:val="24"/>
                  </w:rPr>
                  <w:t>4. Apskritis, kurioje gali būti įgyvendinami projektai</w:t>
                </w:r>
              </w:p>
            </w:tc>
          </w:tr>
          <w:tr w14:paraId="5E6A3E47" w14:textId="77777777">
            <w:tc>
              <w:tcPr>
                <w:tcW w:w="15021" w:type="dxa"/>
                <w:gridSpan w:val="5"/>
              </w:tcPr>
              <w:p w14:paraId="0432C426" w14:textId="73CFD105">
                <w:pPr>
                  <w:jc w:val="both"/>
                  <w:rPr>
                    <w:iCs/>
                    <w:szCs w:val="24"/>
                  </w:rPr>
                </w:pPr>
                <w:r>
                  <w:rPr>
                    <w:iCs/>
                    <w:szCs w:val="24"/>
                  </w:rPr>
                  <w:t>Netaikoma.</w:t>
                </w:r>
              </w:p>
              <w:p w14:paraId="0E11DD7A" w14:textId="6BABC77A">
                <w:pPr>
                  <w:jc w:val="both"/>
                  <w:rPr>
                    <w:i/>
                    <w:strike/>
                    <w:szCs w:val="24"/>
                  </w:rPr>
                </w:pPr>
              </w:p>
            </w:tc>
          </w:tr>
          <w:tr w14:paraId="4255308F" w14:textId="77777777">
            <w:tc>
              <w:tcPr>
                <w:tcW w:w="15021" w:type="dxa"/>
                <w:gridSpan w:val="5"/>
              </w:tcPr>
              <w:p w14:paraId="2CE40309" w14:textId="77777777">
                <w:pPr>
                  <w:jc w:val="both"/>
                  <w:rPr>
                    <w:b/>
                    <w:szCs w:val="24"/>
                  </w:rPr>
                </w:pPr>
                <w:r>
                  <w:rPr>
                    <w:b/>
                    <w:szCs w:val="24"/>
                  </w:rPr>
                  <w:t xml:space="preserve">5. Reikalavimai valstybės pagalbai </w:t>
                </w:r>
              </w:p>
            </w:tc>
          </w:tr>
          <w:tr w14:paraId="5033E6F9" w14:textId="77777777">
            <w:tc>
              <w:tcPr>
                <w:tcW w:w="15021" w:type="dxa"/>
                <w:gridSpan w:val="5"/>
              </w:tcPr>
              <w:p w14:paraId="2AEC8EED" w14:textId="2CCC727D">
                <w:pPr>
                  <w:jc w:val="both"/>
                  <w:rPr>
                    <w:i/>
                    <w:iCs/>
                    <w:szCs w:val="24"/>
                  </w:rPr>
                </w:pPr>
                <w:r>
                  <w:rPr>
                    <w:szCs w:val="24"/>
                  </w:rPr>
                  <w:t xml:space="preserve">Pagal šį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de minimis</w:t>
                </w:r>
                <w:r>
                  <w:rPr>
                    <w:szCs w:val="24"/>
                  </w:rPr>
                  <w:t xml:space="preserve"> pagalbai (OL 2013 L 352, p. 1) nuostatas, neteikiama.</w:t>
                </w:r>
              </w:p>
            </w:tc>
          </w:tr>
          <w:tr w14:paraId="5431B53A" w14:textId="77777777">
            <w:tc>
              <w:tcPr>
                <w:tcW w:w="15021" w:type="dxa"/>
                <w:gridSpan w:val="5"/>
              </w:tcPr>
              <w:p w14:paraId="7230C63B" w14:textId="77777777">
                <w:pPr>
                  <w:ind w:left="426" w:hanging="426"/>
                  <w:jc w:val="both"/>
                  <w:rPr>
                    <w:i/>
                    <w:szCs w:val="24"/>
                  </w:rPr>
                </w:pPr>
                <w:r>
                  <w:rPr>
                    <w:b/>
                    <w:szCs w:val="24"/>
                  </w:rPr>
                  <w:t>6. Projektų atrankos kriterijai</w:t>
                </w:r>
              </w:p>
            </w:tc>
          </w:tr>
          <w:tr w14:paraId="6EC0F0C5" w14:textId="77777777">
            <w:trPr>
              <w:trHeight w:val="551"/>
            </w:trPr>
            <w:tc>
              <w:tcPr>
                <w:tcW w:w="15021" w:type="dxa"/>
                <w:gridSpan w:val="5"/>
              </w:tcPr>
              <w:p w14:paraId="4D5C7352" w14:textId="2601EB40">
                <w:pPr>
                  <w:jc w:val="both"/>
                  <w:rPr>
                    <w:i/>
                    <w:strike/>
                    <w:sz w:val="22"/>
                    <w:szCs w:val="22"/>
                  </w:rPr>
                </w:pPr>
                <w:r>
                  <w:rPr>
                    <w:i/>
                    <w:szCs w:val="24"/>
                  </w:rPr>
                  <w:t>Specialieji ir prioritetiniai projektų atrankos kriterijai nėra nustatomi.</w:t>
                </w:r>
              </w:p>
            </w:tc>
          </w:tr>
          <w:tr w14:paraId="3E328D52" w14:textId="77777777">
            <w:trPr>
              <w:trHeight w:val="309"/>
            </w:trPr>
            <w:tc>
              <w:tcPr>
                <w:tcW w:w="15021" w:type="dxa"/>
                <w:gridSpan w:val="5"/>
              </w:tcPr>
              <w:p w14:paraId="7AE1A98D"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044A739F" w14:textId="77777777">
            <w:trPr>
              <w:trHeight w:val="390"/>
            </w:trPr>
            <w:tc>
              <w:tcPr>
                <w:tcW w:w="15021" w:type="dxa"/>
                <w:gridSpan w:val="5"/>
              </w:tcPr>
              <w:p w14:paraId="060B8DC5" w14:textId="069298CB">
                <w:pPr>
                  <w:jc w:val="both"/>
                  <w:rPr>
                    <w:i/>
                    <w:szCs w:val="24"/>
                  </w:rPr>
                </w:pPr>
                <w:r>
                  <w:rPr>
                    <w:i/>
                    <w:szCs w:val="24"/>
                  </w:rPr>
                  <w:t>Netaikoma.</w:t>
                </w:r>
              </w:p>
            </w:tc>
          </w:tr>
          <w:tr w14:paraId="0375E638" w14:textId="77777777">
            <w:tc>
              <w:tcPr>
                <w:tcW w:w="15021" w:type="dxa"/>
                <w:gridSpan w:val="5"/>
              </w:tcPr>
              <w:p w14:paraId="37423EF4" w14:textId="77777777">
                <w:pPr>
                  <w:rPr>
                    <w:b/>
                    <w:szCs w:val="24"/>
                  </w:rPr>
                </w:pPr>
                <w:r>
                  <w:rPr>
                    <w:b/>
                    <w:szCs w:val="24"/>
                  </w:rPr>
                  <w:t xml:space="preserve">7. Reikalavimai įgyvendinus projektų veiklas </w:t>
                </w:r>
              </w:p>
            </w:tc>
          </w:tr>
          <w:tr w14:paraId="6F0F816D" w14:textId="77777777">
            <w:tc>
              <w:tcPr>
                <w:tcW w:w="15021" w:type="dxa"/>
                <w:gridSpan w:val="5"/>
              </w:tcPr>
              <w:p w14:paraId="5D0DA212" w14:textId="1256965C">
                <w:pPr>
                  <w:rPr>
                    <w:i/>
                    <w:strike/>
                    <w:szCs w:val="24"/>
                  </w:rPr>
                </w:pPr>
                <w:r>
                  <w:rPr>
                    <w:i/>
                    <w:szCs w:val="24"/>
                  </w:rPr>
                  <w:t>Papildomi reikalavimai, kurie nėra nurodyti Projektų administravimo ir finansavimo taisyklėse, nenustatyti.</w:t>
                </w:r>
              </w:p>
            </w:tc>
          </w:tr>
          <w:tr w14:paraId="302BDEA4" w14:textId="77777777">
            <w:tc>
              <w:tcPr>
                <w:tcW w:w="15021" w:type="dxa"/>
                <w:gridSpan w:val="5"/>
              </w:tcPr>
              <w:p w14:paraId="40E51A39" w14:textId="77777777">
                <w:pPr>
                  <w:rPr>
                    <w:szCs w:val="24"/>
                  </w:rPr>
                </w:pPr>
                <w:r>
                  <w:rPr>
                    <w:b/>
                    <w:szCs w:val="24"/>
                  </w:rPr>
                  <w:t>8. Kiti reikalavimai</w:t>
                </w:r>
              </w:p>
            </w:tc>
          </w:tr>
          <w:tr w14:paraId="11CC9E83" w14:textId="77777777">
            <w:tc>
              <w:tcPr>
                <w:tcW w:w="15021" w:type="dxa"/>
                <w:gridSpan w:val="5"/>
              </w:tcPr>
              <w:p w14:paraId="1ACBA6D9" w14:textId="30761CFD">
                <w:pPr>
                  <w:tabs>
                    <w:tab w:val="left" w:pos="449"/>
                  </w:tabs>
                  <w:spacing w:line="276" w:lineRule="auto"/>
                  <w:jc w:val="both"/>
                  <w:rPr>
                    <w:iCs/>
                    <w:szCs w:val="24"/>
                  </w:rPr>
                </w:pPr>
                <w:r>
                  <w:rPr>
                    <w:iCs/>
                    <w:szCs w:val="24"/>
                  </w:rPr>
                  <w:t>Netaikoma.</w:t>
                </w:r>
              </w:p>
            </w:tc>
          </w:tr>
          <w:tr w14:paraId="315AEE96" w14:textId="77777777">
            <w:tc>
              <w:tcPr>
                <w:tcW w:w="15021" w:type="dxa"/>
                <w:gridSpan w:val="5"/>
              </w:tcPr>
              <w:p w14:paraId="71E9CC99" w14:textId="77777777">
                <w:pPr>
                  <w:rPr>
                    <w:b/>
                    <w:szCs w:val="24"/>
                  </w:rPr>
                </w:pPr>
                <w:r>
                  <w:rPr>
                    <w:b/>
                    <w:szCs w:val="24"/>
                  </w:rPr>
                  <w:t>IŠLAIDŲ TINKAMUMO FINANSUOTI REIKALAVIMAI</w:t>
                </w:r>
              </w:p>
            </w:tc>
          </w:tr>
          <w:tr w14:paraId="28A77A62" w14:textId="77777777">
            <w:tc>
              <w:tcPr>
                <w:tcW w:w="15021" w:type="dxa"/>
                <w:gridSpan w:val="5"/>
              </w:tcPr>
              <w:p w14:paraId="087FC4A4" w14:textId="77777777">
                <w:pPr>
                  <w:jc w:val="both"/>
                  <w:rPr>
                    <w:b/>
                    <w:szCs w:val="24"/>
                  </w:rPr>
                </w:pPr>
                <w:r>
                  <w:rPr>
                    <w:b/>
                    <w:szCs w:val="24"/>
                  </w:rPr>
                  <w:t>9. Išlaidų tinkamumo finansuoti reikalavimai</w:t>
                </w:r>
              </w:p>
            </w:tc>
          </w:tr>
          <w:tr w14:paraId="73643E95" w14:textId="77777777">
            <w:tc>
              <w:tcPr>
                <w:tcW w:w="15021" w:type="dxa"/>
                <w:gridSpan w:val="5"/>
              </w:tcPr>
              <w:p w14:paraId="59696426" w14:textId="63EB3014">
                <w:pPr>
                  <w:tabs>
                    <w:tab w:val="left" w:pos="458"/>
                    <w:tab w:val="left" w:pos="601"/>
                  </w:tabs>
                  <w:ind w:firstLine="176"/>
                  <w:jc w:val="both"/>
                  <w:rPr>
                    <w:bCs/>
                    <w:szCs w:val="24"/>
                  </w:rPr>
                </w:pPr>
                <w:r>
                  <w:rPr>
                    <w:bCs/>
                    <w:szCs w:val="24"/>
                  </w:rPr>
                  <w:t>9.1.</w:t>
                </w:r>
                <w:r>
                  <w:rPr>
                    <w:b/>
                    <w:szCs w:val="24"/>
                  </w:rPr>
                  <w:tab/>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514D104B" w14:textId="77777777">
                <w:pPr>
                  <w:tabs>
                    <w:tab w:val="left" w:pos="458"/>
                    <w:tab w:val="left" w:pos="613"/>
                    <w:tab w:val="left" w:pos="776"/>
                  </w:tabs>
                  <w:ind w:firstLine="176"/>
                  <w:jc w:val="both"/>
                  <w:rPr>
                    <w:bCs/>
                    <w:szCs w:val="24"/>
                  </w:rPr>
                </w:pPr>
                <w:r>
                  <w:rPr>
                    <w:bCs/>
                    <w:szCs w:val="24"/>
                  </w:rPr>
                  <w:t>9.2.</w:t>
                  <w:tab/>
                  <w:t>PVM nėra tinkamas finansuoti EGADP lėšomis. PVM gali būti finansuojamas Lietuvos biudžeto lėšomis vadovaujantis Projektų administravimo ir finansavimo taisyklių Ketvirtajame skirsnyje nustatyta tvarka.</w:t>
                </w:r>
              </w:p>
              <w:p w14:paraId="72A5128F" w14:textId="31254D35">
                <w:pPr>
                  <w:tabs>
                    <w:tab w:val="left" w:pos="458"/>
                    <w:tab w:val="left" w:pos="601"/>
                  </w:tabs>
                  <w:ind w:firstLine="176"/>
                  <w:jc w:val="both"/>
                  <w:rPr>
                    <w:bCs/>
                    <w:color w:val="000000"/>
                    <w:szCs w:val="24"/>
                  </w:rPr>
                </w:pPr>
                <w:r>
                  <w:rPr>
                    <w:bCs/>
                    <w:szCs w:val="24"/>
                  </w:rPr>
                  <w:t>9.3.</w:t>
                  <w:tab/>
                </w:r>
                <w:r>
                  <w:rPr>
                    <w:bCs/>
                    <w:color w:val="000000"/>
                    <w:szCs w:val="24"/>
                  </w:rPr>
                  <w:t>Kryžminis finansavimas netaikomas.</w:t>
                </w:r>
              </w:p>
              <w:p w14:paraId="61CE9EB8" w14:textId="7F0FAFDC">
                <w:pPr>
                  <w:tabs>
                    <w:tab w:val="left" w:pos="449"/>
                    <w:tab w:val="left" w:pos="601"/>
                  </w:tabs>
                  <w:ind w:firstLine="176"/>
                  <w:jc w:val="both"/>
                  <w:rPr>
                    <w:bCs/>
                    <w:szCs w:val="24"/>
                  </w:rPr>
                </w:pPr>
                <w:r>
                  <w:rPr>
                    <w:bCs/>
                    <w:szCs w:val="24"/>
                  </w:rPr>
                  <w:t>9.4.</w:t>
                  <w:tab/>
                  <w:t>Didžiausia galima projektų finansuojamoji dalis sudaro 100 proc. visų tinkamų finansuoti projekto išlaidų. Pareiškėjas ir (arba) partneris savo iniciatyva ir savo ir (arba) kitų šaltinių lėšomis gali prisidėti prie projekto įgyvendinimo.</w:t>
                </w:r>
              </w:p>
              <w:p w14:paraId="46FD29F3" w14:textId="17DA9850">
                <w:pPr>
                  <w:tabs>
                    <w:tab w:val="left" w:pos="449"/>
                    <w:tab w:val="left" w:pos="601"/>
                  </w:tabs>
                  <w:ind w:firstLine="176"/>
                  <w:jc w:val="both"/>
                  <w:rPr>
                    <w:bCs/>
                    <w:szCs w:val="24"/>
                  </w:rPr>
                </w:pPr>
                <w:r>
                  <w:rPr>
                    <w:bCs/>
                    <w:szCs w:val="24"/>
                  </w:rPr>
                  <w:t>9.5.</w:t>
                  <w:tab/>
                  <w:t>Projekto tinkamų finansuoti išlaidų dalis, kurios nepadengia projektui skiriamo finansavimo lėšos, turi būti finansuojama iš projekto vykdytojo ir (arba) partnerio lėšų.</w:t>
                </w:r>
              </w:p>
              <w:p w14:paraId="17522FA6" w14:textId="3F7EFC76">
                <w:pPr>
                  <w:tabs>
                    <w:tab w:val="left" w:pos="449"/>
                  </w:tabs>
                  <w:ind w:firstLine="176"/>
                  <w:jc w:val="both"/>
                  <w:rPr>
                    <w:bCs/>
                    <w:szCs w:val="24"/>
                  </w:rPr>
                </w:pPr>
                <w:r>
                  <w:rPr>
                    <w:bCs/>
                    <w:szCs w:val="24"/>
                  </w:rPr>
                  <w:t>9.6. Pagal Aprašą netinkamos finansuoti išlaidos:</w:t>
                </w:r>
              </w:p>
              <w:p w14:paraId="153934B0" w14:textId="0EEEF828">
                <w:pPr>
                  <w:tabs>
                    <w:tab w:val="left" w:pos="449"/>
                  </w:tabs>
                  <w:ind w:firstLine="176"/>
                  <w:jc w:val="both"/>
                  <w:rPr>
                    <w:bCs/>
                    <w:szCs w:val="24"/>
                  </w:rPr>
                </w:pPr>
                <w:r>
                  <w:rPr>
                    <w:bCs/>
                    <w:szCs w:val="24"/>
                  </w:rPr>
                  <w:t>9.6.1. į</w:t>
                </w:r>
                <w:r>
                  <w:rPr>
                    <w:color w:val="000000"/>
                    <w:szCs w:val="24"/>
                  </w:rPr>
                  <w:t>rangos, infrastruktūros ir programinės įrangos, kuri yra arba bus teikiama Valstybės debesijos paslaugų teikimo infrastruktūroje, įsigijimas konsolidavimo ir optimizavimo procese dalyvaujančioms institucijoms (Nutarimas Nr. 498);</w:t>
                </w:r>
              </w:p>
              <w:p w14:paraId="7D4C4BFA" w14:textId="1CF2ACA2">
                <w:pPr>
                  <w:ind w:firstLine="176"/>
                  <w:jc w:val="both"/>
                  <w:rPr>
                    <w:color w:val="000000"/>
                    <w:szCs w:val="24"/>
                    <w:shd w:val="clear" w:color="auto" w:fill="FFFFFF"/>
                  </w:rPr>
                </w:pPr>
                <w:r>
                  <w:rPr>
                    <w:color w:val="000000"/>
                    <w:szCs w:val="24"/>
                  </w:rPr>
                  <w:t xml:space="preserve">9.6.2. </w:t>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4E585453" w14:textId="312A481F">
                <w:pPr>
                  <w:ind w:firstLine="176"/>
                  <w:jc w:val="both"/>
                  <w:rPr>
                    <w:bCs/>
                    <w:color w:val="000000"/>
                    <w:szCs w:val="24"/>
                    <w:shd w:val="clear" w:color="auto" w:fill="FFFFFF"/>
                  </w:rPr>
                </w:pPr>
                <w:r>
                  <w:rPr>
                    <w:color w:val="000000"/>
                    <w:szCs w:val="24"/>
                    <w:shd w:val="clear" w:color="auto" w:fill="FFFFFF"/>
                  </w:rPr>
                  <w:t>9.6.3.</w:t>
                </w:r>
                <w:r>
                  <w:rPr>
                    <w:bCs/>
                    <w:szCs w:val="24"/>
                  </w:rPr>
                  <w:t xml:space="preserve"> </w:t>
                </w:r>
                <w:r>
                  <w:rPr>
                    <w:bCs/>
                    <w:color w:val="000000"/>
                    <w:szCs w:val="24"/>
                    <w:shd w:val="clear" w:color="auto" w:fill="FFFFFF"/>
                  </w:rPr>
                  <w:t>nepiniginis projekto vykdytojo / partnerio įnašas;</w:t>
                </w:r>
              </w:p>
              <w:p w14:paraId="077A2182" w14:textId="4C5BD235">
                <w:pPr>
                  <w:ind w:firstLine="176"/>
                  <w:jc w:val="both"/>
                  <w:rPr>
                    <w:b/>
                    <w:szCs w:val="24"/>
                  </w:rPr>
                </w:pPr>
                <w:r>
                  <w:rPr>
                    <w:bCs/>
                    <w:color w:val="000000"/>
                    <w:szCs w:val="24"/>
                    <w:shd w:val="clear" w:color="auto" w:fill="FFFFFF"/>
                  </w:rPr>
                  <w:t>9.6.4. naudojamo ilgalaikio turto nusidėvėjimo (amortizacijos) sąnaudos nėra finansuojamos.</w:t>
                </w:r>
              </w:p>
            </w:tc>
          </w:tr>
          <w:tr w14:paraId="105AFDCD" w14:textId="77777777">
            <w:trPr>
              <w:trHeight w:val="349"/>
            </w:trPr>
            <w:tc>
              <w:tcPr>
                <w:tcW w:w="15021" w:type="dxa"/>
                <w:gridSpan w:val="5"/>
              </w:tcPr>
              <w:p w14:paraId="67C1C978" w14:textId="0E56D7E9">
                <w:pPr>
                  <w:jc w:val="both"/>
                  <w:rPr>
                    <w:szCs w:val="24"/>
                  </w:rPr>
                </w:pPr>
                <w:r>
                  <w:rPr>
                    <w:b/>
                    <w:szCs w:val="24"/>
                  </w:rPr>
                  <w:t>10. Projektų veiklų ir jungtinio projekto projektų įgyvendinimui taikomi supaprastintai apmokamų išlaidų dydžiai</w:t>
                </w:r>
              </w:p>
            </w:tc>
          </w:tr>
          <w:tr w14:paraId="077DA23E" w14:textId="77777777">
            <w:trPr>
              <w:trHeight w:val="349"/>
            </w:trPr>
            <w:tc>
              <w:tcPr>
                <w:tcW w:w="15021" w:type="dxa"/>
                <w:gridSpan w:val="5"/>
                <w:tcBorders>
                  <w:top w:val="single" w:sz="4" w:space="0" w:color="auto"/>
                  <w:left w:val="single" w:sz="4" w:space="0" w:color="auto"/>
                  <w:bottom w:val="single" w:sz="4" w:space="0" w:color="auto"/>
                  <w:right w:val="single" w:sz="4" w:space="0" w:color="auto"/>
                </w:tcBorders>
                <w:shd w:val="clear" w:color="auto" w:fill="auto"/>
              </w:tcPr>
              <w:p w14:paraId="620E9086" w14:textId="4F393779">
                <w:pPr>
                  <w:jc w:val="both"/>
                  <w:rPr>
                    <w:b/>
                    <w:szCs w:val="24"/>
                  </w:rPr>
                </w:pPr>
                <w:r>
                  <w:rPr>
                    <w:b/>
                    <w:szCs w:val="24"/>
                  </w:rPr>
                  <w:fldChar w:fldCharType="begin" w:fldLock="1">
                    <w:ffData>
                      <w:name w:val="Tikrinti2"/>
                      <w:enabled/>
                      <w:calcOnExit w:val="0"/>
                      <w:checkBox>
                        <w:sizeAuto/>
                        <w:default w:val="1"/>
                      </w:checkBox>
                    </w:ffData>
                  </w:fldChar>
                </w:r>
                <w:r>
                  <w:rPr>
                    <w:b/>
                    <w:szCs w:val="24"/>
                  </w:rPr>
                  <w:instrText xml:space="preserve">FORMCHECKBOX </w:instrText>
                </w:r>
                <w:r>
                  <w:rPr>
                    <w:b/>
                    <w:szCs w:val="24"/>
                  </w:rPr>
                  <w:fldChar w:fldCharType="separate"/>
                </w:r>
                <w:r>
                  <w:rPr>
                    <w:b/>
                    <w:szCs w:val="24"/>
                  </w:rPr>
                  <w:fldChar w:fldCharType="end"/>
                </w:r>
                <w:r>
                  <w:rPr>
                    <w:b/>
                    <w:szCs w:val="24"/>
                  </w:rPr>
                  <w:t>Indeksuojama</w:t>
                </w:r>
              </w:p>
              <w:p w14:paraId="63CB40B1" w14:textId="0B2FAB06">
                <w:pPr>
                  <w:jc w:val="both"/>
                  <w:rPr>
                    <w:b/>
                    <w:szCs w:val="24"/>
                  </w:rPr>
                </w:pPr>
                <w:r>
                  <w:rPr>
                    <w:b/>
                    <w:szCs w:val="24"/>
                  </w:rPr>
                  <w:fldChar w:fldCharType="begin" w:fldLock="1">
                    <w:ffData>
                      <w:name w:val=""/>
                      <w:enabled/>
                      <w:calcOnExit w:val="0"/>
                      <w:checkBox>
                        <w:sizeAuto/>
                        <w:default w:val="0"/>
                      </w:checkBox>
                    </w:ffData>
                  </w:fldChar>
                </w:r>
                <w:r>
                  <w:rPr>
                    <w:b/>
                    <w:szCs w:val="24"/>
                  </w:rPr>
                  <w:instrText xml:space="preserve"> FORMCHECKBOX </w:instrText>
                </w:r>
                <w:r>
                  <w:rPr>
                    <w:b/>
                    <w:szCs w:val="24"/>
                  </w:rPr>
                  <w:fldChar w:fldCharType="separate"/>
                </w:r>
                <w:r>
                  <w:rPr>
                    <w:b/>
                    <w:szCs w:val="24"/>
                  </w:rPr>
                  <w:fldChar w:fldCharType="end"/>
                </w:r>
                <w:r>
                  <w:rPr>
                    <w:b/>
                    <w:szCs w:val="24"/>
                  </w:rPr>
                  <w:t>Neindeksuojama</w:t>
                </w:r>
              </w:p>
            </w:tc>
          </w:tr>
          <w:tr w14:paraId="557A405D" w14:textId="77777777">
            <w:tc>
              <w:tcPr>
                <w:tcW w:w="2889" w:type="dxa"/>
                <w:tcBorders>
                  <w:top w:val="single" w:sz="8" w:space="0" w:color="auto"/>
                  <w:left w:val="single" w:sz="8" w:space="0" w:color="auto"/>
                  <w:bottom w:val="single" w:sz="8" w:space="0" w:color="auto"/>
                  <w:right w:val="single" w:sz="8" w:space="0" w:color="auto"/>
                </w:tcBorders>
                <w:vAlign w:val="center"/>
              </w:tcPr>
              <w:p w14:paraId="79C5D320" w14:textId="77777777">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5417214"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AC2420F" w14:textId="77777777">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96CF64A" w14:textId="77777777">
                <w:pPr>
                  <w:jc w:val="center"/>
                  <w:rPr>
                    <w:b/>
                    <w:bCs/>
                    <w:sz w:val="22"/>
                    <w:szCs w:val="22"/>
                  </w:rPr>
                </w:pPr>
                <w:r>
                  <w:rPr>
                    <w:b/>
                    <w:bCs/>
                    <w:sz w:val="22"/>
                    <w:szCs w:val="22"/>
                  </w:rPr>
                  <w:t>Supaprastintai apmokamų išlaidų dydžio pavadinimas</w:t>
                </w:r>
              </w:p>
            </w:tc>
            <w:tc>
              <w:tcPr>
                <w:tcW w:w="3462" w:type="dxa"/>
                <w:tcBorders>
                  <w:top w:val="single" w:sz="8" w:space="0" w:color="auto"/>
                  <w:left w:val="single" w:sz="8" w:space="0" w:color="auto"/>
                  <w:bottom w:val="single" w:sz="8" w:space="0" w:color="auto"/>
                  <w:right w:val="single" w:sz="8" w:space="0" w:color="auto"/>
                </w:tcBorders>
                <w:vAlign w:val="center"/>
              </w:tcPr>
              <w:p w14:paraId="6431619A" w14:textId="77777777">
                <w:pPr>
                  <w:rPr>
                    <w:b/>
                    <w:bCs/>
                    <w:sz w:val="22"/>
                    <w:szCs w:val="22"/>
                  </w:rPr>
                </w:pPr>
                <w:r>
                  <w:rPr>
                    <w:b/>
                    <w:bCs/>
                    <w:sz w:val="22"/>
                    <w:szCs w:val="22"/>
                  </w:rPr>
                  <w:t>Papildoma informacija</w:t>
                </w:r>
              </w:p>
            </w:tc>
          </w:tr>
          <w:tr w14:paraId="2549B25C" w14:textId="77777777">
            <w:tc>
              <w:tcPr>
                <w:tcW w:w="2889" w:type="dxa"/>
                <w:tcBorders>
                  <w:top w:val="single" w:sz="8" w:space="0" w:color="auto"/>
                  <w:left w:val="single" w:sz="8" w:space="0" w:color="auto"/>
                  <w:bottom w:val="single" w:sz="8" w:space="0" w:color="auto"/>
                  <w:right w:val="single" w:sz="8" w:space="0" w:color="auto"/>
                </w:tcBorders>
              </w:tcPr>
              <w:p w14:paraId="4E040D72" w14:textId="77777777">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0C84AA34" w14:textId="77777777">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88253EC" w14:textId="7777777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ADA6612" w14:textId="77777777">
                <w:pPr>
                  <w:jc w:val="center"/>
                  <w:rPr>
                    <w:szCs w:val="24"/>
                    <w:lang w:val="en-US"/>
                  </w:rPr>
                </w:pPr>
                <w:r>
                  <w:rPr>
                    <w:szCs w:val="24"/>
                  </w:rPr>
                  <w:t>Netiesioginių išlaidų fiksuotoji norma</w:t>
                </w:r>
              </w:p>
            </w:tc>
            <w:tc>
              <w:tcPr>
                <w:tcW w:w="3462" w:type="dxa"/>
                <w:tcBorders>
                  <w:top w:val="single" w:sz="8" w:space="0" w:color="auto"/>
                  <w:left w:val="single" w:sz="8" w:space="0" w:color="auto"/>
                  <w:bottom w:val="single" w:sz="8" w:space="0" w:color="auto"/>
                  <w:right w:val="single" w:sz="8" w:space="0" w:color="auto"/>
                </w:tcBorders>
              </w:tcPr>
              <w:p w14:paraId="478A7224" w14:textId="77777777">
                <w:pPr>
                  <w:jc w:val="center"/>
                  <w:rPr>
                    <w:color w:val="0070C0"/>
                    <w:sz w:val="20"/>
                  </w:rPr>
                </w:pPr>
                <w:r>
                  <w:rPr>
                    <w:sz w:val="20"/>
                  </w:rPr>
                  <w:t>-</w:t>
                </w:r>
              </w:p>
            </w:tc>
          </w:tr>
          <w:tr w14:paraId="0974D3B0" w14:textId="77777777">
            <w:tc>
              <w:tcPr>
                <w:tcW w:w="2889" w:type="dxa"/>
                <w:tcBorders>
                  <w:top w:val="single" w:sz="8" w:space="0" w:color="auto"/>
                  <w:left w:val="single" w:sz="8" w:space="0" w:color="auto"/>
                  <w:bottom w:val="single" w:sz="8" w:space="0" w:color="auto"/>
                  <w:right w:val="single" w:sz="8" w:space="0" w:color="auto"/>
                </w:tcBorders>
              </w:tcPr>
              <w:p w14:paraId="4AE88B99" w14:textId="3EC0BBCE">
                <w:pPr>
                  <w:jc w:val="center"/>
                  <w:rPr>
                    <w:color w:val="000000"/>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56405089" w14:textId="10051283">
                <w:pPr>
                  <w:tabs>
                    <w:tab w:val="left" w:pos="426"/>
                    <w:tab w:val="left" w:pos="709"/>
                  </w:tabs>
                  <w:ind w:left="720" w:hanging="720"/>
                  <w:jc w:val="center"/>
                  <w:rPr>
                    <w:color w:val="000000"/>
                    <w:szCs w:val="24"/>
                  </w:rPr>
                </w:pPr>
                <w:r>
                  <w:rPr>
                    <w:color w:val="000000"/>
                    <w:szCs w:val="24"/>
                  </w:rPr>
                  <w:t>FS-01-01</w:t>
                </w:r>
              </w:p>
            </w:tc>
            <w:tc>
              <w:tcPr>
                <w:tcW w:w="2890" w:type="dxa"/>
                <w:tcBorders>
                  <w:top w:val="single" w:sz="8" w:space="0" w:color="auto"/>
                  <w:left w:val="single" w:sz="8" w:space="0" w:color="auto"/>
                  <w:bottom w:val="single" w:sz="8" w:space="0" w:color="auto"/>
                  <w:right w:val="single" w:sz="8" w:space="0" w:color="auto"/>
                </w:tcBorders>
              </w:tcPr>
              <w:p w14:paraId="7C5E7D72" w14:textId="02F19147">
                <w:pPr>
                  <w:tabs>
                    <w:tab w:val="left" w:pos="426"/>
                    <w:tab w:val="left" w:pos="709"/>
                  </w:tabs>
                  <w:ind w:left="720" w:hanging="720"/>
                  <w:jc w:val="center"/>
                  <w:rPr>
                    <w:color w:val="000000"/>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4FFF6AE9" w14:textId="085EF031">
                <w:pPr>
                  <w:jc w:val="center"/>
                  <w:rPr>
                    <w:color w:val="000000"/>
                    <w:szCs w:val="24"/>
                  </w:rPr>
                </w:pPr>
                <w:r>
                  <w:rPr>
                    <w:color w:val="000000"/>
                    <w:szCs w:val="24"/>
                  </w:rPr>
                  <w:t>Įgyvendintų privalomų matomumo ir informavimo priemonių apie ES fondų investicijų veiklas fiksuotoji suma, pirmojo rinkinio FS be PVM</w:t>
                </w:r>
              </w:p>
            </w:tc>
            <w:tc>
              <w:tcPr>
                <w:tcW w:w="3462" w:type="dxa"/>
                <w:tcBorders>
                  <w:top w:val="single" w:sz="8" w:space="0" w:color="auto"/>
                  <w:left w:val="single" w:sz="8" w:space="0" w:color="auto"/>
                  <w:bottom w:val="single" w:sz="8" w:space="0" w:color="auto"/>
                  <w:right w:val="single" w:sz="8" w:space="0" w:color="auto"/>
                </w:tcBorders>
              </w:tcPr>
              <w:p w14:paraId="14B54716" w14:textId="77777777">
                <w:pPr>
                  <w:jc w:val="center"/>
                  <w:rPr>
                    <w:sz w:val="20"/>
                  </w:rPr>
                </w:pPr>
              </w:p>
            </w:tc>
          </w:tr>
          <w:tr w14:paraId="6250B5CE" w14:textId="77777777">
            <w:tc>
              <w:tcPr>
                <w:tcW w:w="2889" w:type="dxa"/>
                <w:tcBorders>
                  <w:top w:val="single" w:sz="8" w:space="0" w:color="auto"/>
                  <w:left w:val="single" w:sz="8" w:space="0" w:color="auto"/>
                  <w:bottom w:val="single" w:sz="8" w:space="0" w:color="auto"/>
                  <w:right w:val="single" w:sz="8" w:space="0" w:color="auto"/>
                </w:tcBorders>
              </w:tcPr>
              <w:p w14:paraId="6E076D4E" w14:textId="3D313F67">
                <w:pPr>
                  <w:jc w:val="center"/>
                  <w:rPr>
                    <w:color w:val="000000"/>
                    <w:szCs w:val="24"/>
                  </w:rPr>
                </w:pPr>
                <w:r>
                  <w:rPr>
                    <w:color w:val="000000"/>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2DF9499D" w14:textId="2255D930">
                <w:pPr>
                  <w:tabs>
                    <w:tab w:val="left" w:pos="426"/>
                    <w:tab w:val="left" w:pos="709"/>
                  </w:tabs>
                  <w:ind w:left="720" w:hanging="720"/>
                  <w:jc w:val="center"/>
                  <w:rPr>
                    <w:color w:val="000000"/>
                    <w:szCs w:val="24"/>
                  </w:rPr>
                </w:pPr>
                <w:r>
                  <w:rPr>
                    <w:color w:val="000000"/>
                    <w:szCs w:val="24"/>
                  </w:rPr>
                  <w:t>FS-01-02</w:t>
                </w:r>
              </w:p>
            </w:tc>
            <w:tc>
              <w:tcPr>
                <w:tcW w:w="2890" w:type="dxa"/>
                <w:tcBorders>
                  <w:top w:val="single" w:sz="8" w:space="0" w:color="auto"/>
                  <w:left w:val="single" w:sz="8" w:space="0" w:color="auto"/>
                  <w:bottom w:val="single" w:sz="8" w:space="0" w:color="auto"/>
                  <w:right w:val="single" w:sz="8" w:space="0" w:color="auto"/>
                </w:tcBorders>
              </w:tcPr>
              <w:p w14:paraId="4F89E4AD" w14:textId="255A1459">
                <w:pPr>
                  <w:tabs>
                    <w:tab w:val="left" w:pos="426"/>
                    <w:tab w:val="left" w:pos="709"/>
                  </w:tabs>
                  <w:ind w:left="720" w:hanging="720"/>
                  <w:jc w:val="center"/>
                  <w:rPr>
                    <w:color w:val="000000"/>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7816961D" w14:textId="0BCB5EE5">
                <w:pPr>
                  <w:jc w:val="center"/>
                  <w:rPr>
                    <w:color w:val="000000"/>
                    <w:szCs w:val="24"/>
                  </w:rPr>
                </w:pPr>
                <w:r>
                  <w:rPr>
                    <w:color w:val="000000"/>
                    <w:szCs w:val="24"/>
                  </w:rPr>
                  <w:t>Įgyvendintų privalomų matomumo ir informavimo priemonių apie ES fondų investicijų veiklas fiksuotoji suma, pirmojo rinkinio FS su PVM</w:t>
                </w:r>
              </w:p>
            </w:tc>
            <w:tc>
              <w:tcPr>
                <w:tcW w:w="3462" w:type="dxa"/>
                <w:tcBorders>
                  <w:top w:val="single" w:sz="8" w:space="0" w:color="auto"/>
                  <w:left w:val="single" w:sz="8" w:space="0" w:color="auto"/>
                  <w:bottom w:val="single" w:sz="8" w:space="0" w:color="auto"/>
                  <w:right w:val="single" w:sz="8" w:space="0" w:color="auto"/>
                </w:tcBorders>
              </w:tcPr>
              <w:p w14:paraId="1589CB80" w14:textId="77777777">
                <w:pPr>
                  <w:jc w:val="center"/>
                  <w:rPr>
                    <w:sz w:val="20"/>
                  </w:rPr>
                </w:pPr>
              </w:p>
            </w:tc>
          </w:tr>
          <w:tr w14:paraId="4393EA87" w14:textId="77777777">
            <w:tc>
              <w:tcPr>
                <w:tcW w:w="2889" w:type="dxa"/>
                <w:tcBorders>
                  <w:top w:val="single" w:sz="8" w:space="0" w:color="auto"/>
                  <w:left w:val="single" w:sz="8" w:space="0" w:color="auto"/>
                  <w:bottom w:val="single" w:sz="8" w:space="0" w:color="auto"/>
                  <w:right w:val="single" w:sz="8" w:space="0" w:color="auto"/>
                </w:tcBorders>
              </w:tcPr>
              <w:p w14:paraId="174C40C0" w14:textId="14043263">
                <w:pPr>
                  <w:jc w:val="center"/>
                  <w:rPr>
                    <w:color w:val="000000"/>
                    <w:szCs w:val="24"/>
                  </w:rPr>
                </w:pPr>
                <w:r>
                  <w:rPr>
                    <w:color w:val="000000"/>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635CCA9B" w14:textId="77777777">
                <w:pPr>
                  <w:tabs>
                    <w:tab w:val="left" w:pos="426"/>
                    <w:tab w:val="left" w:pos="709"/>
                  </w:tabs>
                  <w:ind w:left="720" w:hanging="720"/>
                  <w:jc w:val="center"/>
                  <w:rPr>
                    <w:color w:val="000000"/>
                    <w:szCs w:val="24"/>
                  </w:rPr>
                </w:pPr>
                <w:r>
                  <w:rPr>
                    <w:color w:val="000000"/>
                    <w:szCs w:val="24"/>
                  </w:rPr>
                  <w:t>FS-01-03</w:t>
                  <w:tab/>
                </w:r>
              </w:p>
            </w:tc>
            <w:tc>
              <w:tcPr>
                <w:tcW w:w="2890" w:type="dxa"/>
                <w:tcBorders>
                  <w:top w:val="single" w:sz="8" w:space="0" w:color="auto"/>
                  <w:left w:val="single" w:sz="8" w:space="0" w:color="auto"/>
                  <w:bottom w:val="single" w:sz="8" w:space="0" w:color="auto"/>
                  <w:right w:val="single" w:sz="8" w:space="0" w:color="auto"/>
                </w:tcBorders>
              </w:tcPr>
              <w:p w14:paraId="79D599BC" w14:textId="000DC67A">
                <w:pPr>
                  <w:tabs>
                    <w:tab w:val="left" w:pos="426"/>
                    <w:tab w:val="left" w:pos="709"/>
                  </w:tabs>
                  <w:ind w:left="720" w:hanging="720"/>
                  <w:jc w:val="center"/>
                  <w:rPr>
                    <w:color w:val="000000"/>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1277C40D" w14:textId="77777777">
                <w:pPr>
                  <w:jc w:val="center"/>
                  <w:rPr>
                    <w:color w:val="000000"/>
                    <w:szCs w:val="24"/>
                  </w:rPr>
                </w:pPr>
                <w:r>
                  <w:rPr>
                    <w:color w:val="000000"/>
                    <w:szCs w:val="24"/>
                  </w:rPr>
                  <w:t>Įgyvendintų privalomų matomumo ir informavimo priemonių apie ES fondų investicijų veiklas fiksuotoji suma, antrojo rinkinio FS be PVM</w:t>
                </w:r>
              </w:p>
            </w:tc>
            <w:tc>
              <w:tcPr>
                <w:tcW w:w="3462" w:type="dxa"/>
                <w:tcBorders>
                  <w:top w:val="single" w:sz="8" w:space="0" w:color="auto"/>
                  <w:left w:val="single" w:sz="8" w:space="0" w:color="auto"/>
                  <w:bottom w:val="single" w:sz="8" w:space="0" w:color="auto"/>
                  <w:right w:val="single" w:sz="8" w:space="0" w:color="auto"/>
                </w:tcBorders>
              </w:tcPr>
              <w:p w14:paraId="17A8D8DA" w14:textId="77777777">
                <w:pPr>
                  <w:jc w:val="center"/>
                  <w:rPr>
                    <w:sz w:val="20"/>
                  </w:rPr>
                </w:pPr>
              </w:p>
            </w:tc>
          </w:tr>
          <w:tr w14:paraId="6385A80C" w14:textId="77777777">
            <w:tc>
              <w:tcPr>
                <w:tcW w:w="2889" w:type="dxa"/>
                <w:tcBorders>
                  <w:top w:val="single" w:sz="8" w:space="0" w:color="auto"/>
                  <w:left w:val="single" w:sz="8" w:space="0" w:color="auto"/>
                  <w:bottom w:val="single" w:sz="8" w:space="0" w:color="auto"/>
                  <w:right w:val="single" w:sz="8" w:space="0" w:color="auto"/>
                </w:tcBorders>
              </w:tcPr>
              <w:p w14:paraId="1C9913E3" w14:textId="2B83E6E0">
                <w:pPr>
                  <w:jc w:val="center"/>
                  <w:rPr>
                    <w:szCs w:val="24"/>
                  </w:rPr>
                </w:pPr>
                <w:r>
                  <w:rPr>
                    <w:color w:val="000000"/>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379CB2F3" w14:textId="77777777">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1189D2B2" w14:textId="7E3CEDD3">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F64B5E7" w14:textId="77777777">
                <w:pPr>
                  <w:jc w:val="center"/>
                  <w:rPr>
                    <w:szCs w:val="24"/>
                  </w:rPr>
                </w:pPr>
                <w:r>
                  <w:rPr>
                    <w:color w:val="000000"/>
                    <w:szCs w:val="24"/>
                    <w:lang w:eastAsia="lt-LT"/>
                  </w:rPr>
                  <w:t>Įgyvendintų privalomų matomumo ir informavimo priemonių apie ES fondų investicijų veiklas fiksuotoji suma, antrojo rinkinio fiksuotoji suma su PVM</w:t>
                </w:r>
              </w:p>
            </w:tc>
            <w:tc>
              <w:tcPr>
                <w:tcW w:w="3462" w:type="dxa"/>
                <w:tcBorders>
                  <w:top w:val="single" w:sz="8" w:space="0" w:color="auto"/>
                  <w:left w:val="single" w:sz="8" w:space="0" w:color="auto"/>
                  <w:bottom w:val="single" w:sz="8" w:space="0" w:color="auto"/>
                  <w:right w:val="single" w:sz="8" w:space="0" w:color="auto"/>
                </w:tcBorders>
              </w:tcPr>
              <w:p w14:paraId="05A34473" w14:textId="77777777">
                <w:pPr>
                  <w:jc w:val="center"/>
                  <w:rPr>
                    <w:szCs w:val="24"/>
                  </w:rPr>
                </w:pPr>
                <w:r>
                  <w:rPr>
                    <w:szCs w:val="24"/>
                  </w:rPr>
                  <w:t>-</w:t>
                </w:r>
              </w:p>
            </w:tc>
          </w:tr>
          <w:tr w14:paraId="5A79D3A1" w14:textId="77777777">
            <w:tc>
              <w:tcPr>
                <w:tcW w:w="2889" w:type="dxa"/>
                <w:tcBorders>
                  <w:top w:val="single" w:sz="8" w:space="0" w:color="auto"/>
                  <w:left w:val="single" w:sz="8" w:space="0" w:color="auto"/>
                  <w:bottom w:val="single" w:sz="8" w:space="0" w:color="auto"/>
                  <w:right w:val="single" w:sz="8" w:space="0" w:color="auto"/>
                </w:tcBorders>
              </w:tcPr>
              <w:p w14:paraId="198CBE03" w14:textId="027CA5F3">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76230E9" w14:textId="77777777">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1CFB40D9" w14:textId="02F71D25">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DF39561" w14:textId="1ED310DB">
                <w:pPr>
                  <w:jc w:val="center"/>
                  <w:rPr>
                    <w:szCs w:val="24"/>
                    <w:lang w:eastAsia="lt-LT"/>
                  </w:rPr>
                </w:pPr>
                <w:r>
                  <w:rPr>
                    <w:szCs w:val="24"/>
                    <w:shd w:val="clear" w:color="auto" w:fill="FFFFFF"/>
                  </w:rPr>
                  <w:t>Fiksuotoji norma, taikoma, kai priklauso 20 d. d. (jeigu dirbama 5 d. d. per savaitę) arba 24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4B68E32" w14:textId="77777777">
                <w:pPr>
                  <w:jc w:val="center"/>
                  <w:rPr>
                    <w:szCs w:val="24"/>
                  </w:rPr>
                </w:pPr>
                <w:r>
                  <w:rPr>
                    <w:szCs w:val="24"/>
                  </w:rPr>
                  <w:t>-</w:t>
                </w:r>
              </w:p>
            </w:tc>
          </w:tr>
          <w:tr w14:paraId="4918DFF9" w14:textId="77777777">
            <w:tc>
              <w:tcPr>
                <w:tcW w:w="2889" w:type="dxa"/>
                <w:tcBorders>
                  <w:top w:val="single" w:sz="8" w:space="0" w:color="auto"/>
                  <w:left w:val="single" w:sz="8" w:space="0" w:color="auto"/>
                  <w:bottom w:val="single" w:sz="8" w:space="0" w:color="auto"/>
                  <w:right w:val="single" w:sz="8" w:space="0" w:color="auto"/>
                </w:tcBorders>
              </w:tcPr>
              <w:p w14:paraId="0EB89B90" w14:textId="5D25BAF5">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B348F25" w14:textId="77777777">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0A646240" w14:textId="0B82216B">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4819E2A1" w14:textId="77777777">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241808DE" w14:textId="77777777">
                <w:pPr>
                  <w:jc w:val="center"/>
                  <w:rPr>
                    <w:szCs w:val="24"/>
                  </w:rPr>
                </w:pPr>
                <w:r>
                  <w:rPr>
                    <w:szCs w:val="24"/>
                  </w:rPr>
                  <w:t>-</w:t>
                </w:r>
              </w:p>
            </w:tc>
          </w:tr>
          <w:tr w14:paraId="7FD16B0F" w14:textId="77777777">
            <w:tc>
              <w:tcPr>
                <w:tcW w:w="2889" w:type="dxa"/>
                <w:tcBorders>
                  <w:top w:val="single" w:sz="8" w:space="0" w:color="auto"/>
                  <w:left w:val="single" w:sz="8" w:space="0" w:color="auto"/>
                  <w:bottom w:val="single" w:sz="8" w:space="0" w:color="auto"/>
                  <w:right w:val="single" w:sz="8" w:space="0" w:color="auto"/>
                </w:tcBorders>
              </w:tcPr>
              <w:p w14:paraId="5A553D8E" w14:textId="1A48BE98">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3275238" w14:textId="77777777">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6689FBD1" w14:textId="73C493F3">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568E7A15" w14:textId="77777777">
                <w:pPr>
                  <w:jc w:val="center"/>
                  <w:rPr>
                    <w:szCs w:val="24"/>
                    <w:lang w:eastAsia="lt-LT"/>
                  </w:rPr>
                </w:pPr>
                <w:r>
                  <w:rPr>
                    <w:szCs w:val="24"/>
                    <w:shd w:val="clear" w:color="auto" w:fill="FFFFFF"/>
                  </w:rPr>
                  <w:t>Fiksuotoji norma, taikoma, kai priklauso nuo 26 iki 30 d. d. (jeigu dirbama 5 d. d. per savaitę) arba nuo 31 iki 36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2EE6CD1" w14:textId="77777777">
                <w:pPr>
                  <w:jc w:val="center"/>
                  <w:rPr>
                    <w:szCs w:val="24"/>
                  </w:rPr>
                </w:pPr>
                <w:r>
                  <w:rPr>
                    <w:szCs w:val="24"/>
                  </w:rPr>
                  <w:t>-</w:t>
                </w:r>
              </w:p>
            </w:tc>
          </w:tr>
          <w:tr w14:paraId="75C8F3D9" w14:textId="77777777">
            <w:tc>
              <w:tcPr>
                <w:tcW w:w="2889" w:type="dxa"/>
                <w:tcBorders>
                  <w:top w:val="single" w:sz="8" w:space="0" w:color="auto"/>
                  <w:left w:val="single" w:sz="8" w:space="0" w:color="auto"/>
                  <w:bottom w:val="single" w:sz="8" w:space="0" w:color="auto"/>
                  <w:right w:val="single" w:sz="8" w:space="0" w:color="auto"/>
                </w:tcBorders>
              </w:tcPr>
              <w:p w14:paraId="20051630" w14:textId="576CBD19">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E30ED1A" w14:textId="77777777">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3604EB18" w14:textId="019F509C">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5BBB9E1" w14:textId="77777777">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DD6D57D" w14:textId="77777777">
                <w:pPr>
                  <w:jc w:val="center"/>
                  <w:rPr>
                    <w:szCs w:val="24"/>
                  </w:rPr>
                </w:pPr>
                <w:r>
                  <w:rPr>
                    <w:szCs w:val="24"/>
                  </w:rPr>
                  <w:t>-</w:t>
                </w:r>
              </w:p>
            </w:tc>
          </w:tr>
          <w:tr w14:paraId="0E70BE4B" w14:textId="77777777">
            <w:tc>
              <w:tcPr>
                <w:tcW w:w="2889" w:type="dxa"/>
                <w:tcBorders>
                  <w:top w:val="single" w:sz="8" w:space="0" w:color="auto"/>
                  <w:left w:val="single" w:sz="8" w:space="0" w:color="auto"/>
                  <w:bottom w:val="single" w:sz="8" w:space="0" w:color="auto"/>
                  <w:right w:val="single" w:sz="8" w:space="0" w:color="auto"/>
                </w:tcBorders>
              </w:tcPr>
              <w:p w14:paraId="393FCB10" w14:textId="57E4330F">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F5DE8C5" w14:textId="77777777">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30B7C41B" w14:textId="68879DBD">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14EB00ED" w14:textId="77777777">
                <w:pPr>
                  <w:jc w:val="center"/>
                  <w:rPr>
                    <w:szCs w:val="24"/>
                    <w:lang w:eastAsia="lt-LT"/>
                  </w:rPr>
                </w:pPr>
                <w:r>
                  <w:rPr>
                    <w:szCs w:val="24"/>
                    <w:shd w:val="clear" w:color="auto" w:fill="FFFFFF"/>
                  </w:rPr>
                  <w:t>Fiksuotoji norma, taikoma, kai priklauso nuo 37 iki 39 d. d. (jeigu dirbama 5 d. d. per savaitę) arba nuo 43 iki 47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68F31A8" w14:textId="77777777">
                <w:pPr>
                  <w:jc w:val="center"/>
                  <w:rPr>
                    <w:szCs w:val="24"/>
                  </w:rPr>
                </w:pPr>
                <w:r>
                  <w:rPr>
                    <w:szCs w:val="24"/>
                  </w:rPr>
                  <w:t>-</w:t>
                </w:r>
              </w:p>
            </w:tc>
          </w:tr>
          <w:tr w14:paraId="107FBC8B" w14:textId="77777777">
            <w:tc>
              <w:tcPr>
                <w:tcW w:w="2889" w:type="dxa"/>
                <w:tcBorders>
                  <w:top w:val="single" w:sz="8" w:space="0" w:color="auto"/>
                  <w:left w:val="single" w:sz="8" w:space="0" w:color="auto"/>
                  <w:bottom w:val="single" w:sz="8" w:space="0" w:color="auto"/>
                  <w:right w:val="single" w:sz="8" w:space="0" w:color="auto"/>
                </w:tcBorders>
              </w:tcPr>
              <w:p w14:paraId="164108EF" w14:textId="35BB586B">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8006974" w14:textId="77777777">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22DA5C90" w14:textId="6F3BC4E7">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2E1DB67D" w14:textId="77777777">
                <w:pPr>
                  <w:jc w:val="center"/>
                  <w:rPr>
                    <w:szCs w:val="24"/>
                    <w:lang w:eastAsia="lt-LT"/>
                  </w:rPr>
                </w:pPr>
                <w:r>
                  <w:rPr>
                    <w:szCs w:val="24"/>
                    <w:shd w:val="clear" w:color="auto" w:fill="FFFFFF"/>
                  </w:rPr>
                  <w:t>Fiksuotoji norma, taikoma, kai priklauso 40 d. d. (jeigu dirbama 5 d. d. per savaitę) arba 48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44EE9966" w14:textId="77777777">
                <w:pPr>
                  <w:jc w:val="center"/>
                  <w:rPr>
                    <w:szCs w:val="24"/>
                  </w:rPr>
                </w:pPr>
                <w:r>
                  <w:rPr>
                    <w:szCs w:val="24"/>
                  </w:rPr>
                  <w:t>-</w:t>
                </w:r>
              </w:p>
            </w:tc>
          </w:tr>
          <w:tr w14:paraId="3F426B1E" w14:textId="77777777">
            <w:tc>
              <w:tcPr>
                <w:tcW w:w="2889" w:type="dxa"/>
                <w:tcBorders>
                  <w:top w:val="single" w:sz="8" w:space="0" w:color="auto"/>
                  <w:left w:val="single" w:sz="8" w:space="0" w:color="auto"/>
                  <w:bottom w:val="single" w:sz="8" w:space="0" w:color="auto"/>
                  <w:right w:val="single" w:sz="8" w:space="0" w:color="auto"/>
                </w:tcBorders>
              </w:tcPr>
              <w:p w14:paraId="0F70D5D9" w14:textId="62FDCF6C">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6C8A5E5" w14:textId="77777777">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0A9127A6" w14:textId="3E0B45AA">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DAABCAE" w14:textId="77777777">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A1553F4" w14:textId="77777777">
                <w:pPr>
                  <w:jc w:val="center"/>
                  <w:rPr>
                    <w:szCs w:val="24"/>
                  </w:rPr>
                </w:pPr>
                <w:r>
                  <w:rPr>
                    <w:szCs w:val="24"/>
                  </w:rPr>
                  <w:t>-</w:t>
                </w:r>
              </w:p>
            </w:tc>
          </w:tr>
        </w:tbl>
        <w:p w14:paraId="7CFBBA93" w14:textId="77777777">
          <w:pPr>
            <w:rPr>
              <w:sz w:val="18"/>
              <w:szCs w:val="18"/>
            </w:rPr>
          </w:pPr>
        </w:p>
        <w:sdt>
          <w:sdtPr>
            <w:alias w:val="pabaiga"/>
            <w:tag w:val="part_499549d317834bb997134914fffa29f0"/>
            <w:lock w:val="sdtLocked"/>
            <w:richText/>
          </w:sdtPr>
          <w:sdtContent>
            <w:p w14:paraId="6031890B" w14:textId="77777777">
              <w:pPr>
                <w:spacing w:line="276" w:lineRule="auto"/>
                <w:jc w:val="center"/>
                <w:rPr>
                  <w:szCs w:val="24"/>
                </w:rPr>
              </w:pPr>
              <w:r>
                <w:rPr>
                  <w:rFonts w:eastAsia="Calibri"/>
                  <w:szCs w:val="24"/>
                </w:rPr>
                <w:t>________________</w:t>
              </w:r>
            </w:p>
          </w:sdtContent>
        </w:sdt>
      </w:sdtContent>
    </w:sdt>
    <w:sectPr>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FC9DA1" w14:textId="77777777">
      <w:pPr>
        <w:rPr>
          <w:sz w:val="22"/>
          <w:szCs w:val="22"/>
        </w:rPr>
      </w:pPr>
      <w:r>
        <w:rPr>
          <w:sz w:val="22"/>
          <w:szCs w:val="22"/>
        </w:rPr>
        <w:separator/>
      </w:r>
    </w:p>
  </w:endnote>
  <w:endnote w:type="continuationSeparator" w:id="0">
    <w:p w14:paraId="2F7EB338" w14:textId="77777777">
      <w:pPr>
        <w:rPr>
          <w:sz w:val="22"/>
          <w:szCs w:val="22"/>
        </w:rPr>
      </w:pPr>
      <w:r>
        <w:rPr>
          <w:sz w:val="22"/>
          <w:szCs w:val="22"/>
        </w:rPr>
        <w:continuationSeparator/>
      </w:r>
    </w:p>
  </w:endnote>
  <w:endnote w:type="continuationNotice" w:id="1">
    <w:p w14:paraId="7AA98D5B"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AA6F19" w14:textId="77777777">
      <w:pPr>
        <w:rPr>
          <w:sz w:val="22"/>
          <w:szCs w:val="22"/>
        </w:rPr>
      </w:pPr>
      <w:r>
        <w:rPr>
          <w:sz w:val="22"/>
          <w:szCs w:val="22"/>
        </w:rPr>
        <w:separator/>
      </w:r>
    </w:p>
  </w:footnote>
  <w:footnote w:type="continuationSeparator" w:id="0">
    <w:p w14:paraId="3F01EBA2" w14:textId="77777777">
      <w:pPr>
        <w:rPr>
          <w:sz w:val="22"/>
          <w:szCs w:val="22"/>
        </w:rPr>
      </w:pPr>
      <w:r>
        <w:rPr>
          <w:sz w:val="22"/>
          <w:szCs w:val="22"/>
        </w:rPr>
        <w:continuationSeparator/>
      </w:r>
    </w:p>
  </w:footnote>
  <w:footnote w:type="continuationNotice" w:id="1">
    <w:p w14:paraId="33EB6963" w14:textId="77777777">
      <w:pPr>
        <w:rPr>
          <w:sz w:val="22"/>
          <w:szCs w:val="22"/>
        </w:rPr>
      </w:pPr>
    </w:p>
  </w:footnote>
  <w:footnote w:id="2">
    <w:p w14:paraId="35EDD0F8" w14:textId="77777777">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 w:id="3">
    <w:p w14:paraId="391DD3C9" w14:textId="0E423708">
      <w:pPr>
        <w:rPr>
          <w:sz w:val="20"/>
        </w:rPr>
      </w:pPr>
      <w:r>
        <w:rPr>
          <w:sz w:val="20"/>
          <w:vertAlign w:val="superscript"/>
        </w:rPr>
        <w:footnoteRef/>
      </w:r>
      <w:r>
        <w:rPr>
          <w:sz w:val="20"/>
        </w:rPr>
        <w:t xml:space="preserve"> </w:t>
      </w:r>
      <w:r>
        <w:rPr>
          <w:color w:val="0563C1"/>
          <w:sz w:val="20"/>
          <w:u w:val="single"/>
        </w:rPr>
        <w:t>https://eur-lex.europa.eu/legal-content/LT/TXT/HTML/?uri=CELEX:32012R0520&amp;from=LT</w:t>
      </w:r>
    </w:p>
    <w:p w14:paraId="0DDFC782" w14:textId="77777777">
      <w:pPr>
        <w:rPr>
          <w:sz w:val="20"/>
        </w:rPr>
      </w:pPr>
    </w:p>
  </w:footnote>
  <w:footnote w:id="4">
    <w:p w14:paraId="45A2C995" w14:textId="77777777">
      <w:pPr>
        <w:rPr>
          <w:sz w:val="20"/>
        </w:rPr>
      </w:pPr>
      <w:r>
        <w:rPr>
          <w:sz w:val="20"/>
          <w:vertAlign w:val="superscript"/>
        </w:rPr>
        <w:footnoteRef/>
      </w:r>
      <w:r>
        <w:rPr>
          <w:sz w:val="20"/>
        </w:rPr>
        <w:t xml:space="preserve"> Veikliosios medžiagos, farmacijos produktai, organizacijos ir sąsajos (angl. substances, products, organisations and referentials – SPOR).</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5F5B0C76">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15</w:t>
    </w:r>
    <w:r>
      <w:rPr>
        <w:szCs w:val="22"/>
      </w:rPr>
      <w:fldChar w:fldCharType="end"/>
    </w:r>
  </w:p>
  <w:p w14:paraId="4507E6F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807E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498546300">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56784165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9690949">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1918050474">
      <w:bodyDiv w:val="1"/>
      <w:marLeft w:val="0"/>
      <w:marRight w:val="0"/>
      <w:marTop w:val="0"/>
      <w:marBottom w:val="0"/>
      <w:divBdr>
        <w:top w:val="none" w:sz="0" w:space="0" w:color="auto"/>
        <w:left w:val="none" w:sz="0" w:space="0" w:color="auto"/>
        <w:bottom w:val="none" w:sz="0" w:space="0" w:color="auto"/>
        <w:right w:val="none" w:sz="0" w:space="0" w:color="auto"/>
      </w:divBdr>
    </w:div>
    <w:div w:id="2006785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9" Type="http://schemas.openxmlformats.org/officeDocument/2006/relationships/customXml" Target="../customXml/item6.xml"/>
  <Relationship Id="rId2" Type="http://schemas.openxmlformats.org/officeDocument/2006/relationships/customXml" Target="../customXml/item2.xml"/>
  <Relationship Id="rId22" Type="http://schemas.openxmlformats.org/officeDocument/2006/relationships/header" Target="header1.xml"/>
  <Relationship Id="rId23" Type="http://schemas.openxmlformats.org/officeDocument/2006/relationships/header" Target="header2.xml"/>
  <Relationship Id="rId24" Type="http://schemas.openxmlformats.org/officeDocument/2006/relationships/footer" Target="footer1.xml"/>
  <Relationship Id="rId25" Type="http://schemas.openxmlformats.org/officeDocument/2006/relationships/footer" Target="footer2.xml"/>
  <Relationship Id="rId26" Type="http://schemas.openxmlformats.org/officeDocument/2006/relationships/header" Target="header3.xml"/>
  <Relationship Id="rId27" Type="http://schemas.openxmlformats.org/officeDocument/2006/relationships/footer" Target="footer3.xml"/>
  <Relationship Id="rId28" Type="http://schemas.openxmlformats.org/officeDocument/2006/relationships/fontTable" Target="fontTable.xml"/>
  <Relationship Id="rId29"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4" Abbr="4 pr." Title="2022–2030 METŲ SVEIKATOS PRIEŽIŪROS KOKYBĖS IR EFEKTYVUMO DIDINIMO PLĖTROS PROGRAMOS PAŽANGOS PRIEMONĖS NR. 11-002-02-11-01 „GERINTI SVEIKATOS PRIEŽIŪROS PASLAUGŲ KOKYBĘ IR PRIEINAMUMĄ“ PROJEKTŲ FINANSAVIMO SĄLYGŲ APRAŠAS NR. 4" DocPartId="3f65e662b4c041dea773519578ddecf8" PartId="6f6ee5d214a44ad29caeaa5c5c9559c0">
    <Part Type="pabaiga" DocPartId="a726cb8ffbd54a5ab3260922fc35149d" PartId="499549d317834bb997134914fffa29f0"/>
  </Part>
</Parts>
</file>

<file path=customXml/itemProps1.xml><?xml version="1.0" encoding="utf-8"?>
<ds:datastoreItem xmlns:ds="http://schemas.openxmlformats.org/officeDocument/2006/customXml" ds:itemID="{60CD7225-E604-47CA-B2D7-1DE17997A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A9F78BF9-C85F-4B89-B894-80908A17DBCF}">
  <ds:schemaRefs>
    <ds:schemaRef ds:uri="http://schemas.openxmlformats.org/officeDocument/2006/bibliography"/>
  </ds:schemaRefs>
</ds:datastoreItem>
</file>

<file path=customXml/itemProps5.xml><?xml version="1.0" encoding="utf-8"?>
<ds:datastoreItem xmlns:ds="http://schemas.openxmlformats.org/officeDocument/2006/customXml" ds:itemID="{9821F7F2-55A8-4150-B269-9F60392A7246}">
  <ds:schemaRefs>
    <ds:schemaRef ds:uri="http://schemas.openxmlformats.org/officeDocument/2006/bibliography"/>
  </ds:schemaRefs>
</ds:datastoreItem>
</file>

<file path=customXml/itemProps6.xml><?xml version="1.0" encoding="utf-8"?>
<ds:datastoreItem xmlns:ds="http://schemas.openxmlformats.org/officeDocument/2006/customXml" ds:itemID="{81F31406-D35C-4A9C-BB34-F2C5C8994B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5008</Words>
  <Characters>36213</Characters>
  <Application>Microsoft Office Word</Application>
  <DocSecurity>4</DocSecurity>
  <Lines>670</Lines>
  <Paragraphs>298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PFSA_2022-10-06__po_CPVA_ir_SAM (1)</vt:lpstr>
      <vt:lpstr>PFSA_2022-10-06__po_CPVA_ir_SAM (1)</vt:lpstr>
    </vt:vector>
  </TitlesOfParts>
  <Company>HP Inc.</Company>
  <LinksUpToDate>false</LinksUpToDate>
  <CharactersWithSpaces>40923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2023-01-05T14:25:00Z</dcterms:created>
  <dc:creator>Virginija Levinskienė</dc:creator>
  <lastModifiedBy>adlibuser</lastModifiedBy>
  <lastPrinted>2022-08-08T10:12:00Z</lastPrinted>
  <dcterms:modified xsi:type="dcterms:W3CDTF">2023-01-05T14:25:00Z</dcterms:modified>
  <revision>2</revision>
  <dc:title>PFSA_2022-10-06__po_CPVA_ir_SAM (1)</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96;#Gintaras Maželis;#90;#Laura Neliupšytė;#1119;#Mantas Bernotas;#1089;#Rasa Mockutė;#165;#Lina Šimkevičienė;#166;#Margarita Kairienė</vt:lpwstr>
  </property>
  <property fmtid="{D5CDD505-2E9C-101B-9397-08002B2CF9AE}" pid="4" name="ContentTypeId">
    <vt:lpwstr>0x010100D76F90AF19434866994CD715ED8FEE4200712820E1B0DE314FBCE77D75ADAD206D</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TaxCatchAll">
    <vt:lpwstr/>
  </property>
  <property fmtid="{D5CDD505-2E9C-101B-9397-08002B2CF9AE}" pid="7" name="GrammarlyDocumentId">
    <vt:lpwstr>bb4366ab875723360eb2f14285414502bd1865e9fb9ce861b2e6f8271073d782</vt:lpwstr>
  </property>
  <property fmtid="{D5CDD505-2E9C-101B-9397-08002B2CF9AE}" pid="8" name="DmsDocPrepDocSendRegReal">
    <vt:bool>false</vt:bool>
  </property>
</Properties>
</file>