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649a1a8909e4c9e90516dd854dc2cde"/>
        <w:lock w:val="sdtLocked"/>
        <w:richText/>
      </w:sdtPr>
      <w:sdtContent>
        <w:p w14:paraId="0C2FE2DE" w14:textId="77777777">
          <w:pPr>
            <w:tabs>
              <w:tab w:val="center" w:pos="4986"/>
              <w:tab w:val="right" w:pos="9972"/>
            </w:tabs>
          </w:pPr>
        </w:p>
        <w:p w14:paraId="0EC34C64" w14:textId="77777777">
          <w:pPr>
            <w:tabs>
              <w:tab w:val="center" w:pos="4819"/>
              <w:tab w:val="right" w:pos="9638"/>
            </w:tabs>
            <w:rPr>
              <w:sz w:val="22"/>
              <w:szCs w:val="22"/>
            </w:rPr>
          </w:pPr>
        </w:p>
        <w:p w14:paraId="4B83FF4B" w14:textId="11BA4DE2">
          <w:pPr>
            <w:ind w:left="11057"/>
            <w:jc w:val="both"/>
            <w:rPr>
              <w:szCs w:val="24"/>
            </w:rPr>
          </w:pPr>
          <w:r>
            <w:rPr>
              <w:szCs w:val="24"/>
            </w:rPr>
            <w:t>2022</w:t>
          </w:r>
          <w:r>
            <w:rPr>
              <w:b/>
              <w:bCs/>
              <w:iCs/>
              <w:sz w:val="22"/>
              <w:szCs w:val="22"/>
            </w:rPr>
            <w:t>–</w:t>
          </w:r>
          <w:r>
            <w:rPr>
              <w:szCs w:val="24"/>
            </w:rPr>
            <w:t xml:space="preserve">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51DA213" w14:textId="5E736503">
          <w:pPr>
            <w:ind w:left="11057"/>
            <w:jc w:val="both"/>
            <w:rPr>
              <w:szCs w:val="24"/>
            </w:rPr>
          </w:pPr>
          <w:sdt>
            <w:sdtPr>
              <w:alias w:val="Numeris"/>
              <w:tag w:val="nr_a649a1a8909e4c9e90516dd854dc2cde"/>
              <w:lock w:val="sdtLocked"/>
              <w:richText/>
            </w:sdtPr>
            <w:sdtContent>
              <w:r>
                <w:rPr>
                  <w:szCs w:val="24"/>
                </w:rPr>
                <w:t>1</w:t>
              </w:r>
            </w:sdtContent>
          </w:sdt>
          <w:r>
            <w:rPr>
              <w:szCs w:val="24"/>
            </w:rPr>
            <w:t xml:space="preserve"> priedas </w:t>
          </w:r>
        </w:p>
        <w:p w14:paraId="1E6BFBBF" w14:textId="77777777">
          <w:pPr>
            <w:jc w:val="center"/>
            <w:rPr>
              <w:i/>
              <w:iCs/>
              <w:szCs w:val="24"/>
            </w:rPr>
          </w:pPr>
        </w:p>
        <w:p w14:paraId="1CB0E1ED" w14:textId="247E9A3E">
          <w:pPr>
            <w:jc w:val="center"/>
            <w:rPr>
              <w:b/>
              <w:color w:val="000000"/>
              <w:szCs w:val="24"/>
              <w:lang w:eastAsia="lt-LT"/>
            </w:rPr>
          </w:pPr>
          <w:sdt>
            <w:sdtPr>
              <w:alias w:val="Pavadinimas"/>
              <w:tag w:val="title_a649a1a8909e4c9e90516dd854dc2cde"/>
              <w:lock w:val="sdtLocked"/>
              <w:richText/>
            </w:sdtPr>
            <w:sdtContent>
              <w:r>
                <w:rPr>
                  <w:b/>
                  <w:color w:val="000000"/>
                  <w:szCs w:val="24"/>
                  <w:lang w:eastAsia="lt-LT"/>
                </w:rPr>
                <w:t>2022</w:t>
              </w:r>
              <w:r>
                <w:rPr>
                  <w:b/>
                  <w:bCs/>
                  <w:iCs/>
                  <w:sz w:val="22"/>
                  <w:szCs w:val="22"/>
                </w:rPr>
                <w:t>–</w:t>
              </w:r>
              <w:r>
                <w:rPr>
                  <w:b/>
                  <w:bCs/>
                  <w:color w:val="000000"/>
                  <w:szCs w:val="24"/>
                  <w:lang w:eastAsia="lt-LT"/>
                </w:rPr>
                <w:t>2</w:t>
              </w:r>
              <w:r>
                <w:rPr>
                  <w:b/>
                  <w:color w:val="000000"/>
                  <w:szCs w:val="24"/>
                  <w:lang w:eastAsia="lt-LT"/>
                </w:rPr>
                <w:t>030 METŲ SVEIKATOS PRIEŽIŪROS KOKYBĖS IR EFEKTYVUMO DIDINIMO PLĖTROS PROGRAMOS PAŽANGOS PRIEMONĖS NR. 11-002-02-11-01 „GERINTI SVEIKATOS PRIEŽIŪROS PASLAUGŲ KOKYBĘ IR PRIEINAMUMĄ“ PROJEKTŲ FINANSAVIMO SĄLYGŲ APRAŠAS NR. 1</w:t>
              </w:r>
            </w:sdtContent>
          </w:sdt>
        </w:p>
        <w:p w14:paraId="51785D8B" w14:textId="77777777">
          <w:pPr>
            <w:jc w:val="center"/>
            <w:rPr>
              <w:szCs w:val="24"/>
            </w:rPr>
          </w:pPr>
        </w:p>
        <w:p w14:paraId="3A0CDF4C" w14:textId="77777777">
          <w:pPr>
            <w:rPr>
              <w:sz w:val="14"/>
              <w:szCs w:val="1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559"/>
            <w:gridCol w:w="1559"/>
            <w:gridCol w:w="1276"/>
            <w:gridCol w:w="1417"/>
            <w:gridCol w:w="1560"/>
            <w:gridCol w:w="1134"/>
            <w:gridCol w:w="1417"/>
            <w:gridCol w:w="1418"/>
            <w:gridCol w:w="1134"/>
            <w:gridCol w:w="1134"/>
          </w:tblGrid>
          <w:tr w14:paraId="66DA9A26" w14:textId="77777777">
            <w:tc>
              <w:tcPr>
                <w:tcW w:w="15027" w:type="dxa"/>
                <w:gridSpan w:val="11"/>
                <w:vAlign w:val="center"/>
              </w:tcPr>
              <w:p w14:paraId="14DC69FC" w14:textId="77777777">
                <w:pPr>
                  <w:rPr>
                    <w:b/>
                    <w:sz w:val="22"/>
                    <w:szCs w:val="22"/>
                  </w:rPr>
                </w:pPr>
                <w:r>
                  <w:rPr>
                    <w:b/>
                    <w:sz w:val="22"/>
                    <w:szCs w:val="22"/>
                  </w:rPr>
                  <w:t>VEIKLOS AR POVEIKLĖS, KURIOMS NUSTATOMOS PROJEKTŲ FINANSAVIMO SĄLYGOS</w:t>
                </w:r>
              </w:p>
            </w:tc>
          </w:tr>
          <w:tr w14:paraId="579A3154" w14:textId="77777777">
            <w:tc>
              <w:tcPr>
                <w:tcW w:w="1419" w:type="dxa"/>
                <w:vAlign w:val="center"/>
              </w:tcPr>
              <w:p w14:paraId="6B588715" w14:textId="77777777">
                <w:pPr>
                  <w:jc w:val="center"/>
                  <w:rPr>
                    <w:b/>
                    <w:sz w:val="22"/>
                    <w:szCs w:val="22"/>
                  </w:rPr>
                </w:pPr>
                <w:r>
                  <w:rPr>
                    <w:b/>
                    <w:sz w:val="22"/>
                    <w:szCs w:val="22"/>
                  </w:rPr>
                  <w:t>Veiklos pavadinimas</w:t>
                </w:r>
              </w:p>
            </w:tc>
            <w:tc>
              <w:tcPr>
                <w:tcW w:w="1559" w:type="dxa"/>
                <w:vAlign w:val="center"/>
              </w:tcPr>
              <w:p w14:paraId="3E432452" w14:textId="29872B63">
                <w:pPr>
                  <w:jc w:val="center"/>
                  <w:rPr>
                    <w:b/>
                    <w:sz w:val="22"/>
                    <w:szCs w:val="22"/>
                  </w:rPr>
                </w:pPr>
                <w:r>
                  <w:rPr>
                    <w:b/>
                    <w:sz w:val="22"/>
                    <w:szCs w:val="22"/>
                  </w:rPr>
                  <w:t>Finansavimo šaltinis</w:t>
                </w:r>
              </w:p>
            </w:tc>
            <w:tc>
              <w:tcPr>
                <w:tcW w:w="1559" w:type="dxa"/>
                <w:vAlign w:val="center"/>
              </w:tcPr>
              <w:p w14:paraId="30D522A6" w14:textId="18C1795D">
                <w:pPr>
                  <w:jc w:val="center"/>
                  <w:rPr>
                    <w:b/>
                    <w:sz w:val="22"/>
                    <w:szCs w:val="22"/>
                  </w:rPr>
                </w:pPr>
                <w:r>
                  <w:rPr>
                    <w:b/>
                    <w:bCs/>
                    <w:sz w:val="22"/>
                    <w:szCs w:val="22"/>
                  </w:rPr>
                  <w:t>Prioritetas ar komponentas</w:t>
                </w:r>
              </w:p>
            </w:tc>
            <w:tc>
              <w:tcPr>
                <w:tcW w:w="1276" w:type="dxa"/>
                <w:vAlign w:val="center"/>
              </w:tcPr>
              <w:p w14:paraId="7B9F115E" w14:textId="77777777">
                <w:pPr>
                  <w:jc w:val="center"/>
                  <w:rPr>
                    <w:b/>
                    <w:sz w:val="22"/>
                    <w:szCs w:val="22"/>
                  </w:rPr>
                </w:pPr>
                <w:r>
                  <w:rPr>
                    <w:b/>
                    <w:bCs/>
                    <w:sz w:val="22"/>
                    <w:szCs w:val="22"/>
                  </w:rPr>
                  <w:t>Uždavinys ar priemonė</w:t>
                </w:r>
              </w:p>
            </w:tc>
            <w:tc>
              <w:tcPr>
                <w:tcW w:w="1417" w:type="dxa"/>
                <w:vAlign w:val="center"/>
              </w:tcPr>
              <w:p w14:paraId="206A45E7" w14:textId="4C5817D2">
                <w:pPr>
                  <w:jc w:val="center"/>
                  <w:rPr>
                    <w:b/>
                    <w:sz w:val="22"/>
                    <w:szCs w:val="22"/>
                  </w:rPr>
                </w:pPr>
                <w:r>
                  <w:rPr>
                    <w:b/>
                    <w:bCs/>
                    <w:sz w:val="22"/>
                    <w:szCs w:val="22"/>
                  </w:rPr>
                  <w:t>Veikla ar papriemonė</w:t>
                </w:r>
              </w:p>
            </w:tc>
            <w:tc>
              <w:tcPr>
                <w:tcW w:w="1560" w:type="dxa"/>
                <w:vAlign w:val="center"/>
              </w:tcPr>
              <w:p w14:paraId="2808610C" w14:textId="076B315D">
                <w:pPr>
                  <w:jc w:val="center"/>
                  <w:rPr>
                    <w:b/>
                    <w:sz w:val="22"/>
                    <w:szCs w:val="22"/>
                  </w:rPr>
                </w:pPr>
                <w:r>
                  <w:rPr>
                    <w:b/>
                    <w:sz w:val="22"/>
                    <w:szCs w:val="22"/>
                  </w:rPr>
                  <w:t>Intervencinės priemonės kodas</w:t>
                </w:r>
              </w:p>
            </w:tc>
            <w:tc>
              <w:tcPr>
                <w:tcW w:w="1134" w:type="dxa"/>
                <w:vAlign w:val="center"/>
              </w:tcPr>
              <w:p w14:paraId="647FD0B0" w14:textId="70A9542F">
                <w:pPr>
                  <w:jc w:val="center"/>
                  <w:rPr>
                    <w:b/>
                    <w:sz w:val="22"/>
                    <w:szCs w:val="22"/>
                  </w:rPr>
                </w:pPr>
                <w:r>
                  <w:rPr>
                    <w:b/>
                    <w:bCs/>
                    <w:sz w:val="22"/>
                    <w:szCs w:val="22"/>
                  </w:rPr>
                  <w:t>Paramos formos kodas</w:t>
                </w:r>
              </w:p>
            </w:tc>
            <w:tc>
              <w:tcPr>
                <w:tcW w:w="1417" w:type="dxa"/>
                <w:vAlign w:val="center"/>
              </w:tcPr>
              <w:p w14:paraId="364C0C2D" w14:textId="7963ECC1">
                <w:pPr>
                  <w:jc w:val="center"/>
                  <w:rPr>
                    <w:b/>
                    <w:bCs/>
                    <w:sz w:val="22"/>
                    <w:szCs w:val="22"/>
                  </w:rPr>
                </w:pPr>
                <w:r>
                  <w:rPr>
                    <w:b/>
                    <w:bCs/>
                    <w:sz w:val="22"/>
                    <w:szCs w:val="22"/>
                  </w:rPr>
                  <w:t xml:space="preserve">Pagrindinės teritorinės srities kodas </w:t>
                </w:r>
              </w:p>
              <w:p w14:paraId="1675ED25" w14:textId="17370F20">
                <w:pPr>
                  <w:jc w:val="center"/>
                  <w:rPr>
                    <w:b/>
                    <w:sz w:val="22"/>
                    <w:szCs w:val="22"/>
                  </w:rPr>
                </w:pPr>
                <w:r>
                  <w:rPr>
                    <w:b/>
                    <w:bCs/>
                    <w:sz w:val="22"/>
                    <w:szCs w:val="22"/>
                  </w:rPr>
                  <w:t>(-ai)</w:t>
                </w:r>
              </w:p>
            </w:tc>
            <w:tc>
              <w:tcPr>
                <w:tcW w:w="1418" w:type="dxa"/>
                <w:vAlign w:val="center"/>
              </w:tcPr>
              <w:p w14:paraId="45176BEC" w14:textId="625CB8A9">
                <w:pPr>
                  <w:jc w:val="center"/>
                  <w:rPr>
                    <w:b/>
                    <w:sz w:val="22"/>
                    <w:szCs w:val="22"/>
                  </w:rPr>
                </w:pPr>
                <w:r>
                  <w:rPr>
                    <w:b/>
                    <w:bCs/>
                    <w:sz w:val="22"/>
                    <w:szCs w:val="22"/>
                  </w:rPr>
                  <w:t>Ekonominės veiklos kodas (-ai)</w:t>
                </w:r>
              </w:p>
            </w:tc>
            <w:tc>
              <w:tcPr>
                <w:tcW w:w="1134" w:type="dxa"/>
              </w:tcPr>
              <w:p w14:paraId="609CAE1B" w14:textId="5B075724">
                <w:pPr>
                  <w:jc w:val="center"/>
                  <w:rPr>
                    <w:b/>
                    <w:bCs/>
                    <w:sz w:val="22"/>
                    <w:szCs w:val="22"/>
                  </w:rPr>
                </w:pPr>
                <w:r>
                  <w:rPr>
                    <w:b/>
                    <w:bCs/>
                    <w:sz w:val="22"/>
                    <w:szCs w:val="22"/>
                  </w:rPr>
                  <w:t xml:space="preserve">Europos socialinio fondo + </w:t>
                </w:r>
              </w:p>
              <w:p w14:paraId="2E942184" w14:textId="5CB9D7E7">
                <w:pPr>
                  <w:jc w:val="center"/>
                  <w:rPr>
                    <w:b/>
                    <w:bCs/>
                    <w:sz w:val="22"/>
                    <w:szCs w:val="22"/>
                  </w:rPr>
                </w:pPr>
                <w:r>
                  <w:rPr>
                    <w:b/>
                    <w:bCs/>
                    <w:sz w:val="22"/>
                    <w:szCs w:val="22"/>
                  </w:rPr>
                  <w:t>(toliau – ESF+) antrinių temų kodai</w:t>
                </w:r>
              </w:p>
            </w:tc>
            <w:tc>
              <w:tcPr>
                <w:tcW w:w="1134" w:type="dxa"/>
              </w:tcPr>
              <w:p w14:paraId="03D68432" w14:textId="26D7DE1A">
                <w:pPr>
                  <w:jc w:val="center"/>
                  <w:rPr>
                    <w:b/>
                    <w:bCs/>
                    <w:sz w:val="22"/>
                    <w:szCs w:val="22"/>
                  </w:rPr>
                </w:pPr>
                <w:r>
                  <w:rPr>
                    <w:b/>
                    <w:bCs/>
                    <w:sz w:val="22"/>
                    <w:szCs w:val="22"/>
                  </w:rPr>
                  <w:t>Lyčių lygybės matmens kodas</w:t>
                </w:r>
              </w:p>
            </w:tc>
          </w:tr>
          <w:tr w14:paraId="2453635A" w14:textId="77777777">
            <w:tc>
              <w:tcPr>
                <w:tcW w:w="1419" w:type="dxa"/>
              </w:tcPr>
              <w:p w14:paraId="00193059" w14:textId="5FDDB4B8">
                <w:pPr>
                  <w:jc w:val="both"/>
                  <w:rPr>
                    <w:color w:val="000000"/>
                    <w:sz w:val="22"/>
                    <w:szCs w:val="22"/>
                  </w:rPr>
                </w:pPr>
                <w:r>
                  <w:rPr>
                    <w:color w:val="000000"/>
                    <w:sz w:val="22"/>
                    <w:szCs w:val="22"/>
                  </w:rPr>
                  <w:t xml:space="preserve">Sveikatos priežiūros specialistų kompetencijų platformos sukūrimas </w:t>
                </w:r>
                <w:r>
                  <w:rPr>
                    <w:i/>
                    <w:iCs/>
                    <w:color w:val="000000"/>
                    <w:sz w:val="22"/>
                    <w:szCs w:val="22"/>
                  </w:rPr>
                  <w:t xml:space="preserve">(pažangos priemonės veikla Nr. 4, </w:t>
                </w:r>
                <w:r>
                  <w:rPr>
                    <w:i/>
                    <w:iCs/>
                    <w:color w:val="000000"/>
                    <w:sz w:val="22"/>
                    <w:szCs w:val="22"/>
                    <w:lang w:val="en-US"/>
                  </w:rPr>
                  <w:t>p</w:t>
                </w:r>
                <w:r>
                  <w:rPr>
                    <w:i/>
                    <w:iCs/>
                    <w:color w:val="000000"/>
                    <w:sz w:val="22"/>
                    <w:szCs w:val="22"/>
                  </w:rPr>
                  <w:t>oveiklė Nr. 4.2 )</w:t>
                </w:r>
              </w:p>
            </w:tc>
            <w:tc>
              <w:tcPr>
                <w:tcW w:w="1559" w:type="dxa"/>
              </w:tcPr>
              <w:p w14:paraId="6160728A" w14:textId="2418DDFF">
                <w:pPr>
                  <w:jc w:val="both"/>
                  <w:rPr>
                    <w:b/>
                    <w:sz w:val="22"/>
                    <w:szCs w:val="22"/>
                  </w:rPr>
                </w:pPr>
                <w:r>
                  <w:rPr>
                    <w:iCs/>
                    <w:sz w:val="22"/>
                    <w:szCs w:val="22"/>
                  </w:rPr>
                  <w:t>Ekonomikos gaivinimo ir atsparumo didinimo priemonė (toliau – EGADP)</w:t>
                </w:r>
              </w:p>
            </w:tc>
            <w:tc>
              <w:tcPr>
                <w:tcW w:w="1559" w:type="dxa"/>
              </w:tcPr>
              <w:p w14:paraId="492D5FF9" w14:textId="338FF212">
                <w:pPr>
                  <w:jc w:val="center"/>
                  <w:rPr>
                    <w:bCs/>
                    <w:sz w:val="22"/>
                    <w:szCs w:val="22"/>
                  </w:rPr>
                </w:pPr>
                <w:r>
                  <w:rPr>
                    <w:bCs/>
                    <w:sz w:val="22"/>
                    <w:szCs w:val="22"/>
                  </w:rPr>
                  <w:t>1</w:t>
                </w:r>
              </w:p>
              <w:p w14:paraId="4C16F86B" w14:textId="77777777">
                <w:pPr>
                  <w:jc w:val="both"/>
                  <w:rPr>
                    <w:b/>
                    <w:sz w:val="22"/>
                    <w:szCs w:val="22"/>
                  </w:rPr>
                </w:pPr>
              </w:p>
            </w:tc>
            <w:tc>
              <w:tcPr>
                <w:tcW w:w="1276" w:type="dxa"/>
              </w:tcPr>
              <w:p w14:paraId="6497B9DF" w14:textId="73FA12EB">
                <w:pPr>
                  <w:jc w:val="center"/>
                  <w:rPr>
                    <w:iCs/>
                    <w:sz w:val="22"/>
                    <w:szCs w:val="22"/>
                  </w:rPr>
                </w:pPr>
                <w:r>
                  <w:rPr>
                    <w:iCs/>
                    <w:sz w:val="22"/>
                    <w:szCs w:val="22"/>
                  </w:rPr>
                  <w:t>A.1.1</w:t>
                </w:r>
              </w:p>
              <w:p w14:paraId="2844F1A5" w14:textId="77777777">
                <w:pPr>
                  <w:jc w:val="both"/>
                  <w:rPr>
                    <w:b/>
                    <w:sz w:val="22"/>
                    <w:szCs w:val="22"/>
                  </w:rPr>
                </w:pPr>
              </w:p>
            </w:tc>
            <w:tc>
              <w:tcPr>
                <w:tcW w:w="1417" w:type="dxa"/>
              </w:tcPr>
              <w:p w14:paraId="234A2D6E" w14:textId="5BB4B7FB">
                <w:pPr>
                  <w:jc w:val="center"/>
                  <w:rPr>
                    <w:bCs/>
                    <w:sz w:val="22"/>
                    <w:szCs w:val="22"/>
                  </w:rPr>
                </w:pPr>
                <w:r>
                  <w:rPr>
                    <w:bCs/>
                    <w:sz w:val="22"/>
                    <w:szCs w:val="22"/>
                  </w:rPr>
                  <w:t>A.1.1.9</w:t>
                </w:r>
              </w:p>
              <w:p w14:paraId="77F7196F" w14:textId="77777777">
                <w:pPr>
                  <w:jc w:val="both"/>
                  <w:rPr>
                    <w:b/>
                    <w:sz w:val="22"/>
                    <w:szCs w:val="22"/>
                    <w:lang w:val="en-US"/>
                  </w:rPr>
                </w:pPr>
              </w:p>
            </w:tc>
            <w:tc>
              <w:tcPr>
                <w:tcW w:w="1560" w:type="dxa"/>
              </w:tcPr>
              <w:p w14:paraId="21ABE5FB" w14:textId="48DE908D">
                <w:pPr>
                  <w:jc w:val="center"/>
                  <w:rPr>
                    <w:bCs/>
                    <w:sz w:val="22"/>
                    <w:szCs w:val="22"/>
                  </w:rPr>
                </w:pPr>
                <w:r>
                  <w:rPr>
                    <w:bCs/>
                    <w:sz w:val="22"/>
                    <w:szCs w:val="22"/>
                  </w:rPr>
                  <w:t>095</w:t>
                </w:r>
              </w:p>
              <w:p w14:paraId="20F10428" w14:textId="77777777">
                <w:pPr>
                  <w:jc w:val="center"/>
                  <w:rPr>
                    <w:bCs/>
                    <w:sz w:val="22"/>
                    <w:szCs w:val="22"/>
                  </w:rPr>
                </w:pPr>
              </w:p>
              <w:p w14:paraId="5D97B700" w14:textId="77777777">
                <w:pPr>
                  <w:jc w:val="both"/>
                  <w:rPr>
                    <w:b/>
                    <w:sz w:val="22"/>
                    <w:szCs w:val="22"/>
                  </w:rPr>
                </w:pPr>
              </w:p>
            </w:tc>
            <w:tc>
              <w:tcPr>
                <w:tcW w:w="1134" w:type="dxa"/>
              </w:tcPr>
              <w:p w14:paraId="2054689F" w14:textId="39886ED9">
                <w:pPr>
                  <w:jc w:val="center"/>
                  <w:rPr>
                    <w:b/>
                    <w:sz w:val="22"/>
                    <w:szCs w:val="22"/>
                    <w:highlight w:val="yellow"/>
                  </w:rPr>
                </w:pPr>
                <w:r>
                  <w:rPr>
                    <w:bCs/>
                    <w:iCs/>
                    <w:sz w:val="22"/>
                    <w:szCs w:val="22"/>
                  </w:rPr>
                  <w:t>-</w:t>
                </w:r>
              </w:p>
            </w:tc>
            <w:tc>
              <w:tcPr>
                <w:tcW w:w="1417" w:type="dxa"/>
              </w:tcPr>
              <w:p w14:paraId="613E6BA2" w14:textId="2B9FB68A">
                <w:pPr>
                  <w:jc w:val="center"/>
                  <w:rPr>
                    <w:b/>
                    <w:sz w:val="22"/>
                    <w:szCs w:val="22"/>
                    <w:highlight w:val="yellow"/>
                  </w:rPr>
                </w:pPr>
                <w:r>
                  <w:rPr>
                    <w:bCs/>
                    <w:sz w:val="22"/>
                    <w:szCs w:val="22"/>
                  </w:rPr>
                  <w:t>-</w:t>
                </w:r>
              </w:p>
            </w:tc>
            <w:tc>
              <w:tcPr>
                <w:tcW w:w="1418" w:type="dxa"/>
              </w:tcPr>
              <w:p w14:paraId="32B417D2" w14:textId="639E5998">
                <w:pPr>
                  <w:jc w:val="center"/>
                  <w:rPr>
                    <w:b/>
                    <w:sz w:val="22"/>
                    <w:szCs w:val="22"/>
                    <w:highlight w:val="yellow"/>
                  </w:rPr>
                </w:pPr>
                <w:r>
                  <w:rPr>
                    <w:bCs/>
                    <w:sz w:val="22"/>
                    <w:szCs w:val="22"/>
                  </w:rPr>
                  <w:t>-</w:t>
                </w:r>
              </w:p>
            </w:tc>
            <w:tc>
              <w:tcPr>
                <w:tcW w:w="1134" w:type="dxa"/>
              </w:tcPr>
              <w:p w14:paraId="42029154" w14:textId="49005753">
                <w:pPr>
                  <w:jc w:val="center"/>
                  <w:rPr>
                    <w:b/>
                    <w:sz w:val="22"/>
                    <w:szCs w:val="22"/>
                    <w:highlight w:val="yellow"/>
                  </w:rPr>
                </w:pPr>
                <w:r>
                  <w:rPr>
                    <w:sz w:val="22"/>
                    <w:szCs w:val="22"/>
                  </w:rPr>
                  <w:t>-</w:t>
                </w:r>
              </w:p>
            </w:tc>
            <w:tc>
              <w:tcPr>
                <w:tcW w:w="1134" w:type="dxa"/>
              </w:tcPr>
              <w:p w14:paraId="778E2CA3" w14:textId="2FFF6734">
                <w:pPr>
                  <w:jc w:val="center"/>
                  <w:rPr>
                    <w:b/>
                    <w:sz w:val="22"/>
                    <w:szCs w:val="22"/>
                    <w:highlight w:val="yellow"/>
                  </w:rPr>
                </w:pPr>
                <w:r>
                  <w:rPr>
                    <w:sz w:val="22"/>
                    <w:szCs w:val="22"/>
                  </w:rPr>
                  <w:t>-</w:t>
                </w:r>
              </w:p>
            </w:tc>
          </w:tr>
        </w:tbl>
        <w:p w14:paraId="4A04D7C9" w14:textId="77777777">
          <w:pPr>
            <w:jc w:val="both"/>
            <w:rPr>
              <w:i/>
              <w:iCs/>
              <w:szCs w:val="24"/>
            </w:rPr>
          </w:pPr>
        </w:p>
        <w:tbl>
          <w:tblPr>
            <w:tblW w:w="143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14:paraId="1327F327" w14:textId="77777777">
            <w:tc>
              <w:tcPr>
                <w:tcW w:w="14317" w:type="dxa"/>
              </w:tcPr>
              <w:p w14:paraId="79CEF207" w14:textId="77777777">
                <w:pPr>
                  <w:rPr>
                    <w:b/>
                    <w:szCs w:val="24"/>
                  </w:rPr>
                </w:pPr>
                <w:r>
                  <w:rPr>
                    <w:b/>
                    <w:szCs w:val="24"/>
                  </w:rPr>
                  <w:t>SPECIALIEJI FINANSAVIMO REIKALAVIMAI</w:t>
                </w:r>
              </w:p>
            </w:tc>
          </w:tr>
          <w:tr w14:paraId="07B050F6" w14:textId="77777777">
            <w:tc>
              <w:tcPr>
                <w:tcW w:w="14317" w:type="dxa"/>
              </w:tcPr>
              <w:p w14:paraId="7EA7D556" w14:textId="77777777">
                <w:pPr>
                  <w:rPr>
                    <w:b/>
                    <w:bCs/>
                    <w:szCs w:val="24"/>
                  </w:rPr>
                </w:pPr>
                <w:r>
                  <w:rPr>
                    <w:b/>
                    <w:bCs/>
                    <w:szCs w:val="24"/>
                  </w:rPr>
                  <w:t>1. Taikomi teisės aktai</w:t>
                </w:r>
              </w:p>
            </w:tc>
          </w:tr>
          <w:tr w14:paraId="3CC547DD" w14:textId="77777777">
            <w:tc>
              <w:tcPr>
                <w:tcW w:w="14317" w:type="dxa"/>
              </w:tcPr>
              <w:p w14:paraId="39E0D5E5" w14:textId="27EFF758">
                <w:pPr>
                  <w:jc w:val="both"/>
                  <w:rPr>
                    <w:szCs w:val="24"/>
                  </w:rPr>
                </w:pPr>
                <w:r>
                  <w:rPr>
                    <w:szCs w:val="24"/>
                  </w:rPr>
                  <w:t>2022–2030 metų sveikatos priežiūros kokybės ir efektyvumo didinimo plėtros programos pažangos priemonės Nr. 11-002-02-11-01 „Gerinti sveikatos priežiūros paslaugų kokybę ir prieinamumą“ projektų finansavimo sąlygų apraše (toliau – Aprašas) vartojamos sąvokos suprantamos taip, kaip jos apibrėžtos Aprašo 1.1, 1.3, 2.3–2.29 papunkčiuose nurodytuose teisės aktuose.</w:t>
                </w:r>
              </w:p>
              <w:p w14:paraId="6852AFD1" w14:textId="77777777">
                <w:pPr>
                  <w:spacing w:line="259" w:lineRule="auto"/>
                  <w:jc w:val="both"/>
                  <w:rPr>
                    <w:szCs w:val="24"/>
                  </w:rPr>
                </w:pPr>
              </w:p>
              <w:p w14:paraId="636F30A1" w14:textId="2934C412">
                <w:pPr>
                  <w:spacing w:line="259" w:lineRule="auto"/>
                  <w:jc w:val="both"/>
                  <w:rPr>
                    <w:szCs w:val="24"/>
                  </w:rPr>
                </w:pPr>
                <w:r>
                  <w:rPr>
                    <w:szCs w:val="24"/>
                  </w:rPr>
                  <w:t>Teisės aktai, kuriais vadovaujamasi rengiant, teikiant ir vertinant projektų įgyvendinimo planą, priimant sprendimą dėl projektų finansavimo, sudarant projektų sutartį ir įgyvendinant projektą, finansuojamą pagal šį Aprašą:</w:t>
                </w:r>
              </w:p>
              <w:p w14:paraId="70C16321" w14:textId="0734615B">
                <w:pPr>
                  <w:jc w:val="both"/>
                  <w:rPr>
                    <w:szCs w:val="24"/>
                  </w:rPr>
                </w:pPr>
                <w:r>
                  <w:rPr>
                    <w:szCs w:val="24"/>
                  </w:rPr>
                  <w:t>1. Bendrieji teisės aktai:</w:t>
                </w:r>
              </w:p>
              <w:p w14:paraId="10A98272" w14:textId="3AB20E21">
                <w:pPr>
                  <w:tabs>
                    <w:tab w:val="left" w:pos="0"/>
                  </w:tabs>
                  <w:ind w:left="734" w:hanging="567"/>
                  <w:jc w:val="both"/>
                  <w:rPr>
                    <w:szCs w:val="24"/>
                  </w:rPr>
                </w:pPr>
                <w:r>
                  <w:rPr>
                    <w:szCs w:val="24"/>
                  </w:rPr>
                  <w:t>1.1.</w:t>
                  <w:tab/>
                  <w:t xml:space="preserve">Lietuvos Respublikos finansų ministro 2021 m. liepos 7 d. įsakymas Nr. 1K-240 „Dėl 2021–2027 metų Europos Sąjungos fondų ir ekonomikos gaivinimo ir atsparumo didinimo priemonės lėšomis finansuojamų ar iš dalies finansuojamų projektų įgyvendinimo laikinosios tvarkos aprašo patvirtinimo“ (toliau – Laikinosios tvarkos aprašas); </w:t>
                </w:r>
              </w:p>
              <w:p w14:paraId="774D0346" w14:textId="69EE4061">
                <w:pPr>
                  <w:ind w:left="734" w:hanging="567"/>
                  <w:jc w:val="both"/>
                  <w:rPr>
                    <w:szCs w:val="24"/>
                  </w:rPr>
                </w:pPr>
                <w:r>
                  <w:rPr>
                    <w:szCs w:val="24"/>
                  </w:rPr>
                  <w:t>1.2.</w:t>
                  <w:tab/>
                  <w:t>Ekonomikos gaivinimo ir atsparumo didinimo planas „Naujos kartos Lietuva“, patvirtintas 2021 m. liepos 28 d. Europos Sąjungos Tarybos įgyvendinimo sprendimu dėl Lietuvos ekonomikos gaivinimo ir atsparumo didinimo plano „Naujos kartos Lietuva“ patvirtinimo (toliau – „Naujos kartos Lietuva“ planas);</w:t>
                </w:r>
              </w:p>
              <w:p w14:paraId="255CE0C2" w14:textId="708A4534">
                <w:pPr>
                  <w:tabs>
                    <w:tab w:val="left" w:pos="0"/>
                  </w:tabs>
                  <w:ind w:left="734" w:hanging="567"/>
                  <w:jc w:val="both"/>
                  <w:rPr>
                    <w:szCs w:val="24"/>
                  </w:rPr>
                </w:pPr>
                <w:r>
                  <w:rPr>
                    <w:szCs w:val="24"/>
                  </w:rPr>
                  <w:t>1.3.</w:t>
                  <w:tab/>
                  <w:t xml:space="preserve">2021 m. vasario 12 d. Europos Parlamento ir Tarybos reglamentas (ES) 2021/241, kuriuo nustatoma ekonomikos gaivinimo ir atsparumo didinimo priemonė. </w:t>
                </w:r>
              </w:p>
              <w:p w14:paraId="1A404B18" w14:textId="4BCE2191">
                <w:pPr>
                  <w:ind w:left="309" w:hanging="309"/>
                  <w:jc w:val="both"/>
                  <w:rPr>
                    <w:szCs w:val="24"/>
                  </w:rPr>
                </w:pPr>
                <w:r>
                  <w:rPr>
                    <w:szCs w:val="24"/>
                  </w:rPr>
                  <w:t>2.</w:t>
                  <w:tab/>
                  <w:t>Specialieji teisės aktai:</w:t>
                </w:r>
              </w:p>
              <w:p w14:paraId="389A6186" w14:textId="20C84DA8">
                <w:pPr>
                  <w:ind w:left="734" w:hanging="567"/>
                  <w:jc w:val="both"/>
                  <w:rPr>
                    <w:szCs w:val="24"/>
                  </w:rPr>
                </w:pPr>
                <w:r>
                  <w:rPr>
                    <w:szCs w:val="24"/>
                  </w:rPr>
                  <w:t>2.1.</w:t>
                  <w:tab/>
                  <w:t xml:space="preserve">2021–2030 metų nacionalinis pažangos planas, patvirtintas Lietuvos Respublikos Vyriausybės  2020 m. rugsėjo 9 d. nutarimu Nr. 998 „Dėl 2021–2030 metų nacionalinio pažangos plano patvirtinimo“;</w:t>
                </w:r>
              </w:p>
              <w:p w14:paraId="34DD95C8" w14:textId="4AEF063F">
                <w:pPr>
                  <w:ind w:left="734" w:hanging="567"/>
                  <w:jc w:val="both"/>
                  <w:rPr>
                    <w:szCs w:val="24"/>
                  </w:rPr>
                </w:pPr>
                <w:r>
                  <w:rPr>
                    <w:szCs w:val="24"/>
                  </w:rPr>
                  <w:t>2.2.</w:t>
                  <w:tab/>
                  <w:t>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382D0806" w14:textId="5E84F368">
                <w:pPr>
                  <w:ind w:left="734" w:hanging="567"/>
                  <w:jc w:val="both"/>
                  <w:rPr>
                    <w:szCs w:val="24"/>
                  </w:rPr>
                </w:pPr>
                <w:r>
                  <w:rPr>
                    <w:szCs w:val="24"/>
                  </w:rPr>
                  <w:t>2.3.</w:t>
                  <w:tab/>
                  <w:t>Lietuvos Respublikos valstybės informacinių išteklių valdymo įstatymas;</w:t>
                </w:r>
              </w:p>
              <w:p w14:paraId="322ADE03" w14:textId="21FCCF18">
                <w:pPr>
                  <w:ind w:left="734" w:hanging="567"/>
                  <w:jc w:val="both"/>
                  <w:rPr>
                    <w:szCs w:val="24"/>
                  </w:rPr>
                </w:pPr>
                <w:r>
                  <w:rPr>
                    <w:szCs w:val="24"/>
                  </w:rPr>
                  <w:t>2.4.</w:t>
                  <w:tab/>
                  <w:t>Lietuvos Respublikos kibernetinio saugumo įstatymas;</w:t>
                </w:r>
              </w:p>
              <w:p w14:paraId="476E1D66" w14:textId="6092DB7B">
                <w:pPr>
                  <w:ind w:left="734" w:hanging="567"/>
                  <w:jc w:val="both"/>
                  <w:rPr>
                    <w:szCs w:val="24"/>
                  </w:rPr>
                </w:pPr>
                <w:r>
                  <w:rPr>
                    <w:szCs w:val="24"/>
                  </w:rPr>
                  <w:t>2.5.</w:t>
                  <w:tab/>
                  <w:t>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666ABBB4" w14:textId="2321D344">
                <w:pPr>
                  <w:ind w:left="734" w:hanging="567"/>
                  <w:jc w:val="both"/>
                  <w:rPr>
                    <w:szCs w:val="24"/>
                  </w:rPr>
                </w:pPr>
                <w:r>
                  <w:rPr>
                    <w:szCs w:val="24"/>
                  </w:rPr>
                  <w:t>2.6.</w:t>
                  <w:tab/>
                  <w:t>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27AFC694" w14:textId="75918FA6">
                <w:pPr>
                  <w:ind w:left="734" w:hanging="567"/>
                  <w:jc w:val="both"/>
                  <w:rPr>
                    <w:szCs w:val="24"/>
                  </w:rPr>
                </w:pPr>
                <w:r>
                  <w:rPr>
                    <w:szCs w:val="24"/>
                  </w:rPr>
                  <w:t>2.7.</w:t>
                  <w:tab/>
                  <w:t>Elektroninių paslaugų kūrimo metodika, patvirtinta Lietuvos Respublikos susisiekimo ministro 2015 m. spalio 7 d. įsakymu Nr. 3-416(1.5 E) „Dėl metodinių dokumentų patvirtinimo“;</w:t>
                </w:r>
              </w:p>
              <w:p w14:paraId="34296E5C" w14:textId="205C7986">
                <w:pPr>
                  <w:ind w:left="734" w:hanging="567"/>
                  <w:jc w:val="both"/>
                  <w:rPr>
                    <w:szCs w:val="24"/>
                  </w:rPr>
                </w:pPr>
                <w:r>
                  <w:rPr>
                    <w:szCs w:val="24"/>
                  </w:rPr>
                  <w:t>2.8.</w:t>
                  <w:tab/>
                  <w:t>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10A2BC67" w14:textId="6D3547B6">
                <w:pPr>
                  <w:ind w:left="734" w:hanging="567"/>
                  <w:jc w:val="both"/>
                  <w:rPr>
                    <w:szCs w:val="24"/>
                  </w:rPr>
                </w:pPr>
                <w:r>
                  <w:rPr>
                    <w:szCs w:val="24"/>
                  </w:rPr>
                  <w:t>2.9.</w:t>
                  <w:tab/>
                  <w:t>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12A7A665" w14:textId="400A2736">
                <w:pPr>
                  <w:ind w:left="734" w:hanging="567"/>
                  <w:jc w:val="both"/>
                  <w:rPr>
                    <w:szCs w:val="24"/>
                  </w:rPr>
                </w:pPr>
                <w:r>
                  <w:rPr>
                    <w:szCs w:val="24"/>
                  </w:rPr>
                  <w:t>2.10.</w:t>
                  <w:tab/>
                  <w:t>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762E7002" w14:textId="76A7A712">
                <w:pPr>
                  <w:ind w:left="734" w:hanging="567"/>
                  <w:jc w:val="both"/>
                  <w:rPr>
                    <w:szCs w:val="24"/>
                  </w:rPr>
                </w:pPr>
                <w:r>
                  <w:rPr>
                    <w:szCs w:val="24"/>
                  </w:rPr>
                  <w:t>2.11.</w:t>
                  <w:tab/>
                  <w:t>Lietuvos Respublikos Vyriausybės 2015 m. gegužės 13 d. nutarimas Nr. 498 „Dėl valstybės informacinių išteklių infrastruktūros konsolidavimo ir jos valdymo optimizavimo“ (toliau – Nutarimas Nr. 498);</w:t>
                </w:r>
              </w:p>
              <w:p w14:paraId="1F4FCDB2" w14:textId="5E012D58">
                <w:pPr>
                  <w:ind w:left="734" w:hanging="567"/>
                  <w:jc w:val="both"/>
                  <w:rPr>
                    <w:szCs w:val="24"/>
                  </w:rPr>
                </w:pPr>
                <w:r>
                  <w:rPr>
                    <w:szCs w:val="24"/>
                  </w:rPr>
                  <w:t>2.12.</w:t>
                  <w:tab/>
                  <w:t xml:space="preserve">Lietuvos Respublikos sveikatos apsaugos ministro 2002 m. kovo 18 d. įsakymas Nr. </w:t>
                </w:r>
                <w:hyperlink r:id="rId10" w:tgtFrame="_blank" w:history="1">
                  <w:r>
                    <w:rPr>
                      <w:szCs w:val="24"/>
                    </w:rPr>
                    <w:t>132</w:t>
                  </w:r>
                </w:hyperlink>
                <w:r>
                  <w:rPr>
                    <w:szCs w:val="24"/>
                  </w:rPr>
                  <w:t xml:space="preserve"> „Dėl sveikatos priežiūros ir farmacijos specialistų profesinės kvalifikacijos tobulinimo ir jo finansavimo tvarkos“;</w:t>
                </w:r>
              </w:p>
              <w:p w14:paraId="1C173CB2" w14:textId="193065DD">
                <w:pPr>
                  <w:ind w:left="734" w:hanging="567"/>
                  <w:jc w:val="both"/>
                  <w:rPr>
                    <w:szCs w:val="24"/>
                  </w:rPr>
                </w:pPr>
                <w:r>
                  <w:rPr>
                    <w:szCs w:val="24"/>
                  </w:rPr>
                  <w:t>2.13.</w:t>
                  <w:tab/>
                  <w:t xml:space="preserve">Lietuvos Respublikos sveikatos apsaugos ministro 2011 m. birželio 28 d. įsakymas Nr. </w:t>
                </w:r>
                <w:hyperlink r:id="rId11" w:tgtFrame="_blank" w:history="1">
                  <w:r>
                    <w:rPr>
                      <w:szCs w:val="24"/>
                    </w:rPr>
                    <w:t>V-645</w:t>
                  </w:r>
                </w:hyperlink>
                <w:r>
                  <w:rPr>
                    <w:szCs w:val="24"/>
                  </w:rPr>
                  <w:t xml:space="preserve"> „Dėl Sveikatos specialistų tobulinimo programų derinimo taisyklių ir Tobulinimo programų vertinimo komisijos nuostatų patvirtinimo“;</w:t>
                </w:r>
              </w:p>
              <w:p w14:paraId="3BAE4455" w14:textId="69EC4F34">
                <w:pPr>
                  <w:ind w:left="734" w:hanging="567"/>
                  <w:jc w:val="both"/>
                  <w:rPr>
                    <w:szCs w:val="24"/>
                  </w:rPr>
                </w:pPr>
                <w:r>
                  <w:rPr>
                    <w:szCs w:val="24"/>
                  </w:rPr>
                  <w:t>2.14.</w:t>
                  <w:tab/>
                  <w:t xml:space="preserve">Lietuvos Respublikos sveikatos apsaugos ministro 2004 m. gegužės 27 d. įsakymas Nr. </w:t>
                </w:r>
                <w:hyperlink r:id="rId12" w:tgtFrame="_blank" w:history="1">
                  <w:r>
                    <w:rPr>
                      <w:szCs w:val="24"/>
                    </w:rPr>
                    <w:t>V-396</w:t>
                  </w:r>
                </w:hyperlink>
                <w:r>
                  <w:rPr>
                    <w:szCs w:val="24"/>
                  </w:rPr>
                  <w:t xml:space="preserve"> „Dėl Medicinos praktikos licencijavimo taisyklių patvirtinimo“;</w:t>
                </w:r>
              </w:p>
              <w:p w14:paraId="03B7AE8C" w14:textId="08FC9CA4">
                <w:pPr>
                  <w:ind w:left="734" w:hanging="567"/>
                  <w:jc w:val="both"/>
                  <w:rPr>
                    <w:szCs w:val="24"/>
                  </w:rPr>
                </w:pPr>
                <w:r>
                  <w:rPr>
                    <w:szCs w:val="24"/>
                  </w:rPr>
                  <w:t>2.15.</w:t>
                  <w:tab/>
                  <w:t xml:space="preserve">Lietuvos Respublikos sveikatos apsaugos ministro 2004 m. rugsėjo 29 d. įsakymas Nr. </w:t>
                </w:r>
                <w:hyperlink r:id="rId13" w:tgtFrame="_blank" w:history="1">
                  <w:r>
                    <w:rPr>
                      <w:szCs w:val="24"/>
                    </w:rPr>
                    <w:t>V-680</w:t>
                  </w:r>
                </w:hyperlink>
                <w:r>
                  <w:rPr>
                    <w:szCs w:val="24"/>
                  </w:rPr>
                  <w:t xml:space="preserve"> „Dėl teisės verstis siaura medicinos praktika įgijimo“; </w:t>
                </w:r>
              </w:p>
              <w:p w14:paraId="3E5FEAC9" w14:textId="7B3388AD">
                <w:pPr>
                  <w:ind w:left="734" w:hanging="567"/>
                  <w:jc w:val="both"/>
                  <w:rPr>
                    <w:szCs w:val="24"/>
                  </w:rPr>
                </w:pPr>
                <w:r>
                  <w:rPr>
                    <w:szCs w:val="24"/>
                  </w:rPr>
                  <w:t>2.16.</w:t>
                  <w:tab/>
                  <w:t>Lietuvos Respublikos sveikatos apsaugos ministro 2009 m. gruodžio 30 d. įsakymas Nr. V-1088 „Dėl Slaugos praktikos licencijavimo taisyklių patvirtinimo“;</w:t>
                </w:r>
              </w:p>
              <w:p w14:paraId="5B3828B4" w14:textId="775B212B">
                <w:pPr>
                  <w:ind w:left="734" w:hanging="567"/>
                  <w:jc w:val="both"/>
                  <w:rPr>
                    <w:szCs w:val="24"/>
                  </w:rPr>
                </w:pPr>
                <w:r>
                  <w:rPr>
                    <w:szCs w:val="24"/>
                  </w:rPr>
                  <w:t>2.17.</w:t>
                  <w:tab/>
                  <w:t xml:space="preserve">Lietuvos Respublikos sveikatos apsaugos ministro 2009 m. gruodžio 30 d. įsakymas Nr. </w:t>
                </w:r>
                <w:hyperlink r:id="rId14" w:tgtFrame="_blank" w:history="1">
                  <w:r>
                    <w:rPr>
                      <w:szCs w:val="24"/>
                    </w:rPr>
                    <w:t>V-1089</w:t>
                  </w:r>
                </w:hyperlink>
                <w:r>
                  <w:rPr>
                    <w:szCs w:val="24"/>
                  </w:rPr>
                  <w:t xml:space="preserve"> „Dėl Akušerijos praktikos licencijavimo taisyklių patvirtinimo“;</w:t>
                </w:r>
              </w:p>
              <w:p w14:paraId="62EBE3CA" w14:textId="360144FA">
                <w:pPr>
                  <w:ind w:left="734" w:hanging="567"/>
                  <w:jc w:val="both"/>
                  <w:rPr>
                    <w:szCs w:val="24"/>
                  </w:rPr>
                </w:pPr>
                <w:r>
                  <w:rPr>
                    <w:szCs w:val="24"/>
                  </w:rPr>
                  <w:t>2.18.</w:t>
                  <w:tab/>
                  <w:t>Lietuvos Respublikos sveikatos apsaugos ministro 2009 m. gruodžio 17 d. įsakymas Nr. V-1037 „Dėl Specializuotos slaugos sričių sąrašo patvirtinimo“;</w:t>
                </w:r>
              </w:p>
              <w:p w14:paraId="5CD31B79" w14:textId="37230980">
                <w:pPr>
                  <w:ind w:left="734" w:hanging="567"/>
                  <w:jc w:val="both"/>
                  <w:rPr>
                    <w:szCs w:val="24"/>
                  </w:rPr>
                </w:pPr>
                <w:r>
                  <w:rPr>
                    <w:szCs w:val="24"/>
                  </w:rPr>
                  <w:t>2.19.</w:t>
                  <w:tab/>
                  <w:t xml:space="preserve">Lietuvos Respublikos sveikatos apsaugos ministro 2020 m. balandžio 9 d. įsakymas Nr. </w:t>
                </w:r>
                <w:hyperlink r:id="rId15" w:tgtFrame="_blank" w:history="1">
                  <w:r>
                    <w:rPr>
                      <w:szCs w:val="24"/>
                    </w:rPr>
                    <w:t>V-791</w:t>
                  </w:r>
                </w:hyperlink>
                <w:r>
                  <w:rPr>
                    <w:szCs w:val="24"/>
                  </w:rPr>
                  <w:t xml:space="preserve"> „Dėl Odontologijos praktikos ir burnos priežiūros praktikos licencijavimo taisyklių ir odontologų ir burnos priežiūros specialistų profesinės kvalifikacijos tobulinimo reikalavimų aprašo patvirtinimo“;</w:t>
                </w:r>
              </w:p>
              <w:p w14:paraId="03539AE6" w14:textId="2D06D12F">
                <w:pPr>
                  <w:ind w:left="734" w:hanging="567"/>
                  <w:jc w:val="both"/>
                  <w:rPr>
                    <w:szCs w:val="24"/>
                  </w:rPr>
                </w:pPr>
                <w:r>
                  <w:rPr>
                    <w:szCs w:val="24"/>
                  </w:rPr>
                  <w:t>2.20.</w:t>
                  <w:tab/>
                  <w:t xml:space="preserve">Lietuvos Respublikos sveikatos apsaugos ministro 2010 m. spalio 1 d. įsakymas Nr. </w:t>
                </w:r>
                <w:hyperlink r:id="rId16" w:tgtFrame="_blank" w:history="1">
                  <w:r>
                    <w:rPr>
                      <w:szCs w:val="24"/>
                    </w:rPr>
                    <w:t>V-868</w:t>
                  </w:r>
                </w:hyperlink>
                <w:r>
                  <w:rPr>
                    <w:szCs w:val="24"/>
                  </w:rPr>
                  <w:t xml:space="preserve"> „Dėl Visuomenės sveikatos priežiūros veiklos  licencijavimo taisyklių patvirtinimo“;</w:t>
                </w:r>
              </w:p>
              <w:p w14:paraId="3296DC16" w14:textId="39B1BE2C">
                <w:pPr>
                  <w:ind w:left="734" w:hanging="567"/>
                  <w:jc w:val="both"/>
                  <w:rPr>
                    <w:szCs w:val="24"/>
                  </w:rPr>
                </w:pPr>
                <w:r>
                  <w:rPr>
                    <w:szCs w:val="24"/>
                  </w:rPr>
                  <w:t>2.21.</w:t>
                  <w:tab/>
                  <w:t>Lietuvos Respublikos sveikatos apsaugos ministro 2020 m. gruodžio 4 d. įsakymas Nr. </w:t>
                </w:r>
                <w:hyperlink r:id="rId17" w:history="1">
                  <w:r>
                    <w:rPr>
                      <w:szCs w:val="24"/>
                    </w:rPr>
                    <w:t>V-2824</w:t>
                  </w:r>
                </w:hyperlink>
                <w:r>
                  <w:rPr>
                    <w:szCs w:val="24"/>
                  </w:rPr>
                  <w:t> „Dėl Asmens sveikatos priežiūros specialistų praktikos licencijavimo taisyklių ir Asmens sveikatos priežiūros specialistų profesinės kvalifikacijos tobulinimo reikalavimų aprašo patvirtinimo“;</w:t>
                </w:r>
              </w:p>
              <w:p w14:paraId="2F3DA7F0" w14:textId="132799BE">
                <w:pPr>
                  <w:ind w:left="734" w:hanging="567"/>
                  <w:jc w:val="both"/>
                  <w:rPr>
                    <w:szCs w:val="24"/>
                  </w:rPr>
                </w:pPr>
                <w:r>
                  <w:rPr>
                    <w:szCs w:val="24"/>
                  </w:rPr>
                  <w:t>2.22.</w:t>
                  <w:tab/>
                  <w:t>Lietuvos Respublikos sveikatos apsaugos ministro 2020 m. lapkričio 23 d. įsakymas Nr. </w:t>
                </w:r>
                <w:hyperlink r:id="rId18" w:history="1">
                  <w:r>
                    <w:rPr>
                      <w:szCs w:val="24"/>
                    </w:rPr>
                    <w:t>V-2701</w:t>
                  </w:r>
                </w:hyperlink>
                <w:r>
                  <w:rPr>
                    <w:szCs w:val="24"/>
                  </w:rPr>
                  <w:t> „Dėl Papildomosios ir alternatyviosios sveikatos priežiūros specialistų veiklos licencijavimo taisyklių patvirtinimo“;</w:t>
                </w:r>
              </w:p>
              <w:p w14:paraId="46F9434C" w14:textId="35ACA547">
                <w:pPr>
                  <w:ind w:left="734" w:hanging="567"/>
                  <w:jc w:val="both"/>
                  <w:rPr>
                    <w:szCs w:val="24"/>
                  </w:rPr>
                </w:pPr>
                <w:r>
                  <w:rPr>
                    <w:szCs w:val="24"/>
                  </w:rPr>
                  <w:t>2.23.</w:t>
                  <w:tab/>
                  <w:t>Lietuvos Respublikos sveikatos apsaugos ministro 2021 m. kovo 17 d. įsakymas Nr. V-557 „Dėl Papildomosios ir alternatyviosios sveikatos priežiūros specialistų mokymo ir (ar) kvalifikacijos tobulinimo programų rengimo ir derinimo tvarkos aprašo patvirtinimo“;</w:t>
                </w:r>
              </w:p>
              <w:p w14:paraId="2D07B934" w14:textId="1C4A418B">
                <w:pPr>
                  <w:ind w:left="734" w:hanging="567"/>
                  <w:jc w:val="both"/>
                  <w:rPr>
                    <w:szCs w:val="24"/>
                  </w:rPr>
                </w:pPr>
                <w:r>
                  <w:rPr>
                    <w:szCs w:val="24"/>
                  </w:rPr>
                  <w:t>2.24.</w:t>
                  <w:tab/>
                  <w:t>Lietuvos Respublikos sveikatos apsaugos ministro 2006 m. lapkričio 28 d. įsakymas Nr. V-1012 „Dėl Vaistininko praktikos licencijavimo taisyklių patvirtinimo“;</w:t>
                </w:r>
              </w:p>
              <w:p w14:paraId="2E548BBC" w14:textId="51D22511">
                <w:pPr>
                  <w:ind w:left="734" w:hanging="567"/>
                  <w:jc w:val="both"/>
                  <w:rPr>
                    <w:szCs w:val="24"/>
                  </w:rPr>
                </w:pPr>
                <w:r>
                  <w:rPr>
                    <w:szCs w:val="24"/>
                  </w:rPr>
                  <w:t>2.25.</w:t>
                  <w:tab/>
                  <w:t>Lietuvos Respublikos sveikatos apsaugos ministro 2006 m. gruodžio 13 d. įsakymas Nr. V-1052 „Dėl Vaistininko padėjėjų (farmakotechnikų) įrašymo į sąrašą taisyklių patvirtinimo“;</w:t>
                </w:r>
              </w:p>
              <w:p w14:paraId="15095D34" w14:textId="78D549C5">
                <w:pPr>
                  <w:ind w:left="734" w:hanging="567"/>
                  <w:jc w:val="both"/>
                  <w:rPr>
                    <w:szCs w:val="24"/>
                  </w:rPr>
                </w:pPr>
                <w:r>
                  <w:rPr>
                    <w:szCs w:val="24"/>
                  </w:rPr>
                  <w:t>2.26.</w:t>
                  <w:tab/>
                  <w:t>Lietuvos Respublikos sveikatos apsaugos ministro 2020 m. rugsėjo 23 d. įsakymas Nr. V-2101 „Dėl Sveikatinimo veiklos specialistų profesinių kvalifikacijų klasifikatoriaus patvirtinimo“;</w:t>
                </w:r>
              </w:p>
              <w:p w14:paraId="6E1D9561" w14:textId="54C97035">
                <w:pPr>
                  <w:ind w:left="734" w:hanging="567"/>
                  <w:jc w:val="both"/>
                  <w:rPr>
                    <w:szCs w:val="24"/>
                  </w:rPr>
                </w:pPr>
                <w:r>
                  <w:rPr>
                    <w:szCs w:val="24"/>
                  </w:rPr>
                  <w:t>2.27.</w:t>
                  <w:tab/>
                  <w:t>Lietuvos Respublikos sveikatos apsaugos ministro 2003 m. sausio 6 d. įsakymas Nr. V-1 „Dėl Numerio sveikatos specialisto spaudui suteikimo ir panaikinimo taisyklių patvirtinimo“;</w:t>
                </w:r>
              </w:p>
              <w:p w14:paraId="3DEA14BB" w14:textId="0F47820A">
                <w:pPr>
                  <w:ind w:left="734" w:hanging="567"/>
                  <w:jc w:val="both"/>
                  <w:rPr>
                    <w:szCs w:val="24"/>
                  </w:rPr>
                </w:pPr>
                <w:r>
                  <w:rPr>
                    <w:szCs w:val="24"/>
                  </w:rPr>
                  <w:t>2.28.</w:t>
                  <w:tab/>
                  <w:t>Lietuvos Respublikos sveikatos apsaugos ministro 2016 m. gruodžio 9 d. įsakymas Nr. V-1427 „Dėl Kitos sveikatinimo veiklos rūšių sąrašo patvirtinimo“;</w:t>
                </w:r>
              </w:p>
              <w:p w14:paraId="121EA5A4" w14:textId="67F168C6">
                <w:pPr>
                  <w:ind w:left="734" w:hanging="567"/>
                  <w:jc w:val="both"/>
                  <w:rPr>
                    <w:szCs w:val="24"/>
                  </w:rPr>
                </w:pPr>
                <w:r>
                  <w:rPr>
                    <w:szCs w:val="24"/>
                  </w:rPr>
                  <w:t>2.29.</w:t>
                  <w:tab/>
                  <w:t>Lietuvos Respublikos švietimo, mokslo ir sporto ministro 2022 m. sausio 4 d. įsakymas Nr. V-4 „Dėl Bendrųjų iš valstybės ar savivaldybių biudžetų finansuojamų neformaliojo švietimo programų kriterijų aprašo patvirtinimo“.</w:t>
                </w:r>
              </w:p>
            </w:tc>
          </w:tr>
          <w:tr w14:paraId="238B2CCC" w14:textId="77777777">
            <w:tc>
              <w:tcPr>
                <w:tcW w:w="14317" w:type="dxa"/>
              </w:tcPr>
              <w:p w14:paraId="7762C778" w14:textId="77777777">
                <w:pPr>
                  <w:rPr>
                    <w:b/>
                    <w:szCs w:val="24"/>
                  </w:rPr>
                </w:pPr>
                <w:r>
                  <w:rPr>
                    <w:b/>
                    <w:szCs w:val="24"/>
                  </w:rPr>
                  <w:t>2. Reikalavimai projektams</w:t>
                </w:r>
              </w:p>
            </w:tc>
          </w:tr>
          <w:tr w14:paraId="55559F54" w14:textId="77777777">
            <w:tc>
              <w:tcPr>
                <w:tcW w:w="14317" w:type="dxa"/>
              </w:tcPr>
              <w:p w14:paraId="00C5963C" w14:textId="0E66ED0D">
                <w:pPr>
                  <w:tabs>
                    <w:tab w:val="left" w:pos="426"/>
                  </w:tabs>
                  <w:jc w:val="both"/>
                  <w:rPr>
                    <w:bCs/>
                    <w:iCs/>
                    <w:szCs w:val="24"/>
                  </w:rPr>
                </w:pPr>
                <w:r>
                  <w:rPr>
                    <w:bCs/>
                    <w:iCs/>
                    <w:szCs w:val="24"/>
                  </w:rPr>
                  <w:t xml:space="preserve">1. </w:t>
                </w:r>
                <w:r>
                  <w:rPr>
                    <w:rFonts w:eastAsia="Calibri"/>
                    <w:szCs w:val="24"/>
                  </w:rPr>
                  <w:t>Galimi projekto partneriai –</w:t>
                </w:r>
                <w:r>
                  <w:rPr>
                    <w:rFonts w:eastAsia="Calibri"/>
                    <w:sz w:val="22"/>
                    <w:szCs w:val="22"/>
                  </w:rPr>
                  <w:t> </w:t>
                </w:r>
                <w:r>
                  <w:t xml:space="preserve">Lietuvos Respublikos sveikatos apsaugos ministerijai pavaldžios įstaigos, Lietuvos nacionalinės sveikatos sistemos subjektai,  mokslo ar kitų sričių įstaigos ir organizacijos.</w:t>
                </w:r>
              </w:p>
              <w:p w14:paraId="0A29C627" w14:textId="0BB2D6B6">
                <w:pPr>
                  <w:tabs>
                    <w:tab w:val="left" w:pos="426"/>
                  </w:tabs>
                  <w:jc w:val="both"/>
                  <w:rPr>
                    <w:rFonts w:eastAsia="Calibri"/>
                    <w:sz w:val="22"/>
                    <w:szCs w:val="22"/>
                  </w:rPr>
                </w:pPr>
                <w:r>
                  <w:rPr>
                    <w:rFonts w:eastAsia="Calibri"/>
                    <w:sz w:val="22"/>
                    <w:szCs w:val="22"/>
                  </w:rPr>
                  <w:t xml:space="preserve">2. </w:t>
                </w:r>
                <w:r>
                  <w:t xml:space="preserve">Projektui pagal šio Aprašo veiklą įgyvendinti skiriama iki 2 011 000,00 Eur (dviejų milijonų vienuolikos tūkstančių eurų) Europos Sąjungos (toliau – ES) Ekonomikos gaivinimo ir atsparumo didinimo priemonės lėšų ir iki 422 000,00 Eur (keturių šimtų dvidešimt dviejų tūkstančių eurų) Lietuvos Respublikos valstybės biudžeto lėšų. </w:t>
                </w:r>
              </w:p>
              <w:p w14:paraId="0EA7EF99" w14:textId="45546BCA">
                <w:pPr>
                  <w:tabs>
                    <w:tab w:val="left" w:pos="426"/>
                    <w:tab w:val="left" w:pos="709"/>
                  </w:tabs>
                  <w:jc w:val="both"/>
                  <w:rPr>
                    <w:szCs w:val="24"/>
                  </w:rPr>
                </w:pPr>
                <w:r>
                  <w:rPr>
                    <w:bCs/>
                    <w:iCs/>
                    <w:szCs w:val="24"/>
                  </w:rPr>
                  <w:t>3. </w:t>
                </w:r>
                <w:r>
                  <w:rPr>
                    <w:szCs w:val="24"/>
                  </w:rPr>
                  <w:t xml:space="preserve">Jeigu projektas įgyvendinamas su partneriu, partnerystė projekte turi būti pagrįsta, teikti naudą ir prisidėti prie projekto tikslo įgyvendinimo ir iki </w:t>
                </w:r>
                <w:r>
                  <w:rPr>
                    <w:color w:val="000000"/>
                    <w:szCs w:val="24"/>
                    <w:lang w:eastAsia="lt-LT"/>
                  </w:rPr>
                  <w:t xml:space="preserve">projekto įgyvendinimo plano </w:t>
                </w:r>
                <w:r>
                  <w:rPr>
                    <w:szCs w:val="24"/>
                  </w:rPr>
                  <w:t>pateikimo turi būti sudaryta jungtinės veiklos (partnerystės) sutartis. Jungtinės veiklos (partnerystės) sutartį pasirašo pareiškėjas ir projekto partneris.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B9F6A3E" w14:textId="792A7A2D">
                <w:pPr>
                  <w:tabs>
                    <w:tab w:val="left" w:pos="426"/>
                    <w:tab w:val="left" w:pos="567"/>
                  </w:tabs>
                  <w:ind w:left="752" w:hanging="425"/>
                  <w:jc w:val="both"/>
                  <w:rPr>
                    <w:szCs w:val="24"/>
                  </w:rPr>
                </w:pPr>
                <w:r>
                  <w:rPr>
                    <w:szCs w:val="24"/>
                  </w:rPr>
                  <w:t>3.1. partneris turi būti perskaitęs projekto įgyvendinimo planą ir susipažinęs su savo teisėmis ir pareigomis įgyvendinant projekto įgyvendinimo planą;</w:t>
                </w:r>
              </w:p>
              <w:p w14:paraId="0DBBA611" w14:textId="31E9BB27">
                <w:pPr>
                  <w:tabs>
                    <w:tab w:val="left" w:pos="426"/>
                    <w:tab w:val="left" w:pos="567"/>
                  </w:tabs>
                  <w:ind w:left="752" w:hanging="425"/>
                  <w:jc w:val="both"/>
                  <w:rPr>
                    <w:strike/>
                    <w:szCs w:val="24"/>
                  </w:rPr>
                </w:pPr>
                <w:r>
                  <w:rPr>
                    <w:szCs w:val="24"/>
                  </w:rPr>
                  <w:t>3.2. įgyvendindamas projektą projekto vykdytojas privalo reguliariai konsultuotis su partneriu ir nuolat jį informuoti apie projekto įgyvendinimo eigą.</w:t>
                </w:r>
              </w:p>
              <w:p w14:paraId="1FAC82FA" w14:textId="3FF144FE">
                <w:pPr>
                  <w:rPr>
                    <w:rFonts w:eastAsia="Calibri"/>
                    <w:szCs w:val="24"/>
                  </w:rPr>
                </w:pPr>
                <w:r>
                  <w:rPr>
                    <w:rFonts w:eastAsia="Calibri"/>
                    <w:szCs w:val="24"/>
                    <w:lang w:val="en-US"/>
                  </w:rPr>
                  <w:t xml:space="preserve">4. </w:t>
                </w:r>
                <w:r>
                  <w:rPr>
                    <w:rFonts w:eastAsia="Calibri"/>
                    <w:szCs w:val="24"/>
                  </w:rPr>
                  <w:t>Projektui teikiama finansavimo forma – dotacija.</w:t>
                </w:r>
              </w:p>
              <w:p w14:paraId="382978D4" w14:textId="0EA7A0B5">
                <w:pPr>
                  <w:jc w:val="both"/>
                  <w:rPr>
                    <w:rFonts w:eastAsia="Calibri"/>
                    <w:szCs w:val="24"/>
                  </w:rPr>
                </w:pPr>
                <w:r>
                  <w:rPr>
                    <w:rFonts w:eastAsia="Calibri"/>
                    <w:szCs w:val="24"/>
                  </w:rPr>
                  <w:t>5. Projektų atranka atliekama planavimo būdu.</w:t>
                </w:r>
              </w:p>
              <w:p w14:paraId="122762A9" w14:textId="077BCF00">
                <w:pPr>
                  <w:rPr>
                    <w:rFonts w:eastAsia="Calibri"/>
                    <w:szCs w:val="24"/>
                  </w:rPr>
                </w:pPr>
                <w:r>
                  <w:rPr>
                    <w:rFonts w:eastAsia="Calibri"/>
                    <w:szCs w:val="24"/>
                  </w:rPr>
                  <w:t>6. Projektas turi atitikti projekto bendruosius atrankos kriterijus, nustatytus Laikinosios tvarkos aprašo 9 priede.</w:t>
                </w:r>
              </w:p>
              <w:p w14:paraId="0C00AB70" w14:textId="1DA0D169">
                <w:pPr>
                  <w:rPr>
                    <w:rFonts w:eastAsia="Calibri"/>
                    <w:szCs w:val="24"/>
                  </w:rPr>
                </w:pPr>
                <w:r>
                  <w:rPr>
                    <w:rFonts w:eastAsia="Calibri"/>
                    <w:szCs w:val="24"/>
                  </w:rPr>
                  <w:t>7. Projekto matomumo ir informavimo apie projektą veiksmai atliekami vadovaujantis Laikinosios tvarkos aprašo 5 priedo nuostatomis.</w:t>
                </w:r>
              </w:p>
              <w:p w14:paraId="10BDAA74" w14:textId="1C29F0DF">
                <w:pPr>
                  <w:rPr>
                    <w:szCs w:val="24"/>
                  </w:rPr>
                </w:pPr>
                <w:r>
                  <w:rPr>
                    <w:rFonts w:eastAsia="Calibri"/>
                    <w:szCs w:val="24"/>
                  </w:rPr>
                  <w:t xml:space="preserve">8. Projekto veiklos turi būti įgyvendintos iki 2023 m. gruodžio 31 d. </w:t>
                </w:r>
              </w:p>
              <w:p w14:paraId="5740D18C" w14:textId="3979F440">
                <w:pPr>
                  <w:tabs>
                    <w:tab w:val="left" w:pos="426"/>
                    <w:tab w:val="left" w:pos="709"/>
                  </w:tabs>
                  <w:jc w:val="both"/>
                  <w:rPr>
                    <w:szCs w:val="24"/>
                  </w:rPr>
                </w:pPr>
                <w:r>
                  <w:rPr>
                    <w:szCs w:val="24"/>
                  </w:rPr>
                  <w:t>9. Kartu su projekto įgyvendinimo planu administruojančiajai institucijai turi būti pateikti šie dokumentai:</w:t>
                </w:r>
              </w:p>
              <w:p w14:paraId="1236AB8B" w14:textId="2AC3F3C8">
                <w:pPr>
                  <w:tabs>
                    <w:tab w:val="left" w:pos="426"/>
                    <w:tab w:val="left" w:pos="709"/>
                  </w:tabs>
                  <w:ind w:left="747" w:hanging="425"/>
                  <w:jc w:val="both"/>
                  <w:rPr>
                    <w:szCs w:val="24"/>
                  </w:rPr>
                </w:pPr>
                <w:r>
                  <w:rPr>
                    <w:szCs w:val="24"/>
                  </w:rPr>
                  <w:t>9.1. Partnerio deklaracija pagal Laikinosios tvarkos aprašo 8.1 priedą (taikoma, jei projektas bus įgyvendinamas su partneriu (-iais));</w:t>
                </w:r>
              </w:p>
              <w:p w14:paraId="4787FCC9" w14:textId="351EA70A">
                <w:pPr>
                  <w:tabs>
                    <w:tab w:val="left" w:pos="426"/>
                    <w:tab w:val="left" w:pos="709"/>
                  </w:tabs>
                  <w:ind w:left="747" w:hanging="425"/>
                  <w:jc w:val="both"/>
                  <w:rPr>
                    <w:szCs w:val="24"/>
                  </w:rPr>
                </w:pPr>
                <w:r>
                  <w:rPr>
                    <w:szCs w:val="24"/>
                  </w:rPr>
                  <w:t>9.2. Informacija apie projekto biudžeto paskirstymą pagal pareiškėjus ir partnerius pagal Laikinosios tvarkos aprašo 8.2 priedą (taikoma, jei projektas bus įgyvendinamas su partneriu (-iais)); </w:t>
                </w:r>
              </w:p>
              <w:p w14:paraId="46F98143" w14:textId="31759E83">
                <w:pPr>
                  <w:tabs>
                    <w:tab w:val="left" w:pos="426"/>
                    <w:tab w:val="left" w:pos="709"/>
                  </w:tabs>
                  <w:ind w:left="747" w:hanging="425"/>
                  <w:jc w:val="both"/>
                  <w:rPr>
                    <w:szCs w:val="24"/>
                  </w:rPr>
                </w:pPr>
                <w:r>
                  <w:rPr>
                    <w:szCs w:val="24"/>
                  </w:rPr>
                  <w:t>9.3.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6CE0C3CD" w14:textId="5F6CD91D">
                <w:pPr>
                  <w:ind w:left="743" w:hanging="425"/>
                  <w:jc w:val="both"/>
                  <w:rPr>
                    <w:color w:val="000000"/>
                    <w:szCs w:val="24"/>
                  </w:rPr>
                </w:pPr>
                <w:r>
                  <w:rPr>
                    <w:szCs w:val="24"/>
                  </w:rPr>
                  <w:t>9.4.</w:t>
                  <w:tab/>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05C46EDC" w14:textId="2C1BCEF1">
                <w:pPr>
                  <w:ind w:left="743" w:hanging="425"/>
                  <w:jc w:val="both"/>
                  <w:rPr>
                    <w:color w:val="000000"/>
                    <w:szCs w:val="24"/>
                  </w:rPr>
                </w:pPr>
                <w:r>
                  <w:rPr>
                    <w:szCs w:val="24"/>
                  </w:rPr>
                  <w:t>9.5.</w:t>
                  <w:tab/>
                  <w:t>Pirkimo ir (arba) importo pridėtinės vertės mokesčio tinkamumo finansuoti Europos Sąjungos ir (arba) Lietuvos Respublikos valstybės biudžeto lėšomis klausimynas pagal Laikinosios tvarkos aprašo 8.5 priedą;</w:t>
                </w:r>
              </w:p>
              <w:p w14:paraId="5BDDAA3D" w14:textId="57021750">
                <w:pPr>
                  <w:ind w:left="743" w:hanging="425"/>
                  <w:jc w:val="both"/>
                  <w:rPr>
                    <w:szCs w:val="24"/>
                  </w:rPr>
                </w:pPr>
                <w:r>
                  <w:rPr>
                    <w:szCs w:val="24"/>
                  </w:rPr>
                  <w:t>9.6.</w:t>
                  <w:tab/>
                  <w:t xml:space="preserve">Dokumentai, pagrindžiantys projekto išlaidų pagrįstumą (sudarytos sutartys, komerciniais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548F630F" w14:textId="7DB5017E">
                <w:pPr>
                  <w:ind w:left="743" w:hanging="425"/>
                  <w:jc w:val="both"/>
                  <w:rPr>
                    <w:color w:val="000000"/>
                    <w:szCs w:val="24"/>
                  </w:rPr>
                </w:pPr>
                <w:r>
                  <w:rPr>
                    <w:szCs w:val="24"/>
                  </w:rPr>
                  <w:t>9.7.</w:t>
                  <w:tab/>
                </w:r>
                <w:r>
                  <w:rPr>
                    <w:color w:val="000000"/>
                    <w:szCs w:val="24"/>
                  </w:rPr>
                  <w:t>Pareiškėjo (partnerio) įsipareigojimo dėl elektros ir elektroninės įrangos, baigusios gyvavimo ciklą, perdavimo sutvarkyti deklaracija (Aprašo 1.2 priedas).</w:t>
                </w:r>
              </w:p>
              <w:p w14:paraId="1BD80A85" w14:textId="28816F7F">
                <w:pPr>
                  <w:tabs>
                    <w:tab w:val="left" w:pos="426"/>
                    <w:tab w:val="left" w:pos="709"/>
                  </w:tabs>
                  <w:jc w:val="both"/>
                  <w:rPr>
                    <w:color w:val="000000"/>
                    <w:szCs w:val="24"/>
                  </w:rPr>
                </w:pPr>
                <w:r>
                  <w:rPr>
                    <w:szCs w:val="24"/>
                  </w:rPr>
                  <w:t>10. Taikomi reikalavimai projekto įgyvendinimo metu:</w:t>
                </w:r>
              </w:p>
              <w:p w14:paraId="4A186283" w14:textId="50D08154">
                <w:pPr>
                  <w:tabs>
                    <w:tab w:val="left" w:pos="426"/>
                    <w:tab w:val="left" w:pos="709"/>
                  </w:tabs>
                  <w:ind w:left="739" w:hanging="425"/>
                  <w:jc w:val="both"/>
                  <w:rPr>
                    <w:szCs w:val="24"/>
                    <w:lang w:eastAsia="lt-LT"/>
                  </w:rPr>
                </w:pPr>
                <w:r>
                  <w:rPr>
                    <w:szCs w:val="24"/>
                  </w:rPr>
                  <w:t>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rPr>
                  <w:t>Valstybės informacinė sistema laikoma įsteigta nuo valstybės informacinės sistemos nuostatų patvirtinimo.</w:t>
                </w:r>
              </w:p>
              <w:p w14:paraId="77AD6BC5" w14:textId="31D0D302">
                <w:pPr>
                  <w:tabs>
                    <w:tab w:val="left" w:pos="426"/>
                    <w:tab w:val="left" w:pos="709"/>
                  </w:tabs>
                  <w:ind w:left="739" w:hanging="425"/>
                  <w:jc w:val="both"/>
                  <w:rPr>
                    <w:color w:val="000000"/>
                    <w:szCs w:val="24"/>
                  </w:rPr>
                </w:pPr>
                <w:r>
                  <w:rPr>
                    <w:szCs w:val="24"/>
                  </w:rPr>
                  <w:t>10.2. Sukūrus ar modernizavus elektronines paslaugas, turi būti atliktas atsparumo įsilaužimams testas, kaip tai numatyta Elektroninių paslaugų kūrimo metodikoje, nustačius kritinių klaidų, jos turi būti ištaisytos iki projekto veiklų pabaigos.</w:t>
                </w:r>
              </w:p>
              <w:p w14:paraId="530C5243" w14:textId="3C817A38">
                <w:pPr>
                  <w:ind w:left="739" w:hanging="425"/>
                  <w:jc w:val="both"/>
                  <w:rPr>
                    <w:color w:val="000000"/>
                    <w:szCs w:val="24"/>
                  </w:rPr>
                </w:pPr>
                <w:r>
                  <w:rPr>
                    <w:szCs w:val="24"/>
                  </w:rPr>
                  <w:t>10.3. Sukūrus ar modernizavus elektronines paslaugas, turi būti patvirtintas kuriamos arba modernizuojamos informacinės sistemos priėmimo ir tinkamumo eksploatuoti aktas, kaip tai nustatyta Valstybės informacinių sistemų gyvavimo ciklo valdymo metodikoje.</w:t>
                </w:r>
              </w:p>
              <w:p w14:paraId="12014235" w14:textId="2AC54D62">
                <w:pPr>
                  <w:tabs>
                    <w:tab w:val="left" w:pos="426"/>
                    <w:tab w:val="left" w:pos="709"/>
                  </w:tabs>
                  <w:ind w:left="739" w:hanging="425"/>
                  <w:jc w:val="both"/>
                  <w:rPr>
                    <w:color w:val="000000"/>
                    <w:szCs w:val="24"/>
                  </w:rPr>
                </w:pPr>
                <w:r>
                  <w:rPr>
                    <w:szCs w:val="24"/>
                  </w:rPr>
                  <w:t>10.4. </w:t>
                </w:r>
                <w:r>
                  <w:rPr>
                    <w:color w:val="000000"/>
                  </w:rPr>
                  <w:t>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rPr>
                  <w:t xml:space="preserve"> paslaugų teikėjo infrastruktūroje (Nutarimas Nr. 498).</w:t>
                </w:r>
              </w:p>
            </w:tc>
          </w:tr>
          <w:tr w14:paraId="12F68BD4" w14:textId="77777777">
            <w:tc>
              <w:tcPr>
                <w:tcW w:w="14317" w:type="dxa"/>
              </w:tcPr>
              <w:p w14:paraId="50CE3C92" w14:textId="77777777">
                <w:pPr>
                  <w:jc w:val="both"/>
                  <w:rPr>
                    <w:iCs/>
                    <w:szCs w:val="24"/>
                  </w:rPr>
                </w:pPr>
                <w:r>
                  <w:rPr>
                    <w:b/>
                    <w:szCs w:val="24"/>
                  </w:rPr>
                  <w:t>2.1. Reikalavimai jungtinio projekto projektams</w:t>
                </w:r>
              </w:p>
            </w:tc>
          </w:tr>
          <w:tr w14:paraId="4F5341DD" w14:textId="77777777">
            <w:trPr>
              <w:trHeight w:val="474"/>
            </w:trPr>
            <w:tc>
              <w:tcPr>
                <w:tcW w:w="14317" w:type="dxa"/>
              </w:tcPr>
              <w:p w14:paraId="6DBB8E69" w14:textId="0574E7F3">
                <w:pPr>
                  <w:jc w:val="both"/>
                  <w:rPr>
                    <w:szCs w:val="24"/>
                  </w:rPr>
                </w:pPr>
                <w:r>
                  <w:rPr>
                    <w:szCs w:val="24"/>
                  </w:rPr>
                  <w:t>Netaikoma</w:t>
                </w:r>
              </w:p>
            </w:tc>
          </w:tr>
          <w:tr w14:paraId="0AF2C9AE" w14:textId="77777777">
            <w:trPr>
              <w:trHeight w:val="410"/>
            </w:trPr>
            <w:tc>
              <w:tcPr>
                <w:tcW w:w="14317" w:type="dxa"/>
              </w:tcPr>
              <w:p w14:paraId="48128E88" w14:textId="77777777">
                <w:pPr>
                  <w:jc w:val="both"/>
                  <w:rPr>
                    <w:i/>
                    <w:iCs/>
                    <w:szCs w:val="24"/>
                  </w:rPr>
                </w:pPr>
                <w:r>
                  <w:rPr>
                    <w:b/>
                    <w:szCs w:val="24"/>
                  </w:rPr>
                  <w:t>2.2. Siektini stebėsenos rodikliai</w:t>
                </w:r>
              </w:p>
            </w:tc>
          </w:tr>
          <w:tr w14:paraId="696CA93F" w14:textId="77777777">
            <w:trPr>
              <w:trHeight w:val="1440"/>
            </w:trPr>
            <w:tc>
              <w:tcPr>
                <w:tcW w:w="14317" w:type="dxa"/>
              </w:tcPr>
              <w:tbl>
                <w:tblPr>
                  <w:tblW w:w="14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7"/>
                  <w:gridCol w:w="2551"/>
                  <w:gridCol w:w="1418"/>
                  <w:gridCol w:w="2551"/>
                </w:tblGrid>
                <w:tr w14:paraId="40833170" w14:textId="77777777">
                  <w:trPr>
                    <w:trHeight w:val="370"/>
                  </w:trPr>
                  <w:tc>
                    <w:tcPr>
                      <w:tcW w:w="7687" w:type="dxa"/>
                      <w:shd w:val="clear" w:color="auto" w:fill="auto"/>
                    </w:tcPr>
                    <w:p w14:paraId="08E842E5" w14:textId="77777777">
                      <w:pPr>
                        <w:jc w:val="center"/>
                        <w:rPr>
                          <w:szCs w:val="24"/>
                        </w:rPr>
                      </w:pPr>
                      <w:r>
                        <w:rPr>
                          <w:szCs w:val="24"/>
                        </w:rPr>
                        <w:t>Rodiklio pavadinimas</w:t>
                      </w:r>
                    </w:p>
                  </w:tc>
                  <w:tc>
                    <w:tcPr>
                      <w:tcW w:w="2551" w:type="dxa"/>
                      <w:shd w:val="clear" w:color="auto" w:fill="auto"/>
                    </w:tcPr>
                    <w:p w14:paraId="515B0C27" w14:textId="77777777">
                      <w:pPr>
                        <w:jc w:val="center"/>
                        <w:rPr>
                          <w:szCs w:val="24"/>
                        </w:rPr>
                      </w:pPr>
                      <w:r>
                        <w:rPr>
                          <w:szCs w:val="24"/>
                        </w:rPr>
                        <w:t>Rodiklio kodas</w:t>
                      </w:r>
                    </w:p>
                  </w:tc>
                  <w:tc>
                    <w:tcPr>
                      <w:tcW w:w="1418" w:type="dxa"/>
                      <w:shd w:val="clear" w:color="auto" w:fill="auto"/>
                    </w:tcPr>
                    <w:p w14:paraId="2CEE2084" w14:textId="77777777">
                      <w:pPr>
                        <w:jc w:val="center"/>
                        <w:rPr>
                          <w:szCs w:val="24"/>
                        </w:rPr>
                      </w:pPr>
                      <w:r>
                        <w:rPr>
                          <w:szCs w:val="24"/>
                        </w:rPr>
                        <w:t>Matavimo vienetai</w:t>
                      </w:r>
                    </w:p>
                  </w:tc>
                  <w:tc>
                    <w:tcPr>
                      <w:tcW w:w="2551" w:type="dxa"/>
                      <w:shd w:val="clear" w:color="auto" w:fill="auto"/>
                    </w:tcPr>
                    <w:p w14:paraId="46623474" w14:textId="77777777">
                      <w:pPr>
                        <w:jc w:val="center"/>
                        <w:rPr>
                          <w:szCs w:val="24"/>
                        </w:rPr>
                      </w:pPr>
                      <w:r>
                        <w:rPr>
                          <w:szCs w:val="24"/>
                        </w:rPr>
                        <w:t>Siektina reikšmė</w:t>
                      </w:r>
                    </w:p>
                  </w:tc>
                </w:tr>
                <w:tr w14:paraId="182D65A4" w14:textId="77777777">
                  <w:trPr>
                    <w:trHeight w:val="662"/>
                  </w:trPr>
                  <w:tc>
                    <w:tcPr>
                      <w:tcW w:w="7687" w:type="dxa"/>
                    </w:tcPr>
                    <w:p w14:paraId="040C73BA" w14:textId="77777777">
                      <w:pPr>
                        <w:jc w:val="both"/>
                        <w:rPr>
                          <w:szCs w:val="24"/>
                        </w:rPr>
                      </w:pPr>
                      <w:r>
                        <w:rPr>
                          <w:szCs w:val="24"/>
                        </w:rPr>
                        <w:t>Sveikatos priežiūros specialistų, kurių licencija įregistruota ir jos priežiūra vykdoma skaitmeniniu būdu, dalis (rezultato rodiklis)</w:t>
                      </w:r>
                    </w:p>
                  </w:tc>
                  <w:tc>
                    <w:tcPr>
                      <w:tcW w:w="2551" w:type="dxa"/>
                    </w:tcPr>
                    <w:p w14:paraId="0830879F" w14:textId="77777777">
                      <w:pPr>
                        <w:jc w:val="center"/>
                        <w:rPr>
                          <w:szCs w:val="24"/>
                        </w:rPr>
                      </w:pPr>
                      <w:r>
                        <w:rPr>
                          <w:szCs w:val="24"/>
                        </w:rPr>
                        <w:t>R-11-002-02-11-01-30</w:t>
                      </w:r>
                    </w:p>
                    <w:p w14:paraId="6CC05878" w14:textId="560723CB">
                      <w:pPr>
                        <w:jc w:val="center"/>
                        <w:rPr>
                          <w:szCs w:val="24"/>
                        </w:rPr>
                      </w:pPr>
                      <w:r>
                        <w:t>R. S.1.3014</w:t>
                      </w:r>
                    </w:p>
                  </w:tc>
                  <w:tc>
                    <w:tcPr>
                      <w:tcW w:w="1418" w:type="dxa"/>
                    </w:tcPr>
                    <w:p w14:paraId="2A0EF2C0" w14:textId="77777777">
                      <w:pPr>
                        <w:jc w:val="center"/>
                        <w:rPr>
                          <w:szCs w:val="24"/>
                        </w:rPr>
                      </w:pPr>
                      <w:r>
                        <w:rPr>
                          <w:szCs w:val="24"/>
                        </w:rPr>
                        <w:t>Proc.</w:t>
                      </w:r>
                    </w:p>
                  </w:tc>
                  <w:tc>
                    <w:tcPr>
                      <w:tcW w:w="2551" w:type="dxa"/>
                    </w:tcPr>
                    <w:p w14:paraId="1A836CAB" w14:textId="77777777">
                      <w:pPr>
                        <w:jc w:val="center"/>
                        <w:rPr>
                          <w:szCs w:val="24"/>
                        </w:rPr>
                      </w:pPr>
                      <w:r>
                        <w:rPr>
                          <w:szCs w:val="24"/>
                        </w:rPr>
                        <w:t>50 (2026 m. I ketv.)</w:t>
                      </w:r>
                    </w:p>
                    <w:p w14:paraId="3EECA973" w14:textId="77777777">
                      <w:pPr>
                        <w:jc w:val="center"/>
                        <w:rPr>
                          <w:szCs w:val="24"/>
                        </w:rPr>
                      </w:pPr>
                      <w:r>
                        <w:rPr>
                          <w:szCs w:val="24"/>
                        </w:rPr>
                        <w:t>90 (2030 m.)</w:t>
                      </w:r>
                    </w:p>
                  </w:tc>
                </w:tr>
                <w:tr w14:paraId="7948366D" w14:textId="77777777">
                  <w:trPr>
                    <w:trHeight w:val="662"/>
                  </w:trPr>
                  <w:tc>
                    <w:tcPr>
                      <w:tcW w:w="7687" w:type="dxa"/>
                    </w:tcPr>
                    <w:p w14:paraId="20A0F549" w14:textId="5C4E6F0F">
                      <w:pPr>
                        <w:jc w:val="both"/>
                        <w:rPr>
                          <w:szCs w:val="24"/>
                        </w:rPr>
                      </w:pPr>
                      <w:r>
                        <w:rPr>
                          <w:szCs w:val="24"/>
                        </w:rPr>
                        <w:t>Sveikatos specialistų kompetencijų platformos IT įrankio įdiegimo atviro viešųjų pirkimo konkurso procedūrų užbaigimas (produkto rodiklis)</w:t>
                      </w:r>
                    </w:p>
                  </w:tc>
                  <w:tc>
                    <w:tcPr>
                      <w:tcW w:w="2551" w:type="dxa"/>
                    </w:tcPr>
                    <w:p w14:paraId="767FE484" w14:textId="77777777">
                      <w:pPr>
                        <w:jc w:val="center"/>
                        <w:rPr>
                          <w:szCs w:val="24"/>
                        </w:rPr>
                      </w:pPr>
                      <w:r>
                        <w:rPr>
                          <w:szCs w:val="24"/>
                        </w:rPr>
                        <w:t>P-11-002-02-11-01-52</w:t>
                      </w:r>
                    </w:p>
                    <w:p w14:paraId="59EEA78B" w14:textId="6D136167">
                      <w:pPr>
                        <w:jc w:val="center"/>
                        <w:rPr>
                          <w:szCs w:val="24"/>
                        </w:rPr>
                      </w:pPr>
                      <w:r>
                        <w:t>P. S.1.1010.1</w:t>
                      </w:r>
                    </w:p>
                  </w:tc>
                  <w:tc>
                    <w:tcPr>
                      <w:tcW w:w="1418" w:type="dxa"/>
                    </w:tcPr>
                    <w:p w14:paraId="339E57EA" w14:textId="77777777">
                      <w:pPr>
                        <w:jc w:val="center"/>
                        <w:rPr>
                          <w:szCs w:val="24"/>
                        </w:rPr>
                      </w:pPr>
                      <w:r>
                        <w:rPr>
                          <w:szCs w:val="24"/>
                        </w:rPr>
                        <w:t>Vnt.</w:t>
                      </w:r>
                    </w:p>
                  </w:tc>
                  <w:tc>
                    <w:tcPr>
                      <w:tcW w:w="2551" w:type="dxa"/>
                    </w:tcPr>
                    <w:p w14:paraId="5C9F6C5F" w14:textId="77777777">
                      <w:pPr>
                        <w:jc w:val="center"/>
                        <w:rPr>
                          <w:szCs w:val="24"/>
                        </w:rPr>
                      </w:pPr>
                      <w:r>
                        <w:rPr>
                          <w:szCs w:val="24"/>
                        </w:rPr>
                        <w:t xml:space="preserve">1 </w:t>
                      </w:r>
                    </w:p>
                    <w:p w14:paraId="6B0D5379" w14:textId="77777777">
                      <w:pPr>
                        <w:jc w:val="center"/>
                        <w:rPr>
                          <w:szCs w:val="24"/>
                        </w:rPr>
                      </w:pPr>
                      <w:r>
                        <w:rPr>
                          <w:szCs w:val="24"/>
                        </w:rPr>
                        <w:t>(2022 m. IV ketv.)</w:t>
                      </w:r>
                    </w:p>
                  </w:tc>
                </w:tr>
                <w:tr w14:paraId="0A63F0EA" w14:textId="77777777">
                  <w:trPr>
                    <w:trHeight w:val="662"/>
                  </w:trPr>
                  <w:tc>
                    <w:tcPr>
                      <w:tcW w:w="7687" w:type="dxa"/>
                    </w:tcPr>
                    <w:p w14:paraId="625CDBF9" w14:textId="77777777">
                      <w:pPr>
                        <w:jc w:val="both"/>
                        <w:rPr>
                          <w:color w:val="0070C0"/>
                          <w:szCs w:val="24"/>
                        </w:rPr>
                      </w:pPr>
                      <w:r>
                        <w:rPr>
                          <w:szCs w:val="24"/>
                        </w:rPr>
                        <w:t>Sveikatos priežiūros specialistų kompetencijų platformos sukūrimas (produkto rodiklis)</w:t>
                      </w:r>
                    </w:p>
                  </w:tc>
                  <w:tc>
                    <w:tcPr>
                      <w:tcW w:w="2551" w:type="dxa"/>
                    </w:tcPr>
                    <w:p w14:paraId="659BAC2E" w14:textId="77777777">
                      <w:pPr>
                        <w:jc w:val="center"/>
                        <w:rPr>
                          <w:szCs w:val="24"/>
                        </w:rPr>
                      </w:pPr>
                      <w:r>
                        <w:rPr>
                          <w:szCs w:val="24"/>
                        </w:rPr>
                        <w:t>P-11-002-02-11-01-53</w:t>
                      </w:r>
                    </w:p>
                    <w:p w14:paraId="1F6FBA59" w14:textId="5D40EECE">
                      <w:pPr>
                        <w:jc w:val="center"/>
                        <w:rPr>
                          <w:szCs w:val="24"/>
                        </w:rPr>
                      </w:pPr>
                      <w:r>
                        <w:t>P. S.1.1010</w:t>
                      </w:r>
                    </w:p>
                  </w:tc>
                  <w:tc>
                    <w:tcPr>
                      <w:tcW w:w="1418" w:type="dxa"/>
                    </w:tcPr>
                    <w:p w14:paraId="1C4CA879" w14:textId="77777777">
                      <w:pPr>
                        <w:jc w:val="center"/>
                        <w:rPr>
                          <w:szCs w:val="24"/>
                        </w:rPr>
                      </w:pPr>
                      <w:r>
                        <w:rPr>
                          <w:szCs w:val="24"/>
                        </w:rPr>
                        <w:t xml:space="preserve">Vnt. </w:t>
                      </w:r>
                    </w:p>
                  </w:tc>
                  <w:tc>
                    <w:tcPr>
                      <w:tcW w:w="2551" w:type="dxa"/>
                    </w:tcPr>
                    <w:p w14:paraId="43E7F004" w14:textId="77777777">
                      <w:pPr>
                        <w:jc w:val="center"/>
                        <w:rPr>
                          <w:szCs w:val="24"/>
                        </w:rPr>
                      </w:pPr>
                      <w:r>
                        <w:rPr>
                          <w:szCs w:val="24"/>
                        </w:rPr>
                        <w:t>1</w:t>
                      </w:r>
                    </w:p>
                    <w:p w14:paraId="33EF9CED" w14:textId="77777777">
                      <w:pPr>
                        <w:jc w:val="center"/>
                        <w:rPr>
                          <w:szCs w:val="24"/>
                        </w:rPr>
                      </w:pPr>
                      <w:r>
                        <w:rPr>
                          <w:szCs w:val="24"/>
                        </w:rPr>
                        <w:t>(2023 m. IV ketv.)</w:t>
                      </w:r>
                    </w:p>
                  </w:tc>
                </w:tr>
                <w:tr w14:paraId="4C484D18" w14:textId="77777777">
                  <w:trPr>
                    <w:trHeight w:val="662"/>
                  </w:trPr>
                  <w:tc>
                    <w:tcPr>
                      <w:tcW w:w="7687" w:type="dxa"/>
                    </w:tcPr>
                    <w:p w14:paraId="371DF90E" w14:textId="77777777">
                      <w:pPr>
                        <w:jc w:val="both"/>
                        <w:rPr>
                          <w:szCs w:val="24"/>
                        </w:rPr>
                      </w:pPr>
                      <w:r>
                        <w:rPr>
                          <w:szCs w:val="24"/>
                        </w:rPr>
                        <w:t>Sveikatos priežiūros specialistų licencijų registravimo ir skaitmeninės stebėsenos informacinės sistemos (platformos) sukūrimas (produkto rodiklis)</w:t>
                      </w:r>
                    </w:p>
                  </w:tc>
                  <w:tc>
                    <w:tcPr>
                      <w:tcW w:w="2551" w:type="dxa"/>
                    </w:tcPr>
                    <w:p w14:paraId="6BFE6C1C" w14:textId="77777777">
                      <w:pPr>
                        <w:jc w:val="center"/>
                        <w:rPr>
                          <w:szCs w:val="24"/>
                        </w:rPr>
                      </w:pPr>
                      <w:r>
                        <w:rPr>
                          <w:szCs w:val="24"/>
                        </w:rPr>
                        <w:t>P-11-002-02-11-01-54</w:t>
                      </w:r>
                    </w:p>
                    <w:p w14:paraId="13E862D5" w14:textId="4BCF0030">
                      <w:pPr>
                        <w:jc w:val="center"/>
                        <w:rPr>
                          <w:szCs w:val="24"/>
                        </w:rPr>
                      </w:pPr>
                      <w:r>
                        <w:t>R. S.1.3014.1 arba P.S.1.1014.1</w:t>
                      </w:r>
                    </w:p>
                  </w:tc>
                  <w:tc>
                    <w:tcPr>
                      <w:tcW w:w="1418" w:type="dxa"/>
                    </w:tcPr>
                    <w:p w14:paraId="55244990" w14:textId="77777777">
                      <w:pPr>
                        <w:jc w:val="center"/>
                        <w:rPr>
                          <w:szCs w:val="24"/>
                        </w:rPr>
                      </w:pPr>
                      <w:r>
                        <w:rPr>
                          <w:szCs w:val="24"/>
                        </w:rPr>
                        <w:t>Vnt.</w:t>
                      </w:r>
                    </w:p>
                  </w:tc>
                  <w:tc>
                    <w:tcPr>
                      <w:tcW w:w="2551" w:type="dxa"/>
                    </w:tcPr>
                    <w:p w14:paraId="6C26FE63" w14:textId="77777777">
                      <w:pPr>
                        <w:jc w:val="center"/>
                        <w:rPr>
                          <w:szCs w:val="24"/>
                        </w:rPr>
                      </w:pPr>
                      <w:r>
                        <w:rPr>
                          <w:szCs w:val="24"/>
                        </w:rPr>
                        <w:t>1</w:t>
                      </w:r>
                    </w:p>
                    <w:p w14:paraId="2EFA1D71" w14:textId="77777777">
                      <w:pPr>
                        <w:jc w:val="center"/>
                        <w:rPr>
                          <w:szCs w:val="24"/>
                        </w:rPr>
                      </w:pPr>
                      <w:r>
                        <w:rPr>
                          <w:szCs w:val="24"/>
                        </w:rPr>
                        <w:t>(2024 m. I ketv.)</w:t>
                      </w:r>
                    </w:p>
                  </w:tc>
                </w:tr>
                <w:tr w14:paraId="0BDA7B13" w14:textId="77777777">
                  <w:trPr>
                    <w:trHeight w:val="662"/>
                  </w:trPr>
                  <w:tc>
                    <w:tcPr>
                      <w:tcW w:w="7687" w:type="dxa"/>
                    </w:tcPr>
                    <w:p w14:paraId="0CC271C8" w14:textId="77777777">
                      <w:pPr>
                        <w:jc w:val="both"/>
                        <w:rPr>
                          <w:szCs w:val="24"/>
                        </w:rPr>
                      </w:pPr>
                      <w:r>
                        <w:rPr>
                          <w:szCs w:val="24"/>
                        </w:rPr>
                        <w:t>Naujų ir patobulintų viešųjų skaitmeninių paslaugų, produktų ir procesų naudotojai (rezultato rodiklis)</w:t>
                      </w:r>
                    </w:p>
                  </w:tc>
                  <w:tc>
                    <w:tcPr>
                      <w:tcW w:w="2551" w:type="dxa"/>
                    </w:tcPr>
                    <w:p w14:paraId="760BE79E" w14:textId="77777777">
                      <w:pPr>
                        <w:jc w:val="center"/>
                        <w:rPr>
                          <w:szCs w:val="24"/>
                        </w:rPr>
                      </w:pPr>
                      <w:r>
                        <w:rPr>
                          <w:szCs w:val="24"/>
                        </w:rPr>
                        <w:t>R-11-002-02-11-01-34</w:t>
                      </w:r>
                    </w:p>
                    <w:p w14:paraId="1A93B3E4" w14:textId="5E56B82B">
                      <w:pPr>
                        <w:jc w:val="center"/>
                        <w:rPr>
                          <w:szCs w:val="24"/>
                        </w:rPr>
                      </w:pPr>
                      <w:r>
                        <w:rPr>
                          <w:szCs w:val="24"/>
                        </w:rPr>
                        <w:t>R. B.1.2007</w:t>
                      </w:r>
                    </w:p>
                  </w:tc>
                  <w:tc>
                    <w:tcPr>
                      <w:tcW w:w="1418" w:type="dxa"/>
                    </w:tcPr>
                    <w:p w14:paraId="2F68E814" w14:textId="5608E6A7">
                      <w:pPr>
                        <w:jc w:val="center"/>
                        <w:rPr>
                          <w:szCs w:val="24"/>
                        </w:rPr>
                      </w:pPr>
                      <w:r>
                        <w:rPr>
                          <w:szCs w:val="24"/>
                        </w:rPr>
                        <w:t>Naudotojų skaičius per metus</w:t>
                      </w:r>
                    </w:p>
                  </w:tc>
                  <w:tc>
                    <w:tcPr>
                      <w:tcW w:w="2551" w:type="dxa"/>
                    </w:tcPr>
                    <w:p w14:paraId="669C0E38" w14:textId="77777777">
                      <w:pPr>
                        <w:jc w:val="center"/>
                        <w:rPr>
                          <w:szCs w:val="24"/>
                        </w:rPr>
                      </w:pPr>
                      <w:r>
                        <w:rPr>
                          <w:szCs w:val="24"/>
                        </w:rPr>
                        <w:t>n/a*</w:t>
                      </w:r>
                    </w:p>
                  </w:tc>
                </w:tr>
              </w:tbl>
              <w:p w14:paraId="196C43AB" w14:textId="2EC196A9">
                <w:pPr>
                  <w:jc w:val="both"/>
                  <w:rPr>
                    <w:i/>
                    <w:iCs/>
                    <w:szCs w:val="24"/>
                  </w:rPr>
                </w:pPr>
                <w:r>
                  <w:rPr>
                    <w:i/>
                    <w:iCs/>
                    <w:szCs w:val="24"/>
                  </w:rPr>
                  <w:t>*</w:t>
                </w:r>
                <w:r>
                  <w:rPr>
                    <w:sz w:val="22"/>
                    <w:szCs w:val="22"/>
                  </w:rPr>
                  <w:t>Rodiklis</w:t>
                </w:r>
                <w:r>
                  <w:rPr>
                    <w:szCs w:val="24"/>
                  </w:rPr>
                  <w:t xml:space="preserve"> nustatytas </w:t>
                </w:r>
                <w:r>
                  <w:rPr>
                    <w:sz w:val="22"/>
                    <w:szCs w:val="22"/>
                  </w:rPr>
                  <w:t xml:space="preserve">Ekonomikos gaivinimo ir atsparumo didinimo plane „Naujos kartos Lietuva“ ir neturi siektinų reikšmių. Duomenys bus renkami iš susijusių reformų ir investicijų rodiklių. Ataskaitinis laikotarpis </w:t>
                </w:r>
                <w:r>
                  <w:rPr>
                    <w:b/>
                    <w:bCs/>
                    <w:iCs/>
                    <w:sz w:val="22"/>
                    <w:szCs w:val="22"/>
                  </w:rPr>
                  <w:t xml:space="preserve">– </w:t>
                </w:r>
                <w:r>
                  <w:rPr>
                    <w:sz w:val="22"/>
                    <w:szCs w:val="22"/>
                  </w:rPr>
                  <w:t>iki 2026 m. gruodžio 31 d.</w:t>
                </w:r>
              </w:p>
            </w:tc>
          </w:tr>
          <w:tr w14:paraId="5A4D01F8" w14:textId="77777777">
            <w:trPr>
              <w:trHeight w:val="285"/>
            </w:trPr>
            <w:tc>
              <w:tcPr>
                <w:tcW w:w="14317" w:type="dxa"/>
              </w:tcPr>
              <w:p w14:paraId="08A5C396" w14:textId="77777777">
                <w:pPr>
                  <w:rPr>
                    <w:sz w:val="22"/>
                    <w:szCs w:val="22"/>
                  </w:rPr>
                </w:pPr>
                <w:r>
                  <w:rPr>
                    <w:b/>
                    <w:szCs w:val="24"/>
                  </w:rPr>
                  <w:t>3. Horizontaliųjų principų (toliau – HP) ir su jais susijusių Europos Sąjungos pagrindinių teisių chartijos (toliau – Chartija) nuostatų laikymosi reikalavimai</w:t>
                </w:r>
              </w:p>
            </w:tc>
          </w:tr>
          <w:tr w14:paraId="7A0B8C54" w14:textId="77777777">
            <w:tc>
              <w:tcPr>
                <w:tcW w:w="14317" w:type="dxa"/>
              </w:tcPr>
              <w:p w14:paraId="14586624" w14:textId="1710B372">
                <w:pPr>
                  <w:jc w:val="both"/>
                  <w:rPr>
                    <w:bCs/>
                    <w:iCs/>
                    <w:szCs w:val="24"/>
                  </w:rPr>
                </w:pPr>
                <w:r>
                  <w:rPr>
                    <w:bCs/>
                    <w:iCs/>
                    <w:szCs w:val="24"/>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parengti vadovaujantis Laikinosios tvarkos aprašo 15 priedo nuostatomis ir pateikiami Aprašo 1 priede.</w:t>
                </w:r>
              </w:p>
              <w:p w14:paraId="6AFFFFF7" w14:textId="0102D8DE">
                <w:pPr>
                  <w:jc w:val="both"/>
                  <w:rPr>
                    <w:iCs/>
                    <w:szCs w:val="24"/>
                  </w:rPr>
                </w:pPr>
                <w:r>
                  <w:rPr>
                    <w:iCs/>
                    <w:szCs w:val="24"/>
                  </w:rPr>
                  <w:t xml:space="preserve">Bus užtikrinta, kad įgyvendinant projekto veiklas nebus daroma reikšminga žala visiems šešiems aplinkos tikslams, nurodytiems Taksonomijos reglamento 17 straipsnyje (Aprašo  1.1 priedas).</w:t>
                </w:r>
              </w:p>
            </w:tc>
          </w:tr>
          <w:tr w14:paraId="0EE53A6B" w14:textId="77777777">
            <w:tc>
              <w:tcPr>
                <w:tcW w:w="14317" w:type="dxa"/>
              </w:tcPr>
              <w:p w14:paraId="28137E69" w14:textId="77777777">
                <w:pPr>
                  <w:ind w:left="1172" w:hanging="1172"/>
                  <w:rPr>
                    <w:b/>
                    <w:szCs w:val="24"/>
                  </w:rPr>
                </w:pPr>
                <w:r>
                  <w:rPr>
                    <w:b/>
                    <w:szCs w:val="24"/>
                  </w:rPr>
                  <w:t>4. Regionas, kuriam priskiriami projektai</w:t>
                </w:r>
              </w:p>
            </w:tc>
          </w:tr>
          <w:tr w14:paraId="2DF0187C" w14:textId="77777777">
            <w:tc>
              <w:tcPr>
                <w:tcW w:w="14317" w:type="dxa"/>
              </w:tcPr>
              <w:p w14:paraId="58B4DF87" w14:textId="00AFDFE4">
                <w:pPr>
                  <w:tabs>
                    <w:tab w:val="left" w:pos="426"/>
                  </w:tabs>
                  <w:jc w:val="both"/>
                  <w:rPr>
                    <w:bCs/>
                    <w:iCs/>
                    <w:szCs w:val="24"/>
                  </w:rPr>
                </w:pPr>
                <w:r>
                  <w:rPr>
                    <w:bCs/>
                    <w:iCs/>
                    <w:szCs w:val="24"/>
                  </w:rPr>
                  <w:t>Netaikoma.</w:t>
                </w:r>
              </w:p>
            </w:tc>
          </w:tr>
          <w:tr w14:paraId="56CA7672" w14:textId="77777777">
            <w:tc>
              <w:tcPr>
                <w:tcW w:w="14317" w:type="dxa"/>
              </w:tcPr>
              <w:p w14:paraId="6EE809BC" w14:textId="77777777">
                <w:pPr>
                  <w:jc w:val="both"/>
                  <w:rPr>
                    <w:b/>
                    <w:szCs w:val="24"/>
                  </w:rPr>
                </w:pPr>
                <w:r>
                  <w:rPr>
                    <w:b/>
                    <w:szCs w:val="24"/>
                  </w:rPr>
                  <w:t xml:space="preserve">5. Reikalavimai valstybės pagalbai </w:t>
                </w:r>
              </w:p>
            </w:tc>
          </w:tr>
          <w:tr w14:paraId="5BA31181" w14:textId="77777777">
            <w:tc>
              <w:tcPr>
                <w:tcW w:w="14317" w:type="dxa"/>
              </w:tcPr>
              <w:p w14:paraId="06B151FD" w14:textId="3567B54A">
                <w:pPr>
                  <w:jc w:val="both"/>
                  <w:rPr>
                    <w:i/>
                    <w:iCs/>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14:paraId="42811738" w14:textId="77777777">
            <w:trPr>
              <w:trHeight w:val="321"/>
            </w:trPr>
            <w:tc>
              <w:tcPr>
                <w:tcW w:w="14317" w:type="dxa"/>
              </w:tcPr>
              <w:p w14:paraId="19E35D5A" w14:textId="77777777">
                <w:pPr>
                  <w:ind w:left="426" w:hanging="426"/>
                  <w:jc w:val="both"/>
                  <w:rPr>
                    <w:i/>
                    <w:szCs w:val="24"/>
                  </w:rPr>
                </w:pPr>
                <w:r>
                  <w:rPr>
                    <w:b/>
                    <w:szCs w:val="24"/>
                  </w:rPr>
                  <w:t>6. Projektų atrankos kriterijai</w:t>
                </w:r>
              </w:p>
            </w:tc>
          </w:tr>
          <w:tr w14:paraId="5EB73C88" w14:textId="77777777">
            <w:trPr>
              <w:trHeight w:val="424"/>
            </w:trPr>
            <w:tc>
              <w:tcPr>
                <w:tcW w:w="14317" w:type="dxa"/>
              </w:tcPr>
              <w:p w14:paraId="674BB6F8" w14:textId="2F9ADC82">
                <w:pPr>
                  <w:tabs>
                    <w:tab w:val="left" w:pos="426"/>
                    <w:tab w:val="left" w:pos="709"/>
                  </w:tabs>
                  <w:jc w:val="both"/>
                  <w:rPr>
                    <w:iCs/>
                    <w:szCs w:val="24"/>
                  </w:rPr>
                </w:pPr>
                <w:r>
                  <w:rPr>
                    <w:iCs/>
                    <w:szCs w:val="24"/>
                  </w:rPr>
                  <w:t>Specialieji ir prioritetiniai projektų atrankos kriterijai nėra nustatomi.</w:t>
                </w:r>
                <w:r>
                  <w:rPr>
                    <w:i/>
                    <w:iCs/>
                  </w:rPr>
                  <w:t xml:space="preserve"> </w:t>
                </w:r>
              </w:p>
            </w:tc>
          </w:tr>
          <w:tr w14:paraId="4FA17BB6" w14:textId="77777777">
            <w:trPr>
              <w:trHeight w:val="309"/>
            </w:trPr>
            <w:tc>
              <w:tcPr>
                <w:tcW w:w="14317" w:type="dxa"/>
              </w:tcPr>
              <w:p w14:paraId="369A1196"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1B49CE05" w14:textId="77777777">
            <w:trPr>
              <w:trHeight w:val="478"/>
            </w:trPr>
            <w:tc>
              <w:tcPr>
                <w:tcW w:w="14317" w:type="dxa"/>
              </w:tcPr>
              <w:p w14:paraId="496AA507" w14:textId="71E392C1">
                <w:pPr>
                  <w:jc w:val="both"/>
                  <w:rPr>
                    <w:i/>
                  </w:rPr>
                </w:pPr>
                <w:r>
                  <w:rPr>
                    <w:i/>
                  </w:rPr>
                  <w:t>-</w:t>
                </w:r>
              </w:p>
            </w:tc>
          </w:tr>
          <w:tr w14:paraId="0A8E4E7D" w14:textId="77777777">
            <w:tc>
              <w:tcPr>
                <w:tcW w:w="14317" w:type="dxa"/>
              </w:tcPr>
              <w:p w14:paraId="79714C70" w14:textId="77777777">
                <w:pPr>
                  <w:rPr>
                    <w:b/>
                    <w:szCs w:val="24"/>
                  </w:rPr>
                </w:pPr>
                <w:r>
                  <w:rPr>
                    <w:b/>
                    <w:szCs w:val="24"/>
                  </w:rPr>
                  <w:t xml:space="preserve">7. Reikalavimai įgyvendinus projektų veiklas </w:t>
                </w:r>
              </w:p>
            </w:tc>
          </w:tr>
          <w:tr w14:paraId="2DFC6A95" w14:textId="77777777">
            <w:tc>
              <w:tcPr>
                <w:tcW w:w="14317" w:type="dxa"/>
              </w:tcPr>
              <w:p w14:paraId="1065D72C" w14:textId="4400C5EE">
                <w:r>
                  <w:rPr>
                    <w:color w:val="000000"/>
                    <w:szCs w:val="24"/>
                  </w:rPr>
                  <w:t>Papildomi reikalavimai įgyvendinus projekto veiklas, kurie nenumatyti Laikinosios tvarkos apraše, nėra taikomi.</w:t>
                </w:r>
              </w:p>
            </w:tc>
          </w:tr>
          <w:tr w14:paraId="39D0DD82" w14:textId="77777777">
            <w:tc>
              <w:tcPr>
                <w:tcW w:w="14317" w:type="dxa"/>
              </w:tcPr>
              <w:p w14:paraId="4791A76D" w14:textId="77777777">
                <w:pPr>
                  <w:rPr>
                    <w:szCs w:val="24"/>
                  </w:rPr>
                </w:pPr>
                <w:r>
                  <w:rPr>
                    <w:b/>
                    <w:szCs w:val="24"/>
                  </w:rPr>
                  <w:t>8. Kiti reikalavimai</w:t>
                </w:r>
              </w:p>
            </w:tc>
          </w:tr>
          <w:tr w14:paraId="3EEBB454" w14:textId="77777777">
            <w:tc>
              <w:tcPr>
                <w:tcW w:w="14317" w:type="dxa"/>
              </w:tcPr>
              <w:p w14:paraId="1CCEA70F" w14:textId="2D7653A6">
                <w:pPr>
                  <w:tabs>
                    <w:tab w:val="left" w:pos="1134"/>
                  </w:tabs>
                  <w:jc w:val="both"/>
                  <w:rPr>
                    <w:i/>
                    <w:szCs w:val="24"/>
                  </w:rPr>
                </w:pPr>
                <w:r>
                  <w:rPr>
                    <w:iCs/>
                    <w:szCs w:val="24"/>
                  </w:rPr>
                  <w:t>Kiti reikalavimai netaikomi.</w:t>
                </w:r>
              </w:p>
            </w:tc>
          </w:tr>
          <w:tr w14:paraId="717C3243" w14:textId="77777777">
            <w:tc>
              <w:tcPr>
                <w:tcW w:w="14317" w:type="dxa"/>
              </w:tcPr>
              <w:p w14:paraId="7371D819" w14:textId="77777777">
                <w:pPr>
                  <w:rPr>
                    <w:b/>
                    <w:szCs w:val="24"/>
                  </w:rPr>
                </w:pPr>
                <w:r>
                  <w:rPr>
                    <w:b/>
                    <w:szCs w:val="24"/>
                  </w:rPr>
                  <w:t>IŠLAIDŲ TINKAMUMO FINANSUOTI REIKALAVIMAI</w:t>
                </w:r>
              </w:p>
            </w:tc>
          </w:tr>
          <w:tr w14:paraId="75362396" w14:textId="77777777">
            <w:tc>
              <w:tcPr>
                <w:tcW w:w="14317" w:type="dxa"/>
              </w:tcPr>
              <w:p w14:paraId="44A125DB" w14:textId="77777777">
                <w:pPr>
                  <w:jc w:val="both"/>
                  <w:rPr>
                    <w:b/>
                    <w:szCs w:val="24"/>
                  </w:rPr>
                </w:pPr>
                <w:r>
                  <w:rPr>
                    <w:b/>
                    <w:szCs w:val="24"/>
                  </w:rPr>
                  <w:t>9. Išlaidų tinkamumo finansuoti reikalavimai</w:t>
                </w:r>
              </w:p>
            </w:tc>
          </w:tr>
          <w:tr w14:paraId="2A28B9BB" w14:textId="77777777">
            <w:tc>
              <w:tcPr>
                <w:tcW w:w="14317" w:type="dxa"/>
              </w:tcPr>
              <w:p w14:paraId="580F39D8" w14:textId="6BDA1636">
                <w:pPr>
                  <w:tabs>
                    <w:tab w:val="left" w:pos="426"/>
                  </w:tabs>
                  <w:ind w:left="322" w:hanging="284"/>
                  <w:jc w:val="both"/>
                  <w:rPr>
                    <w:color w:val="000000"/>
                    <w:szCs w:val="24"/>
                  </w:rPr>
                </w:pPr>
                <w:r>
                  <w:rPr>
                    <w:color w:val="000000"/>
                    <w:szCs w:val="24"/>
                  </w:rPr>
                  <w:t>1.</w:t>
                  <w:tab/>
                  <w:t>Projekto išlaidos turi atitikti Laikinosios tvarkos aprašo 2 priede išdėstytus projekto išlaidoms taikomus reikalavimus.</w:t>
                </w:r>
              </w:p>
              <w:p w14:paraId="5B2B01C3" w14:textId="6A48D331">
                <w:pPr>
                  <w:tabs>
                    <w:tab w:val="left" w:pos="426"/>
                  </w:tabs>
                  <w:ind w:left="322" w:hanging="284"/>
                  <w:jc w:val="both"/>
                  <w:rPr>
                    <w:color w:val="000000"/>
                    <w:szCs w:val="24"/>
                  </w:rPr>
                </w:pPr>
                <w:r>
                  <w:rPr>
                    <w:color w:val="000000"/>
                    <w:szCs w:val="24"/>
                  </w:rPr>
                  <w:t>2.</w:t>
                  <w:tab/>
                  <w:t>Pagal Aprašą netinkamos finansuoti projekto lėšos:</w:t>
                </w:r>
              </w:p>
              <w:p w14:paraId="1BEF7E11" w14:textId="052100DA">
                <w:pPr>
                  <w:ind w:left="720" w:hanging="406"/>
                  <w:jc w:val="both"/>
                  <w:rPr>
                    <w:color w:val="000000"/>
                    <w:szCs w:val="24"/>
                  </w:rPr>
                </w:pPr>
                <w:r>
                  <w:rPr>
                    <w:color w:val="000000"/>
                    <w:szCs w:val="24"/>
                  </w:rPr>
                  <w:t>2.1.</w:t>
                  <w:tab/>
                  <w:t>žemės arba kito nekilnojamojo turto pirkimo / nuomos išlaidos;</w:t>
                </w:r>
              </w:p>
              <w:p w14:paraId="509C6BD9" w14:textId="200BF0C9">
                <w:pPr>
                  <w:ind w:left="720" w:hanging="406"/>
                  <w:jc w:val="both"/>
                  <w:rPr>
                    <w:color w:val="000000"/>
                    <w:szCs w:val="24"/>
                  </w:rPr>
                </w:pPr>
                <w:r>
                  <w:rPr>
                    <w:color w:val="000000"/>
                    <w:szCs w:val="24"/>
                  </w:rPr>
                  <w:t>2.2.</w:t>
                  <w:tab/>
                </w:r>
                <w:r>
                  <w:rPr>
                    <w:color w:val="000000"/>
                    <w:szCs w:val="24"/>
                    <w:shd w:val="clear" w:color="auto" w:fill="FFFFFF"/>
                  </w:rPr>
                  <w:t>statybos, rekonstravimo, remonto ir kitų darbų išlaidos;</w:t>
                </w:r>
              </w:p>
              <w:p w14:paraId="4DC41F0D" w14:textId="3F00E2DC">
                <w:pPr>
                  <w:ind w:left="720" w:hanging="406"/>
                  <w:jc w:val="both"/>
                  <w:rPr>
                    <w:color w:val="000000"/>
                    <w:szCs w:val="24"/>
                  </w:rPr>
                </w:pPr>
                <w:r>
                  <w:rPr>
                    <w:color w:val="000000"/>
                    <w:szCs w:val="24"/>
                  </w:rPr>
                  <w:t>2.3.</w:t>
                  <w:tab/>
                  <w:t>transporto priemonių pirkimo, lizingo (finansinės nuomos), eksploatavimo ir susijusios išlaidos;</w:t>
                </w:r>
              </w:p>
              <w:p w14:paraId="66A9691F" w14:textId="4D909715">
                <w:pPr>
                  <w:ind w:left="720" w:hanging="406"/>
                  <w:jc w:val="both"/>
                  <w:rPr>
                    <w:color w:val="000000"/>
                    <w:szCs w:val="24"/>
                  </w:rPr>
                </w:pPr>
                <w:r>
                  <w:rPr>
                    <w:color w:val="000000"/>
                    <w:szCs w:val="24"/>
                  </w:rPr>
                  <w:t>2.4.</w:t>
                  <w:tab/>
                  <w:t>įrangos, infrastruktūros ir programinės įrangos įsigijimas konsolidavimo ir optimizavimo procese dalyvaujančioms institucijoms (Nutarimas Nr. 498), kuri yra arba bus teikiama Valstybės debesijos paslaugų teikimo infrastruktūroje;</w:t>
                </w:r>
              </w:p>
              <w:p w14:paraId="0A0CCEB6" w14:textId="5B25A0A4">
                <w:pPr>
                  <w:ind w:left="720" w:hanging="406"/>
                  <w:jc w:val="both"/>
                  <w:rPr>
                    <w:color w:val="000000"/>
                    <w:szCs w:val="24"/>
                  </w:rPr>
                </w:pPr>
                <w:r>
                  <w:rPr>
                    <w:color w:val="000000"/>
                    <w:szCs w:val="24"/>
                  </w:rPr>
                  <w:t>2.5.</w:t>
                  <w:tab/>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1EC080EF" w14:textId="1D80395F">
                <w:pPr>
                  <w:tabs>
                    <w:tab w:val="left" w:pos="426"/>
                    <w:tab w:val="left" w:pos="709"/>
                  </w:tabs>
                  <w:ind w:hanging="720"/>
                  <w:jc w:val="both"/>
                  <w:rPr>
                    <w:color w:val="000000"/>
                    <w:szCs w:val="24"/>
                  </w:rPr>
                </w:pPr>
                <w:r>
                  <w:rPr>
                    <w:color w:val="000000"/>
                    <w:szCs w:val="24"/>
                  </w:rPr>
                  <w:t>3.</w:t>
                  <w:tab/>
                  <w:t>3. Kryžminis finansavimas netaikomas.</w:t>
                </w:r>
              </w:p>
              <w:p w14:paraId="05305490" w14:textId="2DE3F6CF">
                <w:pPr>
                  <w:tabs>
                    <w:tab w:val="left" w:pos="426"/>
                    <w:tab w:val="left" w:pos="709"/>
                  </w:tabs>
                  <w:ind w:hanging="720"/>
                  <w:jc w:val="both"/>
                  <w:rPr>
                    <w:color w:val="000000"/>
                    <w:sz w:val="22"/>
                    <w:szCs w:val="22"/>
                  </w:rPr>
                </w:pPr>
                <w:r>
                  <w:rPr>
                    <w:color w:val="000000"/>
                    <w:sz w:val="22"/>
                    <w:szCs w:val="22"/>
                  </w:rPr>
                  <w:t>4.</w:t>
                  <w:tab/>
                </w:r>
                <w:r>
                  <w:rPr>
                    <w:color w:val="000000"/>
                    <w:szCs w:val="24"/>
                  </w:rPr>
                  <w:t>4. Didžiausia galima projekto finansuojamoji dalis sudaro 100 proc. visų tinkamų finansuoti projekto išlaidų.</w:t>
                </w:r>
                <w:r>
                  <w:rPr>
                    <w:color w:val="000000"/>
                  </w:rPr>
                  <w:t> </w:t>
                </w:r>
              </w:p>
            </w:tc>
          </w:tr>
          <w:tr w14:paraId="3BBD00D3" w14:textId="77777777">
            <w:trPr>
              <w:trHeight w:val="349"/>
            </w:trPr>
            <w:tc>
              <w:tcPr>
                <w:tcW w:w="14317" w:type="dxa"/>
              </w:tcPr>
              <w:p w14:paraId="776A1538" w14:textId="77777777">
                <w:pPr>
                  <w:jc w:val="both"/>
                  <w:rPr>
                    <w:szCs w:val="24"/>
                  </w:rPr>
                </w:pPr>
                <w:r>
                  <w:rPr>
                    <w:b/>
                    <w:szCs w:val="24"/>
                  </w:rPr>
                  <w:t>10. Projektų veiklų ir jungtinio projekto projektų įgyvendinimui taikomi supaprastintai apmokamų išlaidų dydžiai</w:t>
                </w:r>
              </w:p>
            </w:tc>
          </w:tr>
          <w:tr w14:paraId="51E19B11"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7036DE41" w14:textId="77777777">
                  <w:tc>
                    <w:tcPr>
                      <w:tcW w:w="14449" w:type="dxa"/>
                      <w:gridSpan w:val="5"/>
                      <w:tcBorders>
                        <w:top w:val="single" w:sz="8" w:space="0" w:color="auto"/>
                        <w:left w:val="single" w:sz="8" w:space="0" w:color="auto"/>
                        <w:bottom w:val="single" w:sz="8" w:space="0" w:color="auto"/>
                        <w:right w:val="single" w:sz="8" w:space="0" w:color="auto"/>
                      </w:tcBorders>
                      <w:shd w:val="clear" w:color="auto" w:fill="auto"/>
                    </w:tcPr>
                    <w:p w14:paraId="4881BDEF" w14:textId="1E8D634A">
                      <w:pPr>
                        <w:ind w:firstLine="57"/>
                        <w:jc w:val="both"/>
                        <w:rPr>
                          <w:b/>
                          <w:bCs/>
                          <w:sz w:val="22"/>
                          <w:szCs w:val="22"/>
                        </w:rPr>
                      </w:pPr>
                      <w:r>
                        <w:rPr>
                          <w:rFonts w:eastAsia="Calibri"/>
                        </w:rPr>
                        <w:fldChar w:fldCharType="begin" w:fldLock="1">
                          <w:ffData>
                            <w:name w:val="Tikrinti2"/>
                            <w:enabled/>
                            <w:calcOnExit w:val="0"/>
                            <w:checkBox>
                              <w:sizeAuto/>
                              <w:default w:val="1"/>
                            </w:checkBox>
                          </w:ffData>
                        </w:fldChar>
                      </w:r>
                      <w:r>
                        <w:rPr>
                          <w:rFonts w:eastAsia="Calibri"/>
                        </w:rPr>
                        <w:instrText xml:space="preserve">FORMCHECKBOX </w:instrText>
                      </w:r>
                      <w:r>
                        <w:rPr>
                          <w:rFonts w:eastAsia="Calibri"/>
                        </w:rPr>
                        <w:fldChar w:fldCharType="separate"/>
                      </w:r>
                      <w:r>
                        <w:rPr>
                          <w:rFonts w:eastAsia="Calibri"/>
                        </w:rPr>
                        <w:fldChar w:fldCharType="end"/>
                      </w:r>
                      <w:r>
                        <w:rPr>
                          <w:b/>
                          <w:bCs/>
                          <w:sz w:val="22"/>
                          <w:szCs w:val="22"/>
                        </w:rPr>
                        <w:t>Indeksuojama</w:t>
                      </w:r>
                    </w:p>
                    <w:p w14:paraId="34605F5A" w14:textId="3126C901">
                      <w:pPr>
                        <w:ind w:firstLine="57"/>
                        <w:jc w:val="both"/>
                        <w:rPr>
                          <w:b/>
                          <w:bCs/>
                          <w:sz w:val="22"/>
                          <w:szCs w:val="22"/>
                        </w:rPr>
                      </w:pPr>
                      <w:r>
                        <w:rPr>
                          <w:rFonts w:eastAsia="Calibri"/>
                        </w:rPr>
                        <w:fldChar w:fldCharType="begin" w:fldLock="1">
                          <w:ffData>
                            <w:name w:val=""/>
                            <w:enabled/>
                            <w:calcOnExit w:val="0"/>
                            <w:checkBox>
                              <w:sizeAuto/>
                              <w:default w:val="0"/>
                            </w:checkBox>
                          </w:ffData>
                        </w:fldChar>
                      </w:r>
                      <w:r>
                        <w:rPr>
                          <w:rFonts w:eastAsia="Calibri"/>
                        </w:rPr>
                        <w:instrText xml:space="preserve"> FORMCHECKBOX </w:instrText>
                      </w:r>
                      <w:r>
                        <w:rPr>
                          <w:rFonts w:eastAsia="Calibri"/>
                        </w:rPr>
                        <w:fldChar w:fldCharType="separate"/>
                      </w:r>
                      <w:r>
                        <w:rPr>
                          <w:rFonts w:eastAsia="Calibri"/>
                        </w:rPr>
                        <w:fldChar w:fldCharType="end"/>
                      </w:r>
                      <w:r>
                        <w:rPr>
                          <w:b/>
                          <w:bCs/>
                          <w:sz w:val="22"/>
                          <w:szCs w:val="22"/>
                        </w:rPr>
                        <w:t>Neindeksuojama</w:t>
                      </w:r>
                    </w:p>
                  </w:tc>
                </w:tr>
                <w:tr w14:paraId="32D6B7BA" w14:textId="77777777">
                  <w:tc>
                    <w:tcPr>
                      <w:tcW w:w="2889" w:type="dxa"/>
                      <w:tcBorders>
                        <w:top w:val="single" w:sz="8" w:space="0" w:color="auto"/>
                        <w:left w:val="single" w:sz="8" w:space="0" w:color="auto"/>
                        <w:bottom w:val="single" w:sz="8" w:space="0" w:color="auto"/>
                        <w:right w:val="single" w:sz="8" w:space="0" w:color="auto"/>
                      </w:tcBorders>
                      <w:vAlign w:val="center"/>
                    </w:tcPr>
                    <w:p w14:paraId="03F9464C" w14:textId="77777777">
                      <w:pPr>
                        <w:jc w:val="center"/>
                        <w:rPr>
                          <w:b/>
                          <w:bCs/>
                          <w:color w:val="0070C0"/>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0A8DA1"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68E81FEB" w14:textId="77777777">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C1D70AF"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078BC26" w14:textId="77777777">
                      <w:pPr>
                        <w:jc w:val="center"/>
                        <w:rPr>
                          <w:b/>
                          <w:bCs/>
                          <w:sz w:val="22"/>
                          <w:szCs w:val="22"/>
                        </w:rPr>
                      </w:pPr>
                      <w:r>
                        <w:rPr>
                          <w:b/>
                          <w:bCs/>
                          <w:sz w:val="22"/>
                          <w:szCs w:val="22"/>
                        </w:rPr>
                        <w:t>Papildoma informacija</w:t>
                      </w:r>
                    </w:p>
                  </w:tc>
                </w:tr>
                <w:tr w14:paraId="5C9DD21F" w14:textId="77777777">
                  <w:tc>
                    <w:tcPr>
                      <w:tcW w:w="2889" w:type="dxa"/>
                      <w:tcBorders>
                        <w:top w:val="single" w:sz="8" w:space="0" w:color="auto"/>
                        <w:left w:val="single" w:sz="8" w:space="0" w:color="auto"/>
                        <w:bottom w:val="single" w:sz="8" w:space="0" w:color="auto"/>
                        <w:right w:val="single" w:sz="8" w:space="0" w:color="auto"/>
                      </w:tcBorders>
                    </w:tcPr>
                    <w:p w14:paraId="07869913" w14:textId="0613AC43">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51AB10BE" w14:textId="04C784D8">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2AAE349F" w14:textId="691542C7">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8258B4E" w14:textId="71716974">
                      <w:pPr>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35E1D7B" w14:textId="736B0059">
                      <w:pPr>
                        <w:jc w:val="center"/>
                        <w:rPr>
                          <w:color w:val="0070C0"/>
                          <w:sz w:val="20"/>
                        </w:rPr>
                      </w:pPr>
                      <w:r>
                        <w:rPr>
                          <w:sz w:val="20"/>
                        </w:rPr>
                        <w:t>-</w:t>
                      </w:r>
                    </w:p>
                  </w:tc>
                </w:tr>
                <w:tr w14:paraId="28B2D0E4" w14:textId="77777777">
                  <w:tc>
                    <w:tcPr>
                      <w:tcW w:w="2889" w:type="dxa"/>
                      <w:tcBorders>
                        <w:top w:val="single" w:sz="8" w:space="0" w:color="auto"/>
                        <w:left w:val="single" w:sz="8" w:space="0" w:color="auto"/>
                        <w:bottom w:val="single" w:sz="8" w:space="0" w:color="auto"/>
                        <w:right w:val="single" w:sz="8" w:space="0" w:color="auto"/>
                      </w:tcBorders>
                    </w:tcPr>
                    <w:p w14:paraId="298F3280" w14:textId="318D3E31">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91114B"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59515E4F" w14:textId="77777777">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9BE47A"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98E5BF" w14:textId="77777777">
                      <w:pPr>
                        <w:jc w:val="center"/>
                        <w:rPr>
                          <w:sz w:val="20"/>
                        </w:rPr>
                      </w:pPr>
                    </w:p>
                  </w:tc>
                </w:tr>
                <w:tr w14:paraId="4D70B4E7" w14:textId="77777777">
                  <w:tc>
                    <w:tcPr>
                      <w:tcW w:w="2889" w:type="dxa"/>
                      <w:tcBorders>
                        <w:top w:val="single" w:sz="8" w:space="0" w:color="auto"/>
                        <w:left w:val="single" w:sz="8" w:space="0" w:color="auto"/>
                        <w:bottom w:val="single" w:sz="8" w:space="0" w:color="auto"/>
                        <w:right w:val="single" w:sz="8" w:space="0" w:color="auto"/>
                      </w:tcBorders>
                    </w:tcPr>
                    <w:p w14:paraId="6CE2FC94" w14:textId="37F9EAE7">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B00B027" w14:textId="5637A7B6">
                      <w:pPr>
                        <w:tabs>
                          <w:tab w:val="left" w:pos="426"/>
                          <w:tab w:val="left" w:pos="709"/>
                        </w:tabs>
                        <w:ind w:left="720" w:hanging="720"/>
                        <w:jc w:val="center"/>
                        <w:rPr>
                          <w:szCs w:val="24"/>
                        </w:rPr>
                      </w:pPr>
                      <w:r>
                        <w:rPr>
                          <w:color w:val="000000"/>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4472A1B5" w14:textId="09B57AF6">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CB278EA" w14:textId="55338445">
                      <w:pPr>
                        <w:jc w:val="center"/>
                        <w:rPr>
                          <w:szCs w:val="24"/>
                        </w:rPr>
                      </w:pPr>
                      <w:r>
                        <w:rPr>
                          <w:color w:val="000000"/>
                          <w:szCs w:val="24"/>
                          <w:lang w:eastAsia="lt-LT"/>
                        </w:rPr>
                        <w:t>Įgyvendintų privalomų matomumo ir informavimo priemonių apie ES fondų investicijų veiklas fiksuotoji suma, antrojo rinkinio fiksuotoji suma su PVM</w:t>
                      </w:r>
                    </w:p>
                  </w:tc>
                  <w:tc>
                    <w:tcPr>
                      <w:tcW w:w="2890" w:type="dxa"/>
                      <w:tcBorders>
                        <w:top w:val="single" w:sz="8" w:space="0" w:color="auto"/>
                        <w:left w:val="single" w:sz="8" w:space="0" w:color="auto"/>
                        <w:bottom w:val="single" w:sz="8" w:space="0" w:color="auto"/>
                        <w:right w:val="single" w:sz="8" w:space="0" w:color="auto"/>
                      </w:tcBorders>
                    </w:tcPr>
                    <w:p w14:paraId="65D592E1" w14:textId="2AE0579A">
                      <w:pPr>
                        <w:jc w:val="center"/>
                        <w:rPr>
                          <w:szCs w:val="24"/>
                        </w:rPr>
                      </w:pPr>
                      <w:r>
                        <w:rPr>
                          <w:szCs w:val="24"/>
                        </w:rPr>
                        <w:t>-</w:t>
                      </w:r>
                    </w:p>
                  </w:tc>
                </w:tr>
                <w:tr w14:paraId="08006DF1" w14:textId="77777777">
                  <w:tc>
                    <w:tcPr>
                      <w:tcW w:w="2889" w:type="dxa"/>
                      <w:tcBorders>
                        <w:top w:val="single" w:sz="8" w:space="0" w:color="auto"/>
                        <w:left w:val="single" w:sz="8" w:space="0" w:color="auto"/>
                        <w:bottom w:val="single" w:sz="8" w:space="0" w:color="auto"/>
                        <w:right w:val="single" w:sz="8" w:space="0" w:color="auto"/>
                      </w:tcBorders>
                    </w:tcPr>
                    <w:p w14:paraId="08C2AC21" w14:textId="123AD715">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2F5221EA" w14:textId="1AB8AC2C">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7CEBE31F" w14:textId="7659FE71">
                      <w:pPr>
                        <w:tabs>
                          <w:tab w:val="left" w:pos="426"/>
                          <w:tab w:val="left" w:pos="709"/>
                        </w:tabs>
                        <w:ind w:left="720" w:hanging="720"/>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07529A8" w14:textId="334AA45B">
                      <w:pPr>
                        <w:jc w:val="center"/>
                        <w:rPr>
                          <w:szCs w:val="24"/>
                          <w:lang w:eastAsia="lt-LT"/>
                        </w:rPr>
                      </w:pPr>
                      <w:r>
                        <w:rPr>
                          <w:szCs w:val="24"/>
                          <w:shd w:val="clear" w:color="auto" w:fill="FFFFFF"/>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9CBBC38" w14:textId="1FEB7785">
                      <w:pPr>
                        <w:jc w:val="center"/>
                        <w:rPr>
                          <w:szCs w:val="24"/>
                        </w:rPr>
                      </w:pPr>
                      <w:r>
                        <w:rPr>
                          <w:szCs w:val="24"/>
                        </w:rPr>
                        <w:t>-</w:t>
                      </w:r>
                    </w:p>
                  </w:tc>
                </w:tr>
                <w:tr w14:paraId="638B33F7" w14:textId="77777777">
                  <w:tc>
                    <w:tcPr>
                      <w:tcW w:w="2889" w:type="dxa"/>
                      <w:tcBorders>
                        <w:top w:val="single" w:sz="8" w:space="0" w:color="auto"/>
                        <w:left w:val="single" w:sz="8" w:space="0" w:color="auto"/>
                        <w:bottom w:val="single" w:sz="8" w:space="0" w:color="auto"/>
                        <w:right w:val="single" w:sz="8" w:space="0" w:color="auto"/>
                      </w:tcBorders>
                    </w:tcPr>
                    <w:p w14:paraId="44BEF024" w14:textId="75832FA1">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6C0F6061" w14:textId="62DC3BB2">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24F15822" w14:textId="44C739FC">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9CEE398" w14:textId="190D6D76">
                      <w:pPr>
                        <w:jc w:val="center"/>
                        <w:rPr>
                          <w:szCs w:val="24"/>
                          <w:lang w:eastAsia="lt-LT"/>
                        </w:rPr>
                      </w:pPr>
                      <w:r>
                        <w:rPr>
                          <w:szCs w:val="24"/>
                          <w:shd w:val="clear" w:color="auto" w:fill="FFFFFF"/>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0FE36DA" w14:textId="4B8EB1A6">
                      <w:pPr>
                        <w:jc w:val="center"/>
                        <w:rPr>
                          <w:szCs w:val="24"/>
                        </w:rPr>
                      </w:pPr>
                      <w:r>
                        <w:rPr>
                          <w:szCs w:val="24"/>
                        </w:rPr>
                        <w:t>-</w:t>
                      </w:r>
                    </w:p>
                  </w:tc>
                </w:tr>
                <w:tr w14:paraId="561E59C0" w14:textId="77777777">
                  <w:tc>
                    <w:tcPr>
                      <w:tcW w:w="2889" w:type="dxa"/>
                      <w:tcBorders>
                        <w:top w:val="single" w:sz="8" w:space="0" w:color="auto"/>
                        <w:left w:val="single" w:sz="8" w:space="0" w:color="auto"/>
                        <w:bottom w:val="single" w:sz="8" w:space="0" w:color="auto"/>
                        <w:right w:val="single" w:sz="8" w:space="0" w:color="auto"/>
                      </w:tcBorders>
                    </w:tcPr>
                    <w:p w14:paraId="2A3A543E" w14:textId="2A085430">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ABE9D6D" w14:textId="7BD8EF85">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1DAA1C57" w14:textId="1C926E89">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20E02DC" w14:textId="17064FD8">
                      <w:pPr>
                        <w:jc w:val="center"/>
                        <w:rPr>
                          <w:szCs w:val="24"/>
                          <w:lang w:eastAsia="lt-LT"/>
                        </w:rPr>
                      </w:pPr>
                      <w:r>
                        <w:rPr>
                          <w:szCs w:val="24"/>
                          <w:shd w:val="clear" w:color="auto" w:fill="FFFFFF"/>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E906FD1" w14:textId="67806995">
                      <w:pPr>
                        <w:jc w:val="center"/>
                        <w:rPr>
                          <w:szCs w:val="24"/>
                        </w:rPr>
                      </w:pPr>
                      <w:r>
                        <w:rPr>
                          <w:szCs w:val="24"/>
                        </w:rPr>
                        <w:t>-</w:t>
                      </w:r>
                    </w:p>
                  </w:tc>
                </w:tr>
                <w:tr w14:paraId="6595DD15" w14:textId="77777777">
                  <w:tc>
                    <w:tcPr>
                      <w:tcW w:w="2889" w:type="dxa"/>
                      <w:tcBorders>
                        <w:top w:val="single" w:sz="8" w:space="0" w:color="auto"/>
                        <w:left w:val="single" w:sz="8" w:space="0" w:color="auto"/>
                        <w:bottom w:val="single" w:sz="8" w:space="0" w:color="auto"/>
                        <w:right w:val="single" w:sz="8" w:space="0" w:color="auto"/>
                      </w:tcBorders>
                    </w:tcPr>
                    <w:p w14:paraId="6565F6C3" w14:textId="38A740FB">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B872C8" w14:textId="7B82990C">
                      <w:pPr>
                        <w:tabs>
                          <w:tab w:val="left" w:pos="426"/>
                          <w:tab w:val="left" w:pos="709"/>
                        </w:tabs>
                        <w:ind w:left="720" w:hanging="720"/>
                        <w:jc w:val="center"/>
                        <w:rPr>
                          <w:szCs w:val="24"/>
                          <w:lang w:eastAsia="lt-LT"/>
                        </w:rPr>
                      </w:pPr>
                      <w:r>
                        <w:rPr>
                          <w:szCs w:val="24"/>
                          <w:shd w:val="clear" w:color="auto" w:fill="FFFFFF"/>
                        </w:rPr>
                        <w:t>FN-05-04</w:t>
                      </w:r>
                    </w:p>
                  </w:tc>
                  <w:tc>
                    <w:tcPr>
                      <w:tcW w:w="2890" w:type="dxa"/>
                      <w:tcBorders>
                        <w:top w:val="single" w:sz="8" w:space="0" w:color="auto"/>
                        <w:left w:val="single" w:sz="8" w:space="0" w:color="auto"/>
                        <w:bottom w:val="single" w:sz="8" w:space="0" w:color="auto"/>
                        <w:right w:val="single" w:sz="8" w:space="0" w:color="auto"/>
                      </w:tcBorders>
                    </w:tcPr>
                    <w:p w14:paraId="26181143" w14:textId="0374B467">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45B106F" w14:textId="2AB8FB57">
                      <w:pPr>
                        <w:jc w:val="center"/>
                        <w:rPr>
                          <w:szCs w:val="24"/>
                          <w:lang w:eastAsia="lt-LT"/>
                        </w:rPr>
                      </w:pPr>
                      <w:r>
                        <w:rPr>
                          <w:szCs w:val="24"/>
                          <w:shd w:val="clear" w:color="auto" w:fill="FFFFFF"/>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49224AD" w14:textId="34FAFA64">
                      <w:pPr>
                        <w:jc w:val="center"/>
                        <w:rPr>
                          <w:szCs w:val="24"/>
                        </w:rPr>
                      </w:pPr>
                      <w:r>
                        <w:rPr>
                          <w:szCs w:val="24"/>
                        </w:rPr>
                        <w:t>-</w:t>
                      </w:r>
                    </w:p>
                  </w:tc>
                </w:tr>
                <w:tr w14:paraId="333A739E" w14:textId="77777777">
                  <w:tc>
                    <w:tcPr>
                      <w:tcW w:w="2889" w:type="dxa"/>
                      <w:tcBorders>
                        <w:top w:val="single" w:sz="8" w:space="0" w:color="auto"/>
                        <w:left w:val="single" w:sz="8" w:space="0" w:color="auto"/>
                        <w:bottom w:val="single" w:sz="8" w:space="0" w:color="auto"/>
                        <w:right w:val="single" w:sz="8" w:space="0" w:color="auto"/>
                      </w:tcBorders>
                    </w:tcPr>
                    <w:p w14:paraId="12DDFD75" w14:textId="2F399761">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69513BAF" w14:textId="3182BC0F">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6C6B92AC" w14:textId="4F713469">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E6B21D" w14:textId="5BA60A59">
                      <w:pPr>
                        <w:jc w:val="center"/>
                        <w:rPr>
                          <w:szCs w:val="24"/>
                          <w:lang w:eastAsia="lt-LT"/>
                        </w:rPr>
                      </w:pPr>
                      <w:r>
                        <w:rPr>
                          <w:szCs w:val="24"/>
                          <w:shd w:val="clear" w:color="auto" w:fill="FFFFFF"/>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E4BF673" w14:textId="37895ED3">
                      <w:pPr>
                        <w:jc w:val="center"/>
                        <w:rPr>
                          <w:szCs w:val="24"/>
                        </w:rPr>
                      </w:pPr>
                      <w:r>
                        <w:rPr>
                          <w:szCs w:val="24"/>
                        </w:rPr>
                        <w:t>-</w:t>
                      </w:r>
                    </w:p>
                  </w:tc>
                </w:tr>
                <w:tr w14:paraId="238EB2AD" w14:textId="77777777">
                  <w:tc>
                    <w:tcPr>
                      <w:tcW w:w="2889" w:type="dxa"/>
                      <w:tcBorders>
                        <w:top w:val="single" w:sz="8" w:space="0" w:color="auto"/>
                        <w:left w:val="single" w:sz="8" w:space="0" w:color="auto"/>
                        <w:bottom w:val="single" w:sz="8" w:space="0" w:color="auto"/>
                        <w:right w:val="single" w:sz="8" w:space="0" w:color="auto"/>
                      </w:tcBorders>
                    </w:tcPr>
                    <w:p w14:paraId="64724612" w14:textId="44F4879F">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0EF6F9EF" w14:textId="57DC3EB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33DEEDB0" w14:textId="7403B2AE">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0A5144B2" w14:textId="3947802C">
                      <w:pPr>
                        <w:jc w:val="center"/>
                        <w:rPr>
                          <w:szCs w:val="24"/>
                          <w:lang w:eastAsia="lt-LT"/>
                        </w:rPr>
                      </w:pPr>
                      <w:r>
                        <w:rPr>
                          <w:szCs w:val="24"/>
                          <w:shd w:val="clear" w:color="auto" w:fill="FFFFFF"/>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6AC50647" w14:textId="3C234DEA">
                      <w:pPr>
                        <w:jc w:val="center"/>
                        <w:rPr>
                          <w:szCs w:val="24"/>
                        </w:rPr>
                      </w:pPr>
                      <w:r>
                        <w:rPr>
                          <w:szCs w:val="24"/>
                        </w:rPr>
                        <w:t>-</w:t>
                      </w:r>
                    </w:p>
                  </w:tc>
                </w:tr>
                <w:tr w14:paraId="4D643C91" w14:textId="77777777">
                  <w:tc>
                    <w:tcPr>
                      <w:tcW w:w="2889" w:type="dxa"/>
                      <w:tcBorders>
                        <w:top w:val="single" w:sz="8" w:space="0" w:color="auto"/>
                        <w:left w:val="single" w:sz="8" w:space="0" w:color="auto"/>
                        <w:bottom w:val="single" w:sz="8" w:space="0" w:color="auto"/>
                        <w:right w:val="single" w:sz="8" w:space="0" w:color="auto"/>
                      </w:tcBorders>
                    </w:tcPr>
                    <w:p w14:paraId="34696B71" w14:textId="4CEAA7D5">
                      <w:pPr>
                        <w:jc w:val="center"/>
                        <w:rPr>
                          <w:bCs/>
                          <w:szCs w:val="24"/>
                          <w:lang w:eastAsia="lt-LT"/>
                        </w:rPr>
                      </w:pPr>
                      <w:r>
                        <w:rPr>
                          <w:szCs w:val="24"/>
                          <w:shd w:val="clear" w:color="auto" w:fill="FFFFFF"/>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B4BAAA9" w14:textId="72B36028">
                      <w:pPr>
                        <w:tabs>
                          <w:tab w:val="left" w:pos="426"/>
                          <w:tab w:val="left" w:pos="709"/>
                        </w:tabs>
                        <w:ind w:left="720" w:hanging="720"/>
                        <w:jc w:val="center"/>
                        <w:rPr>
                          <w:szCs w:val="24"/>
                          <w:lang w:eastAsia="lt-LT"/>
                        </w:rPr>
                      </w:pPr>
                      <w:r>
                        <w:rPr>
                          <w:szCs w:val="24"/>
                          <w:shd w:val="clear" w:color="auto" w:fill="FFFFFF"/>
                        </w:rPr>
                        <w:t>FN-05-07</w:t>
                      </w:r>
                    </w:p>
                  </w:tc>
                  <w:tc>
                    <w:tcPr>
                      <w:tcW w:w="2890" w:type="dxa"/>
                      <w:tcBorders>
                        <w:top w:val="single" w:sz="8" w:space="0" w:color="auto"/>
                        <w:left w:val="single" w:sz="8" w:space="0" w:color="auto"/>
                        <w:bottom w:val="single" w:sz="8" w:space="0" w:color="auto"/>
                        <w:right w:val="single" w:sz="8" w:space="0" w:color="auto"/>
                      </w:tcBorders>
                    </w:tcPr>
                    <w:p w14:paraId="30DF02B7" w14:textId="61358280">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67800D7" w14:textId="0FDDEE70">
                      <w:pPr>
                        <w:jc w:val="center"/>
                        <w:rPr>
                          <w:szCs w:val="24"/>
                          <w:lang w:eastAsia="lt-LT"/>
                        </w:rPr>
                      </w:pPr>
                      <w:r>
                        <w:rPr>
                          <w:szCs w:val="24"/>
                          <w:shd w:val="clear" w:color="auto" w:fill="FFFFFF"/>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4C53A8D" w14:textId="5A251A6C">
                      <w:pPr>
                        <w:jc w:val="center"/>
                        <w:rPr>
                          <w:szCs w:val="24"/>
                        </w:rPr>
                      </w:pPr>
                      <w:r>
                        <w:rPr>
                          <w:szCs w:val="24"/>
                        </w:rPr>
                        <w:t>-</w:t>
                      </w:r>
                    </w:p>
                  </w:tc>
                </w:tr>
              </w:tbl>
              <w:p w14:paraId="7085A396" w14:textId="4513A969">
                <w:pPr>
                  <w:jc w:val="both"/>
                  <w:rPr>
                    <w:sz w:val="22"/>
                    <w:szCs w:val="22"/>
                  </w:rPr>
                </w:pPr>
              </w:p>
            </w:tc>
          </w:tr>
        </w:tbl>
        <w:p w14:paraId="5706B277" w14:textId="77777777">
          <w:pPr>
            <w:spacing w:line="276" w:lineRule="auto"/>
            <w:jc w:val="center"/>
            <w:rPr>
              <w:rFonts w:ascii="Calibri" w:eastAsia="Calibri" w:hAnsi="Calibri"/>
              <w:sz w:val="22"/>
              <w:szCs w:val="22"/>
            </w:rPr>
          </w:pPr>
        </w:p>
        <w:sdt>
          <w:sdtPr>
            <w:alias w:val="pabaiga"/>
            <w:tag w:val="part_9fd269e79bf840b8b5b0ec8b21e30486"/>
            <w:lock w:val="sdtLocked"/>
            <w:richText/>
          </w:sdtPr>
          <w:sdtContent>
            <w:p w14:paraId="1A5E90BC" w14:textId="550CCB41">
              <w:pPr>
                <w:spacing w:line="276" w:lineRule="auto"/>
                <w:jc w:val="center"/>
                <w:rPr>
                  <w:rFonts w:ascii="Calibri" w:eastAsia="Calibri" w:hAnsi="Calibri"/>
                  <w:sz w:val="22"/>
                  <w:szCs w:val="22"/>
                </w:rPr>
              </w:pPr>
              <w:r>
                <w:rPr>
                  <w:rFonts w:ascii="Calibri" w:eastAsia="Calibri" w:hAnsi="Calibri"/>
                  <w:sz w:val="22"/>
                  <w:szCs w:val="22"/>
                </w:rPr>
                <w:t>________________</w:t>
              </w:r>
            </w:p>
            <w:p w14:paraId="38E33DC9" w14:textId="77777777">
              <w:pPr>
                <w:rPr>
                  <w:sz w:val="18"/>
                  <w:szCs w:val="18"/>
                </w:rPr>
              </w:pPr>
            </w:p>
          </w:sdtContent>
        </w:sdt>
      </w:sdtContent>
    </w:sdt>
    <w:sectPr>
      <w:headerReference w:type="even" r:id="rId19"/>
      <w:headerReference w:type="default" r:id="rId20"/>
      <w:footerReference w:type="even" r:id="rId21"/>
      <w:footerReference w:type="default" r:id="rId22"/>
      <w:headerReference w:type="first" r:id="rId23"/>
      <w:footerReference w:type="first" r:id="rId24"/>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50D61" w14:textId="77777777">
      <w:pPr>
        <w:rPr>
          <w:sz w:val="22"/>
          <w:szCs w:val="22"/>
        </w:rPr>
      </w:pPr>
      <w:r>
        <w:rPr>
          <w:sz w:val="22"/>
          <w:szCs w:val="22"/>
        </w:rPr>
        <w:separator/>
      </w:r>
    </w:p>
  </w:endnote>
  <w:endnote w:type="continuationSeparator" w:id="0">
    <w:p w14:paraId="46FCC4E6" w14:textId="77777777">
      <w:pPr>
        <w:rPr>
          <w:sz w:val="22"/>
          <w:szCs w:val="22"/>
        </w:rPr>
      </w:pPr>
      <w:r>
        <w:rPr>
          <w:sz w:val="22"/>
          <w:szCs w:val="22"/>
        </w:rPr>
        <w:continuationSeparator/>
      </w:r>
    </w:p>
  </w:endnote>
  <w:endnote w:type="continuationNotice" w:id="1">
    <w:p w14:paraId="17879957"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956B"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2204E"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F5205"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E782CB" w14:textId="77777777">
      <w:pPr>
        <w:rPr>
          <w:sz w:val="22"/>
          <w:szCs w:val="22"/>
        </w:rPr>
      </w:pPr>
      <w:r>
        <w:rPr>
          <w:sz w:val="22"/>
          <w:szCs w:val="22"/>
        </w:rPr>
        <w:separator/>
      </w:r>
    </w:p>
  </w:footnote>
  <w:footnote w:type="continuationSeparator" w:id="0">
    <w:p w14:paraId="56B69EC1" w14:textId="77777777">
      <w:pPr>
        <w:rPr>
          <w:sz w:val="22"/>
          <w:szCs w:val="22"/>
        </w:rPr>
      </w:pPr>
      <w:r>
        <w:rPr>
          <w:sz w:val="22"/>
          <w:szCs w:val="22"/>
        </w:rPr>
        <w:continuationSeparator/>
      </w:r>
    </w:p>
  </w:footnote>
  <w:footnote w:type="continuationNotice" w:id="1">
    <w:p w14:paraId="79A09EE9"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099F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A79AC" w14:textId="65B83A4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14:paraId="5DAAB80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7594DD"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84A9CA"/>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534512549">
      <w:bodyDiv w:val="1"/>
      <w:marLeft w:val="0"/>
      <w:marRight w:val="0"/>
      <w:marTop w:val="0"/>
      <w:marBottom w:val="0"/>
      <w:divBdr>
        <w:top w:val="none" w:sz="0" w:space="0" w:color="auto"/>
        <w:left w:val="none" w:sz="0" w:space="0" w:color="auto"/>
        <w:bottom w:val="none" w:sz="0" w:space="0" w:color="auto"/>
        <w:right w:val="none" w:sz="0" w:space="0" w:color="auto"/>
      </w:divBdr>
    </w:div>
    <w:div w:id="75918515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3336797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t/legalAct/TAR.5E0A0662E5CB/asr"/>
  <Relationship Id="rId11" Type="http://schemas.openxmlformats.org/officeDocument/2006/relationships/hyperlink" TargetMode="External" Target="https://www.e-tar.lt/portal/lt/legalAct/TAR.5BA4DD32320E/LEoBJoqNef"/>
  <Relationship Id="rId12" Type="http://schemas.openxmlformats.org/officeDocument/2006/relationships/hyperlink" TargetMode="External" Target="https://www.e-tar.lt/portal/lt/legalAct/TAR.FCC9EA4B4DE0/asr"/>
  <Relationship Id="rId13" Type="http://schemas.openxmlformats.org/officeDocument/2006/relationships/hyperlink" TargetMode="External" Target="https://www.e-tar.lt/portal/lt/legalAct/TAR.6AC87E98DA1E/asr"/>
  <Relationship Id="rId14" Type="http://schemas.openxmlformats.org/officeDocument/2006/relationships/hyperlink" TargetMode="External" Target="https://www.e-tar.lt/portal/lt/legalAct/TAR.938091EB5DB7/JBvZsjAMfR"/>
  <Relationship Id="rId15" Type="http://schemas.openxmlformats.org/officeDocument/2006/relationships/hyperlink" TargetMode="External" Target="https://www.e-tar.lt/portal/lt/legalAct/d7c063e07ae911eab005936df725feed/asr"/>
  <Relationship Id="rId16" Type="http://schemas.openxmlformats.org/officeDocument/2006/relationships/hyperlink" TargetMode="External" Target="https://www.e-tar.lt/portal/lt/legalAct/TAR.0A55C930D0BF/pguZxuxiJx"/>
  <Relationship Id="rId17" Type="http://schemas.openxmlformats.org/officeDocument/2006/relationships/hyperlink" TargetMode="External" Target="https://www.e-tar.lt/portal/lt/legalAct/36419490363b11eb8d9fe110e148c770/asr"/>
  <Relationship Id="rId18" Type="http://schemas.openxmlformats.org/officeDocument/2006/relationships/hyperlink" TargetMode="External" Target="https://www.e-tar.lt/portal/lt/legalAct/9e44e1d02e5e11eb932eb1ed7f923910/asr"/>
  <Relationship Id="rId19" Type="http://schemas.openxmlformats.org/officeDocument/2006/relationships/header" Target="header1.xml"/>
  <Relationship Id="rId2" Type="http://schemas.openxmlformats.org/officeDocument/2006/relationships/customXml" Target="../customXml/item2.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fontTable" Target="fontTable.xml"/>
  <Relationship Id="rId26" Type="http://schemas.openxmlformats.org/officeDocument/2006/relationships/theme" Target="theme/theme1.xml"/>
  <Relationship Id="rId27"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1" Abbr="1 pr." Title="2022–2030 METŲ SVEIKATOS PRIEŽIŪROS KOKYBĖS IR EFEKTYVUMO DIDINIMO PLĖTROS PROGRAMOS PAŽANGOS PRIEMONĖS NR. 11-002-02-11-01 „GERINTI SVEIKATOS PRIEŽIŪROS PASLAUGŲ KOKYBĘ IR PRIEINAMUMĄ“ PROJEKTŲ FINANSAVIMO SĄLYGŲ APRAŠAS NR. 1" DocPartId="56a2e175889d40f1b942fa0fd3120d74" PartId="a649a1a8909e4c9e90516dd854dc2cde">
    <Part Type="pabaiga" DocPartId="ba4cae94329b460e9fcbd05f71dd9a30" PartId="9fd269e79bf840b8b5b0ec8b21e30486"/>
  </Part>
</Parts>
</file>

<file path=customXml/itemProps1.xml><?xml version="1.0" encoding="utf-8"?>
<ds:datastoreItem xmlns:ds="http://schemas.openxmlformats.org/officeDocument/2006/customXml" ds:itemID="{050ECDC5-9A7D-47F7-9F12-441F3B672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3B577AA6-11A2-4530-BBA7-AA3D0B0F2D10}">
  <ds:schemaRefs>
    <ds:schemaRef ds:uri="http://schemas.openxmlformats.org/officeDocument/2006/bibliography"/>
  </ds:schemaRefs>
</ds:datastoreItem>
</file>

<file path=customXml/itemProps5.xml><?xml version="1.0" encoding="utf-8"?>
<ds:datastoreItem xmlns:ds="http://schemas.openxmlformats.org/officeDocument/2006/customXml" ds:itemID="{A6A85F95-00DF-479E-ABB1-8546633DAE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2938</Words>
  <Characters>20566</Characters>
  <Application>Microsoft Office Word</Application>
  <DocSecurity>4</DocSecurity>
  <Lines>514</Lines>
  <Paragraphs>244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BM_PFSA_Kompetenciju platforma</vt:lpstr>
      <vt:lpstr>BM_PFSA_Kompetenciju platforma</vt:lpstr>
    </vt:vector>
  </TitlesOfParts>
  <Company>HP Inc.</Company>
  <LinksUpToDate>false</LinksUpToDate>
  <CharactersWithSpaces>23260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2023-01-05T14:24:00Z</dcterms:created>
  <dc:creator>Virginija Levinskienė</dc:creator>
  <lastModifiedBy>adlibuser</lastModifiedBy>
  <dcterms:modified xsi:type="dcterms:W3CDTF">2023-01-05T14:24:00Z</dcterms:modified>
  <revision>2</revision>
  <dc:title>BM_PFSA_Kompetenciju platforma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5" name="DmsPermissionsUsers">
    <vt:lpwstr>96;#Gintaras Maželis;#90;#Laura Neliupšytė;#165;#Lina Šimkevičienė;#1089;#Rasa Mockutė;#721;#Laura Šimonytė;#166;#Margarita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false</vt:bool>
  </property>
</Properties>
</file>