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e4895189793842ed946c910a503f20bc"/>
        <w:lock w:val="sdtLocked"/>
        <w:richText/>
      </w:sdtPr>
      <w:sdtContent>
        <w:p>
          <w:pPr>
            <w:tabs>
              <w:tab w:val="center" w:pos="4819"/>
              <w:tab w:val="right" w:pos="9638"/>
            </w:tabs>
          </w:pPr>
        </w:p>
        <w:p>
          <w:pPr>
            <w:rPr>
              <w:bCs/>
              <w:szCs w:val="24"/>
            </w:rPr>
          </w:pPr>
        </w:p>
        <w:p>
          <w:pPr>
            <w:ind w:left="9639"/>
            <w:rPr>
              <w:bCs/>
              <w:szCs w:val="24"/>
            </w:rPr>
          </w:pPr>
          <w:r>
            <w:rPr>
              <w:bCs/>
              <w:szCs w:val="24"/>
            </w:rPr>
            <w:t xml:space="preserve">2022–2030 m. plėtros programos valdytojos Lietuvos Respublikos švietimo, mokslo ir sporto ministerijos mokslo plėtros programos pažangos priemonės </w:t>
          </w:r>
        </w:p>
        <w:p>
          <w:pPr>
            <w:ind w:left="9639"/>
            <w:rPr>
              <w:bCs/>
              <w:szCs w:val="24"/>
            </w:rPr>
          </w:pPr>
          <w:r>
            <w:rPr>
              <w:bCs/>
              <w:szCs w:val="24"/>
            </w:rPr>
            <w:t>Nr. 12-001-01-02-01 „Stiprinti inovacijų ekosistemas mokslo centruose“ aprašo</w:t>
          </w:r>
        </w:p>
        <w:p>
          <w:pPr>
            <w:ind w:left="9639"/>
            <w:rPr>
              <w:bCs/>
              <w:szCs w:val="24"/>
            </w:rPr>
          </w:pPr>
          <w:sdt>
            <w:sdtPr>
              <w:alias w:val="Numeris"/>
              <w:tag w:val="nr_e4895189793842ed946c910a503f20bc"/>
              <w:lock w:val="sdtLocked"/>
              <w:richText/>
            </w:sdtPr>
            <w:sdtContent>
              <w:r>
                <w:rPr>
                  <w:bCs/>
                  <w:szCs w:val="24"/>
                </w:rPr>
                <w:t>4</w:t>
              </w:r>
            </w:sdtContent>
          </w:sdt>
          <w:r>
            <w:rPr>
              <w:bCs/>
              <w:szCs w:val="24"/>
            </w:rPr>
            <w:t xml:space="preserve"> priedas</w:t>
          </w:r>
        </w:p>
        <w:p>
          <w:pPr>
            <w:jc w:val="center"/>
            <w:rPr>
              <w:iCs/>
              <w:szCs w:val="24"/>
            </w:rPr>
          </w:pPr>
        </w:p>
        <w:p>
          <w:pPr>
            <w:jc w:val="center"/>
            <w:rPr>
              <w:b/>
              <w:i/>
              <w:szCs w:val="24"/>
            </w:rPr>
          </w:pPr>
        </w:p>
        <w:p>
          <w:pPr>
            <w:jc w:val="center"/>
            <w:rPr>
              <w:b/>
              <w:szCs w:val="24"/>
            </w:rPr>
          </w:pPr>
          <w:sdt>
            <w:sdtPr>
              <w:alias w:val="Pavadinimas"/>
              <w:tag w:val="title_e4895189793842ed946c910a503f20bc"/>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4</w:t>
              </w:r>
            </w:sdtContent>
          </w:sdt>
        </w:p>
        <w:p>
          <w:pPr>
            <w:rPr>
              <w:bCs/>
              <w:i/>
              <w:szCs w:val="24"/>
            </w:rPr>
          </w:pPr>
        </w:p>
        <w:sdt>
          <w:sdtPr>
            <w:alias w:val="skyrius"/>
            <w:tag w:val="part_7641b4c8d1164ad7a36c9cc0f15f38bd"/>
            <w:lock w:val="sdtLocked"/>
            <w:richText/>
          </w:sdtPr>
          <w:sdtContent>
            <w:p>
              <w:pPr>
                <w:spacing w:line="259" w:lineRule="auto"/>
                <w:jc w:val="center"/>
                <w:rPr>
                  <w:b/>
                  <w:bCs/>
                </w:rPr>
              </w:pPr>
              <w:sdt>
                <w:sdtPr>
                  <w:alias w:val="Numeris"/>
                  <w:tag w:val="nr_7641b4c8d1164ad7a36c9cc0f15f38bd"/>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7641b4c8d1164ad7a36c9cc0f15f38bd"/>
                  <w:lock w:val="sdtLocked"/>
                  <w:richText/>
                </w:sdtPr>
                <w:sdtContent>
                  <w:r>
                    <w:rPr>
                      <w:b/>
                      <w:bCs/>
                    </w:rPr>
                    <w:t xml:space="preserve">VEIKLOS AR POVEIKLĖS, KURIOMS NUSTATOMOS PROJEKTŲ FINANSAVIMO SĄLYGOS </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276"/>
                <w:gridCol w:w="1418"/>
                <w:gridCol w:w="1275"/>
                <w:gridCol w:w="1134"/>
                <w:gridCol w:w="1418"/>
                <w:gridCol w:w="1276"/>
                <w:gridCol w:w="850"/>
                <w:gridCol w:w="992"/>
                <w:gridCol w:w="993"/>
                <w:gridCol w:w="1134"/>
                <w:gridCol w:w="992"/>
                <w:gridCol w:w="1268"/>
              </w:tblGrid>
              <w:tr>
                <w:tc>
                  <w:tcPr>
                    <w:tcW w:w="15155" w:type="dxa"/>
                    <w:gridSpan w:val="13"/>
                    <w:vAlign w:val="center"/>
                  </w:tcPr>
                  <w:p>
                    <w:pPr>
                      <w:ind w:left="1080" w:hanging="360"/>
                      <w:rPr>
                        <w:b/>
                        <w:sz w:val="22"/>
                        <w:szCs w:val="22"/>
                      </w:rPr>
                    </w:pPr>
                    <w:r>
                      <w:rPr>
                        <w:b/>
                        <w:sz w:val="22"/>
                        <w:szCs w:val="22"/>
                      </w:rPr>
                      <w:t>1.</w:t>
                      <w:tab/>
                      <w:t>Veiklos ar poveiklės, kurioms nustatomos projektų finansavimo sąlygos</w:t>
                    </w:r>
                  </w:p>
                </w:tc>
              </w:tr>
              <w:tr>
                <w:tc>
                  <w:tcPr>
                    <w:tcW w:w="1129" w:type="dxa"/>
                    <w:vAlign w:val="center"/>
                  </w:tcPr>
                  <w:p>
                    <w:pPr>
                      <w:jc w:val="center"/>
                      <w:rPr>
                        <w:b/>
                        <w:sz w:val="20"/>
                      </w:rPr>
                    </w:pPr>
                    <w:r>
                      <w:rPr>
                        <w:b/>
                        <w:sz w:val="20"/>
                      </w:rPr>
                      <w:t xml:space="preserve">Veiklos ar poveiklės </w:t>
                    </w:r>
                    <w:r>
                      <w:rPr>
                        <w:b/>
                        <w:color w:val="000000"/>
                        <w:sz w:val="20"/>
                      </w:rPr>
                      <w:t xml:space="preserve">numeris ir </w:t>
                    </w:r>
                    <w:r>
                      <w:rPr>
                        <w:b/>
                        <w:sz w:val="20"/>
                      </w:rPr>
                      <w:t>pavadini-mas</w:t>
                    </w:r>
                  </w:p>
                </w:tc>
                <w:tc>
                  <w:tcPr>
                    <w:tcW w:w="1276" w:type="dxa"/>
                    <w:vAlign w:val="center"/>
                  </w:tcPr>
                  <w:p>
                    <w:pPr>
                      <w:jc w:val="center"/>
                      <w:rPr>
                        <w:b/>
                        <w:sz w:val="20"/>
                      </w:rPr>
                    </w:pPr>
                    <w:r>
                      <w:rPr>
                        <w:b/>
                        <w:sz w:val="20"/>
                      </w:rPr>
                      <w:t>Finansa-vimo šaltinis</w:t>
                    </w:r>
                  </w:p>
                </w:tc>
                <w:tc>
                  <w:tcPr>
                    <w:tcW w:w="1418" w:type="dxa"/>
                    <w:vAlign w:val="center"/>
                  </w:tcPr>
                  <w:p>
                    <w:pPr>
                      <w:jc w:val="center"/>
                      <w:rPr>
                        <w:b/>
                        <w:sz w:val="20"/>
                      </w:rPr>
                    </w:pPr>
                    <w:r>
                      <w:rPr>
                        <w:b/>
                        <w:sz w:val="20"/>
                      </w:rPr>
                      <w:t>Prioritetas ar komponen-tas</w:t>
                    </w:r>
                  </w:p>
                </w:tc>
                <w:tc>
                  <w:tcPr>
                    <w:tcW w:w="1275" w:type="dxa"/>
                    <w:vAlign w:val="center"/>
                  </w:tcPr>
                  <w:p>
                    <w:pPr>
                      <w:jc w:val="center"/>
                      <w:rPr>
                        <w:b/>
                        <w:sz w:val="20"/>
                      </w:rPr>
                    </w:pPr>
                    <w:r>
                      <w:rPr>
                        <w:b/>
                        <w:sz w:val="20"/>
                      </w:rPr>
                      <w:t>Uždavinys ar priemonė</w:t>
                    </w:r>
                  </w:p>
                </w:tc>
                <w:tc>
                  <w:tcPr>
                    <w:tcW w:w="1134" w:type="dxa"/>
                    <w:vAlign w:val="center"/>
                  </w:tcPr>
                  <w:p>
                    <w:pPr>
                      <w:jc w:val="center"/>
                      <w:rPr>
                        <w:b/>
                        <w:sz w:val="20"/>
                      </w:rPr>
                    </w:pPr>
                    <w:r>
                      <w:rPr>
                        <w:b/>
                        <w:sz w:val="20"/>
                      </w:rPr>
                      <w:t>Veikla ar paprie-monė</w:t>
                    </w:r>
                  </w:p>
                </w:tc>
                <w:tc>
                  <w:tcPr>
                    <w:tcW w:w="1418" w:type="dxa"/>
                    <w:vAlign w:val="center"/>
                  </w:tcPr>
                  <w:p>
                    <w:pPr>
                      <w:jc w:val="center"/>
                      <w:rPr>
                        <w:b/>
                        <w:sz w:val="20"/>
                      </w:rPr>
                    </w:pPr>
                    <w:r>
                      <w:rPr>
                        <w:b/>
                        <w:sz w:val="20"/>
                      </w:rPr>
                      <w:t>Intervencinės priemonės kodas</w:t>
                    </w:r>
                  </w:p>
                </w:tc>
                <w:tc>
                  <w:tcPr>
                    <w:tcW w:w="1276" w:type="dxa"/>
                    <w:vAlign w:val="center"/>
                  </w:tcPr>
                  <w:p>
                    <w:pPr>
                      <w:jc w:val="center"/>
                      <w:rPr>
                        <w:b/>
                        <w:sz w:val="20"/>
                      </w:rPr>
                    </w:pPr>
                    <w:r>
                      <w:rPr>
                        <w:b/>
                        <w:sz w:val="20"/>
                      </w:rPr>
                      <w:t>Regionas, kuriam priskiriama veikla ar poveiklė</w:t>
                    </w:r>
                  </w:p>
                </w:tc>
                <w:tc>
                  <w:tcPr>
                    <w:tcW w:w="850" w:type="dxa"/>
                    <w:vAlign w:val="center"/>
                  </w:tcPr>
                  <w:p>
                    <w:pPr>
                      <w:jc w:val="center"/>
                      <w:rPr>
                        <w:b/>
                        <w:sz w:val="20"/>
                      </w:rPr>
                    </w:pPr>
                    <w:r>
                      <w:rPr>
                        <w:b/>
                        <w:sz w:val="20"/>
                      </w:rPr>
                      <w:t>Para-mos formos kodas</w:t>
                    </w:r>
                  </w:p>
                </w:tc>
                <w:tc>
                  <w:tcPr>
                    <w:tcW w:w="992" w:type="dxa"/>
                    <w:vAlign w:val="center"/>
                  </w:tcPr>
                  <w:p>
                    <w:pPr>
                      <w:jc w:val="center"/>
                      <w:rPr>
                        <w:b/>
                        <w:sz w:val="20"/>
                      </w:rPr>
                    </w:pPr>
                    <w:r>
                      <w:rPr>
                        <w:b/>
                        <w:sz w:val="20"/>
                      </w:rPr>
                      <w:t>Pagrin-dinės teritorinės srities kodas (-ai)</w:t>
                    </w:r>
                  </w:p>
                </w:tc>
                <w:tc>
                  <w:tcPr>
                    <w:tcW w:w="993" w:type="dxa"/>
                    <w:vAlign w:val="center"/>
                  </w:tcPr>
                  <w:p>
                    <w:pPr>
                      <w:jc w:val="center"/>
                      <w:rPr>
                        <w:b/>
                        <w:sz w:val="20"/>
                      </w:rPr>
                    </w:pPr>
                    <w:r>
                      <w:rPr>
                        <w:b/>
                        <w:sz w:val="20"/>
                      </w:rPr>
                      <w:t xml:space="preserve">Ekono-minės veiklos kodas </w:t>
                    </w:r>
                  </w:p>
                  <w:p>
                    <w:pPr>
                      <w:jc w:val="center"/>
                      <w:rPr>
                        <w:b/>
                        <w:sz w:val="20"/>
                      </w:rPr>
                    </w:pPr>
                    <w:r>
                      <w:rPr>
                        <w:b/>
                        <w:sz w:val="20"/>
                      </w:rPr>
                      <w:t>(-ai)</w:t>
                    </w:r>
                  </w:p>
                </w:tc>
                <w:tc>
                  <w:tcPr>
                    <w:tcW w:w="1134" w:type="dxa"/>
                    <w:vAlign w:val="center"/>
                  </w:tcPr>
                  <w:p>
                    <w:pPr>
                      <w:jc w:val="center"/>
                      <w:rPr>
                        <w:b/>
                        <w:sz w:val="20"/>
                      </w:rPr>
                    </w:pPr>
                    <w:r>
                      <w:rPr>
                        <w:b/>
                        <w:sz w:val="20"/>
                      </w:rPr>
                      <w:t>„Europos socialinio fondo +“ (toliau – ESF+) antrinių temų kodai</w:t>
                    </w:r>
                  </w:p>
                </w:tc>
                <w:tc>
                  <w:tcPr>
                    <w:tcW w:w="992" w:type="dxa"/>
                    <w:vAlign w:val="center"/>
                  </w:tcPr>
                  <w:p>
                    <w:pPr>
                      <w:jc w:val="center"/>
                      <w:rPr>
                        <w:b/>
                        <w:sz w:val="20"/>
                      </w:rPr>
                    </w:pPr>
                    <w:r>
                      <w:rPr>
                        <w:b/>
                        <w:sz w:val="20"/>
                      </w:rPr>
                      <w:t>Lyčių lygybės mat-mens kodas</w:t>
                    </w:r>
                  </w:p>
                </w:tc>
                <w:tc>
                  <w:tcPr>
                    <w:tcW w:w="1268" w:type="dxa"/>
                    <w:vAlign w:val="center"/>
                  </w:tcPr>
                  <w:p>
                    <w:pPr>
                      <w:jc w:val="center"/>
                      <w:rPr>
                        <w:b/>
                        <w:sz w:val="20"/>
                      </w:rPr>
                    </w:pPr>
                    <w:r>
                      <w:rPr>
                        <w:b/>
                        <w:sz w:val="20"/>
                      </w:rPr>
                      <w:t>Nepanau-dotos Ekonomi-kos gaivinimo ir atsparumo didinimo priemonės lėšos</w:t>
                    </w:r>
                  </w:p>
                  <w:p>
                    <w:pPr>
                      <w:jc w:val="center"/>
                      <w:rPr>
                        <w:b/>
                        <w:sz w:val="20"/>
                      </w:rPr>
                    </w:pPr>
                    <w:r>
                      <w:rPr>
                        <w:b/>
                        <w:sz w:val="20"/>
                      </w:rPr>
                      <w:t>(Taip / Ne)</w:t>
                    </w:r>
                  </w:p>
                </w:tc>
              </w:tr>
              <w:tr>
                <w:trPr>
                  <w:trHeight w:val="278"/>
                </w:trPr>
                <w:tc>
                  <w:tcPr>
                    <w:tcW w:w="1129" w:type="dxa"/>
                    <w:tcMar>
                      <w:left w:w="28" w:type="dxa"/>
                      <w:right w:w="28" w:type="dxa"/>
                    </w:tcMar>
                  </w:tcPr>
                  <w:p>
                    <w:pPr>
                      <w:ind w:firstLine="48"/>
                      <w:jc w:val="center"/>
                      <w:rPr>
                        <w:iCs/>
                        <w:sz w:val="18"/>
                        <w:szCs w:val="18"/>
                      </w:rPr>
                    </w:pPr>
                    <w:r>
                      <w:rPr>
                        <w:color w:val="000000"/>
                        <w:sz w:val="22"/>
                        <w:szCs w:val="22"/>
                      </w:rPr>
                      <w:t xml:space="preserve">2.2. </w:t>
                    </w:r>
                    <w:r>
                      <w:rPr>
                        <w:sz w:val="22"/>
                        <w:szCs w:val="22"/>
                      </w:rPr>
                      <w:t>Didinti mokslo tarptautiš-kumo lygį (Sostinės regionas)</w:t>
                    </w:r>
                  </w:p>
                </w:tc>
                <w:tc>
                  <w:tcPr>
                    <w:tcW w:w="1276" w:type="dxa"/>
                    <w:tcMar>
                      <w:left w:w="28" w:type="dxa"/>
                      <w:right w:w="28" w:type="dxa"/>
                    </w:tcMar>
                  </w:tcPr>
                  <w:p>
                    <w:pPr>
                      <w:jc w:val="center"/>
                      <w:rPr>
                        <w:iCs/>
                        <w:sz w:val="22"/>
                        <w:szCs w:val="22"/>
                      </w:rPr>
                    </w:pPr>
                    <w:r>
                      <w:rPr>
                        <w:iCs/>
                        <w:sz w:val="22"/>
                        <w:szCs w:val="22"/>
                      </w:rPr>
                      <w:t>Europos Sąjungos (toliau – ES) fondų lėšos ir ES fondų bendrojo finansavimo lėšos</w:t>
                    </w:r>
                  </w:p>
                  <w:p>
                    <w:pPr>
                      <w:jc w:val="center"/>
                      <w:rPr>
                        <w:iCs/>
                        <w:sz w:val="22"/>
                        <w:szCs w:val="22"/>
                      </w:rPr>
                    </w:pPr>
                  </w:p>
                  <w:p>
                    <w:pPr>
                      <w:jc w:val="center"/>
                      <w:rPr>
                        <w:bCs/>
                        <w:iCs/>
                        <w:sz w:val="18"/>
                        <w:szCs w:val="18"/>
                      </w:rPr>
                    </w:pPr>
                  </w:p>
                </w:tc>
                <w:tc>
                  <w:tcPr>
                    <w:tcW w:w="1418" w:type="dxa"/>
                    <w:tcMar>
                      <w:left w:w="28" w:type="dxa"/>
                      <w:right w:w="28" w:type="dxa"/>
                    </w:tcMar>
                  </w:tcPr>
                  <w:p>
                    <w:pPr>
                      <w:jc w:val="both"/>
                      <w:rPr>
                        <w:iCs/>
                        <w:sz w:val="22"/>
                        <w:szCs w:val="22"/>
                      </w:rPr>
                    </w:pPr>
                    <w:r>
                      <w:rPr>
                        <w:iCs/>
                        <w:sz w:val="22"/>
                        <w:szCs w:val="22"/>
                      </w:rPr>
                      <w:t>1. Pažangesnė Lietuva</w:t>
                    </w:r>
                  </w:p>
                </w:tc>
                <w:tc>
                  <w:tcPr>
                    <w:tcW w:w="1275" w:type="dxa"/>
                    <w:tcMar>
                      <w:left w:w="28" w:type="dxa"/>
                      <w:right w:w="28" w:type="dxa"/>
                    </w:tcMar>
                  </w:tcPr>
                  <w:p>
                    <w:pPr>
                      <w:jc w:val="center"/>
                      <w:rPr>
                        <w:sz w:val="22"/>
                        <w:szCs w:val="22"/>
                      </w:rPr>
                    </w:pPr>
                    <w:r>
                      <w:rPr>
                        <w:sz w:val="22"/>
                        <w:szCs w:val="22"/>
                      </w:rPr>
                      <w:t xml:space="preserve">1.1. </w:t>
                    </w:r>
                    <w:r>
                      <w:rPr>
                        <w:bCs/>
                        <w:iCs/>
                        <w:sz w:val="22"/>
                        <w:szCs w:val="22"/>
                      </w:rPr>
                      <w:t>Plėtoti ir stiprinti mokslinių tyrimų ir inovacinius pajėgumus ir diegti pažangiąsias technologijas</w:t>
                    </w:r>
                  </w:p>
                </w:tc>
                <w:tc>
                  <w:tcPr>
                    <w:tcW w:w="1134" w:type="dxa"/>
                    <w:tcMar>
                      <w:left w:w="28" w:type="dxa"/>
                      <w:right w:w="28" w:type="dxa"/>
                    </w:tcMar>
                  </w:tcPr>
                  <w:p>
                    <w:pPr>
                      <w:jc w:val="center"/>
                      <w:rPr>
                        <w:sz w:val="22"/>
                        <w:szCs w:val="22"/>
                      </w:rPr>
                    </w:pPr>
                    <w:r>
                      <w:rPr>
                        <w:sz w:val="22"/>
                        <w:szCs w:val="22"/>
                      </w:rPr>
                      <w:t xml:space="preserve">Pagal ES mokslinių tyrimų ir inovacijų programos „Europos horizontas“ Susiejimo iniciatyvos (anglų k. </w:t>
                    </w:r>
                    <w:r>
                      <w:rPr>
                        <w:i/>
                        <w:iCs/>
                        <w:sz w:val="22"/>
                        <w:szCs w:val="22"/>
                      </w:rPr>
                      <w:t>Teaming</w:t>
                    </w:r>
                    <w:r>
                      <w:rPr>
                        <w:sz w:val="22"/>
                        <w:szCs w:val="22"/>
                      </w:rPr>
                      <w:t>) taisykles atrinktų finansuoti veiksmų bendrafi-nansavimas</w:t>
                    </w:r>
                  </w:p>
                </w:tc>
                <w:tc>
                  <w:tcPr>
                    <w:tcW w:w="1418" w:type="dxa"/>
                    <w:tcMar>
                      <w:left w:w="28" w:type="dxa"/>
                      <w:right w:w="28" w:type="dxa"/>
                    </w:tcMar>
                  </w:tcPr>
                  <w:p>
                    <w:pPr>
                      <w:rPr>
                        <w:iCs/>
                        <w:sz w:val="22"/>
                        <w:szCs w:val="22"/>
                      </w:rPr>
                    </w:pPr>
                    <w:r>
                      <w:rPr>
                        <w:iCs/>
                        <w:sz w:val="22"/>
                        <w:szCs w:val="22"/>
                      </w:rPr>
                      <w:t>012 – Viešųjų mokslinių tyrimų centrų, aukštojo mokslo įstaigų ir kompetencijos centrų mokslinių tyrimų ir inovacijų veikla, įskaitant tinklaveiką (pramoniniai tyrimai, eksperimentinė plėtra, galimybių studijos);</w:t>
                    </w:r>
                  </w:p>
                  <w:p>
                    <w:pPr>
                      <w:rPr>
                        <w:iCs/>
                        <w:sz w:val="22"/>
                        <w:szCs w:val="22"/>
                      </w:rPr>
                    </w:pPr>
                  </w:p>
                  <w:p>
                    <w:pPr>
                      <w:rPr>
                        <w:iCs/>
                        <w:sz w:val="22"/>
                        <w:szCs w:val="22"/>
                      </w:rPr>
                    </w:pPr>
                    <w:r>
                      <w:rPr>
                        <w:iCs/>
                        <w:sz w:val="22"/>
                        <w:szCs w:val="22"/>
                      </w:rPr>
                      <w:t>029 –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276" w:type="dxa"/>
                    <w:tcMar>
                      <w:left w:w="28" w:type="dxa"/>
                      <w:right w:w="28" w:type="dxa"/>
                    </w:tcMar>
                  </w:tcPr>
                  <w:p>
                    <w:pPr>
                      <w:jc w:val="center"/>
                      <w:rPr>
                        <w:iCs/>
                        <w:sz w:val="22"/>
                        <w:szCs w:val="22"/>
                      </w:rPr>
                    </w:pPr>
                    <w:r>
                      <w:rPr>
                        <w:iCs/>
                        <w:sz w:val="22"/>
                        <w:szCs w:val="22"/>
                      </w:rPr>
                      <w:t>Sostinės regionas</w:t>
                    </w:r>
                  </w:p>
                </w:tc>
                <w:tc>
                  <w:tcPr>
                    <w:tcW w:w="850" w:type="dxa"/>
                    <w:tcMar>
                      <w:left w:w="28" w:type="dxa"/>
                      <w:right w:w="28" w:type="dxa"/>
                    </w:tcMar>
                  </w:tcPr>
                  <w:p>
                    <w:pPr>
                      <w:jc w:val="center"/>
                      <w:rPr>
                        <w:iCs/>
                        <w:sz w:val="22"/>
                        <w:szCs w:val="22"/>
                      </w:rPr>
                    </w:pPr>
                    <w:r>
                      <w:rPr>
                        <w:sz w:val="22"/>
                        <w:szCs w:val="22"/>
                      </w:rPr>
                      <w:t>01 – Dotacija</w:t>
                    </w:r>
                  </w:p>
                </w:tc>
                <w:tc>
                  <w:tcPr>
                    <w:tcW w:w="992" w:type="dxa"/>
                    <w:tcMar>
                      <w:left w:w="28" w:type="dxa"/>
                      <w:right w:w="28" w:type="dxa"/>
                    </w:tcMar>
                  </w:tcPr>
                  <w:p>
                    <w:pPr>
                      <w:jc w:val="center"/>
                      <w:rPr>
                        <w:iCs/>
                        <w:sz w:val="22"/>
                        <w:szCs w:val="22"/>
                      </w:rPr>
                    </w:pPr>
                    <w:r>
                      <w:rPr>
                        <w:iCs/>
                        <w:sz w:val="22"/>
                        <w:szCs w:val="22"/>
                      </w:rPr>
                      <w:t>33 – Nesiorien-tuojant į teritorinį principą</w:t>
                    </w:r>
                  </w:p>
                </w:tc>
                <w:tc>
                  <w:tcPr>
                    <w:tcW w:w="993" w:type="dxa"/>
                    <w:tcMar>
                      <w:left w:w="28" w:type="dxa"/>
                      <w:right w:w="28" w:type="dxa"/>
                    </w:tcMar>
                  </w:tcPr>
                  <w:p>
                    <w:pPr>
                      <w:jc w:val="center"/>
                      <w:rPr>
                        <w:iCs/>
                        <w:sz w:val="22"/>
                        <w:szCs w:val="22"/>
                      </w:rPr>
                    </w:pPr>
                    <w:r>
                      <w:rPr>
                        <w:iCs/>
                        <w:sz w:val="22"/>
                        <w:szCs w:val="22"/>
                      </w:rPr>
                      <w:t xml:space="preserve">26 – </w:t>
                    </w:r>
                  </w:p>
                  <w:p>
                    <w:pPr>
                      <w:jc w:val="center"/>
                      <w:rPr>
                        <w:iCs/>
                        <w:sz w:val="22"/>
                        <w:szCs w:val="22"/>
                      </w:rPr>
                    </w:pPr>
                    <w:r>
                      <w:rPr>
                        <w:iCs/>
                        <w:sz w:val="22"/>
                        <w:szCs w:val="22"/>
                      </w:rPr>
                      <w:t>kitos nenuro-dytos paslaugos</w:t>
                    </w:r>
                  </w:p>
                </w:tc>
                <w:tc>
                  <w:tcPr>
                    <w:tcW w:w="1134" w:type="dxa"/>
                    <w:tcMar>
                      <w:left w:w="28" w:type="dxa"/>
                      <w:right w:w="28" w:type="dxa"/>
                    </w:tcMar>
                  </w:tcPr>
                  <w:p>
                    <w:pPr>
                      <w:jc w:val="center"/>
                      <w:rPr>
                        <w:iCs/>
                        <w:sz w:val="22"/>
                        <w:szCs w:val="22"/>
                      </w:rPr>
                    </w:pPr>
                    <w:r>
                      <w:rPr>
                        <w:iCs/>
                        <w:sz w:val="22"/>
                        <w:szCs w:val="22"/>
                      </w:rPr>
                      <w:t>09 – Netaikoma</w:t>
                    </w:r>
                  </w:p>
                </w:tc>
                <w:tc>
                  <w:tcPr>
                    <w:tcW w:w="992" w:type="dxa"/>
                    <w:tcMar>
                      <w:left w:w="28" w:type="dxa"/>
                      <w:right w:w="28" w:type="dxa"/>
                    </w:tcMar>
                  </w:tcPr>
                  <w:p>
                    <w:pPr>
                      <w:jc w:val="center"/>
                      <w:rPr>
                        <w:iCs/>
                        <w:sz w:val="22"/>
                        <w:szCs w:val="22"/>
                      </w:rPr>
                    </w:pPr>
                    <w:r>
                      <w:rPr>
                        <w:iCs/>
                        <w:sz w:val="22"/>
                        <w:szCs w:val="22"/>
                      </w:rPr>
                      <w:t>03 – Neutralu-mas lyties požiūriu</w:t>
                    </w:r>
                  </w:p>
                </w:tc>
                <w:tc>
                  <w:tcPr>
                    <w:tcW w:w="1268" w:type="dxa"/>
                  </w:tcPr>
                  <w:p>
                    <w:pPr>
                      <w:jc w:val="center"/>
                      <w:rPr>
                        <w:iCs/>
                        <w:sz w:val="22"/>
                        <w:szCs w:val="22"/>
                      </w:rPr>
                    </w:pPr>
                    <w:r>
                      <w:rPr>
                        <w:iCs/>
                        <w:sz w:val="22"/>
                        <w:szCs w:val="22"/>
                      </w:rPr>
                      <w:t>Ne</w:t>
                    </w:r>
                  </w:p>
                </w:tc>
              </w:tr>
              <w:tr>
                <w:trPr>
                  <w:trHeight w:val="278"/>
                </w:trPr>
                <w:tc>
                  <w:tcPr>
                    <w:tcW w:w="1129" w:type="dxa"/>
                    <w:tcMar>
                      <w:left w:w="28" w:type="dxa"/>
                      <w:right w:w="28" w:type="dxa"/>
                    </w:tcMar>
                  </w:tcPr>
                  <w:p>
                    <w:pPr>
                      <w:ind w:firstLine="48"/>
                      <w:jc w:val="center"/>
                      <w:rPr>
                        <w:color w:val="000000"/>
                        <w:sz w:val="22"/>
                        <w:szCs w:val="22"/>
                      </w:rPr>
                    </w:pPr>
                    <w:r>
                      <w:rPr>
                        <w:color w:val="000000"/>
                        <w:sz w:val="22"/>
                        <w:szCs w:val="22"/>
                      </w:rPr>
                      <w:t>2.3. Didinti mokslo tarptautiš-kumo lygį (VVL regionas)</w:t>
                    </w:r>
                  </w:p>
                </w:tc>
                <w:tc>
                  <w:tcPr>
                    <w:tcW w:w="1276" w:type="dxa"/>
                    <w:tcMar>
                      <w:left w:w="28" w:type="dxa"/>
                      <w:right w:w="28" w:type="dxa"/>
                    </w:tcMar>
                  </w:tcPr>
                  <w:p>
                    <w:pPr>
                      <w:jc w:val="center"/>
                      <w:rPr>
                        <w:iCs/>
                        <w:sz w:val="22"/>
                        <w:szCs w:val="22"/>
                      </w:rPr>
                    </w:pPr>
                    <w:r>
                      <w:rPr>
                        <w:iCs/>
                        <w:sz w:val="22"/>
                        <w:szCs w:val="22"/>
                      </w:rPr>
                      <w:t>ES fondų lėšos ir ES fondų bendrojo finansavimo lėšos</w:t>
                    </w:r>
                  </w:p>
                </w:tc>
                <w:tc>
                  <w:tcPr>
                    <w:tcW w:w="1418" w:type="dxa"/>
                    <w:tcMar>
                      <w:left w:w="28" w:type="dxa"/>
                      <w:right w:w="28" w:type="dxa"/>
                    </w:tcMar>
                  </w:tcPr>
                  <w:p>
                    <w:pPr>
                      <w:rPr>
                        <w:iCs/>
                        <w:sz w:val="22"/>
                        <w:szCs w:val="22"/>
                      </w:rPr>
                    </w:pPr>
                    <w:r>
                      <w:rPr>
                        <w:iCs/>
                        <w:sz w:val="22"/>
                        <w:szCs w:val="22"/>
                      </w:rPr>
                      <w:t>1. Pažangesnė Lietuva</w:t>
                    </w:r>
                  </w:p>
                </w:tc>
                <w:tc>
                  <w:tcPr>
                    <w:tcW w:w="1275" w:type="dxa"/>
                    <w:tcMar>
                      <w:left w:w="28" w:type="dxa"/>
                      <w:right w:w="28" w:type="dxa"/>
                    </w:tcMar>
                  </w:tcPr>
                  <w:p>
                    <w:pPr>
                      <w:jc w:val="center"/>
                      <w:rPr>
                        <w:sz w:val="22"/>
                        <w:szCs w:val="22"/>
                      </w:rPr>
                    </w:pPr>
                    <w:r>
                      <w:rPr>
                        <w:sz w:val="22"/>
                        <w:szCs w:val="22"/>
                      </w:rPr>
                      <w:t>1.1.</w:t>
                    </w:r>
                    <w:r>
                      <w:rPr>
                        <w:bCs/>
                        <w:iCs/>
                        <w:sz w:val="22"/>
                        <w:szCs w:val="22"/>
                      </w:rPr>
                      <w:t xml:space="preserve"> Plėtoti ir stiprinti mokslinių tyrimų ir inovacinius pajėgumus ir diegti pažangiąsias technologijas</w:t>
                    </w:r>
                  </w:p>
                </w:tc>
                <w:tc>
                  <w:tcPr>
                    <w:tcW w:w="1134" w:type="dxa"/>
                    <w:tcMar>
                      <w:left w:w="28" w:type="dxa"/>
                      <w:right w:w="28" w:type="dxa"/>
                    </w:tcMar>
                  </w:tcPr>
                  <w:p>
                    <w:pPr>
                      <w:jc w:val="center"/>
                      <w:rPr>
                        <w:sz w:val="22"/>
                        <w:szCs w:val="22"/>
                      </w:rPr>
                    </w:pPr>
                    <w:r>
                      <w:rPr>
                        <w:iCs/>
                        <w:sz w:val="22"/>
                        <w:szCs w:val="22"/>
                      </w:rPr>
                      <w:t xml:space="preserve">Pagal ES mokslinių tyrimų ir inovacijų programos „Europos horizontas“ Susiejimo iniciatyvos (anglų k. </w:t>
                    </w:r>
                    <w:r>
                      <w:rPr>
                        <w:i/>
                        <w:sz w:val="22"/>
                        <w:szCs w:val="22"/>
                      </w:rPr>
                      <w:t>Teaming</w:t>
                    </w:r>
                    <w:r>
                      <w:rPr>
                        <w:iCs/>
                        <w:sz w:val="22"/>
                        <w:szCs w:val="22"/>
                      </w:rPr>
                      <w:t>) taisykles atrinktų finansuoti veiksmų bendrafi-nansavimas</w:t>
                    </w:r>
                  </w:p>
                </w:tc>
                <w:tc>
                  <w:tcPr>
                    <w:tcW w:w="1418" w:type="dxa"/>
                    <w:tcMar>
                      <w:left w:w="28" w:type="dxa"/>
                      <w:right w:w="28" w:type="dxa"/>
                    </w:tcMar>
                  </w:tcPr>
                  <w:p>
                    <w:pPr>
                      <w:rPr>
                        <w:iCs/>
                        <w:sz w:val="22"/>
                        <w:szCs w:val="22"/>
                      </w:rPr>
                    </w:pPr>
                    <w:r>
                      <w:rPr>
                        <w:iCs/>
                        <w:sz w:val="22"/>
                        <w:szCs w:val="22"/>
                      </w:rPr>
                      <w:t>012 – Viešųjų mokslinių tyrimų centrų, aukštojo mokslo įstaigų ir kompetencijos centrų mokslinių tyrimų ir inovacijų veikla, įskaitant tinklaveiką (pramoniniai tyrimai, eksperimentinė plėtra, galimybių studijos);</w:t>
                    </w:r>
                  </w:p>
                  <w:p>
                    <w:pPr>
                      <w:rPr>
                        <w:iCs/>
                        <w:sz w:val="22"/>
                        <w:szCs w:val="22"/>
                      </w:rPr>
                    </w:pPr>
                  </w:p>
                  <w:p>
                    <w:pPr>
                      <w:rPr>
                        <w:iCs/>
                        <w:sz w:val="22"/>
                        <w:szCs w:val="22"/>
                      </w:rPr>
                    </w:pPr>
                    <w:r>
                      <w:rPr>
                        <w:iCs/>
                        <w:sz w:val="22"/>
                        <w:szCs w:val="22"/>
                      </w:rPr>
                      <w:t>029 –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276" w:type="dxa"/>
                    <w:tcMar>
                      <w:left w:w="28" w:type="dxa"/>
                      <w:right w:w="28" w:type="dxa"/>
                    </w:tcMar>
                  </w:tcPr>
                  <w:p>
                    <w:pPr>
                      <w:jc w:val="center"/>
                      <w:rPr>
                        <w:iCs/>
                        <w:sz w:val="22"/>
                        <w:szCs w:val="22"/>
                      </w:rPr>
                    </w:pPr>
                    <w:r>
                      <w:rPr>
                        <w:iCs/>
                        <w:sz w:val="22"/>
                        <w:szCs w:val="22"/>
                      </w:rPr>
                      <w:t>Vidurio ir vakarų Lietuvos regionas</w:t>
                    </w:r>
                  </w:p>
                  <w:p>
                    <w:pPr>
                      <w:jc w:val="center"/>
                      <w:rPr>
                        <w:iCs/>
                        <w:sz w:val="22"/>
                        <w:szCs w:val="22"/>
                      </w:rPr>
                    </w:pPr>
                  </w:p>
                </w:tc>
                <w:tc>
                  <w:tcPr>
                    <w:tcW w:w="850" w:type="dxa"/>
                    <w:tcMar>
                      <w:left w:w="28" w:type="dxa"/>
                      <w:right w:w="28" w:type="dxa"/>
                    </w:tcMar>
                  </w:tcPr>
                  <w:p>
                    <w:pPr>
                      <w:jc w:val="center"/>
                      <w:rPr>
                        <w:sz w:val="22"/>
                        <w:szCs w:val="22"/>
                      </w:rPr>
                    </w:pPr>
                    <w:r>
                      <w:rPr>
                        <w:sz w:val="22"/>
                        <w:szCs w:val="22"/>
                      </w:rPr>
                      <w:t>01 – Dotacija</w:t>
                    </w:r>
                  </w:p>
                </w:tc>
                <w:tc>
                  <w:tcPr>
                    <w:tcW w:w="992" w:type="dxa"/>
                    <w:tcMar>
                      <w:left w:w="28" w:type="dxa"/>
                      <w:right w:w="28" w:type="dxa"/>
                    </w:tcMar>
                  </w:tcPr>
                  <w:p>
                    <w:pPr>
                      <w:jc w:val="center"/>
                      <w:rPr>
                        <w:iCs/>
                        <w:sz w:val="22"/>
                        <w:szCs w:val="22"/>
                      </w:rPr>
                    </w:pPr>
                    <w:r>
                      <w:rPr>
                        <w:iCs/>
                        <w:sz w:val="22"/>
                        <w:szCs w:val="22"/>
                      </w:rPr>
                      <w:t>33 – Nesiorien-tuojant į teritorinį principą</w:t>
                    </w:r>
                  </w:p>
                </w:tc>
                <w:tc>
                  <w:tcPr>
                    <w:tcW w:w="993" w:type="dxa"/>
                    <w:tcMar>
                      <w:left w:w="28" w:type="dxa"/>
                      <w:right w:w="28" w:type="dxa"/>
                    </w:tcMar>
                  </w:tcPr>
                  <w:p>
                    <w:pPr>
                      <w:jc w:val="center"/>
                      <w:rPr>
                        <w:iCs/>
                        <w:sz w:val="22"/>
                        <w:szCs w:val="22"/>
                      </w:rPr>
                    </w:pPr>
                    <w:r>
                      <w:rPr>
                        <w:iCs/>
                        <w:sz w:val="22"/>
                        <w:szCs w:val="22"/>
                      </w:rPr>
                      <w:t>26 – kitos nenuro-dytos paslaugos</w:t>
                    </w:r>
                  </w:p>
                </w:tc>
                <w:tc>
                  <w:tcPr>
                    <w:tcW w:w="1134" w:type="dxa"/>
                    <w:tcMar>
                      <w:left w:w="28" w:type="dxa"/>
                      <w:right w:w="28" w:type="dxa"/>
                    </w:tcMar>
                  </w:tcPr>
                  <w:p>
                    <w:pPr>
                      <w:jc w:val="center"/>
                      <w:rPr>
                        <w:iCs/>
                        <w:sz w:val="22"/>
                        <w:szCs w:val="22"/>
                      </w:rPr>
                    </w:pPr>
                    <w:r>
                      <w:rPr>
                        <w:iCs/>
                        <w:sz w:val="22"/>
                        <w:szCs w:val="22"/>
                      </w:rPr>
                      <w:t>09 – Netaikoma</w:t>
                    </w:r>
                  </w:p>
                </w:tc>
                <w:tc>
                  <w:tcPr>
                    <w:tcW w:w="992" w:type="dxa"/>
                    <w:tcMar>
                      <w:left w:w="28" w:type="dxa"/>
                      <w:right w:w="28" w:type="dxa"/>
                    </w:tcMar>
                  </w:tcPr>
                  <w:p>
                    <w:pPr>
                      <w:jc w:val="center"/>
                      <w:rPr>
                        <w:iCs/>
                        <w:sz w:val="22"/>
                        <w:szCs w:val="22"/>
                      </w:rPr>
                    </w:pPr>
                    <w:r>
                      <w:rPr>
                        <w:iCs/>
                        <w:sz w:val="22"/>
                        <w:szCs w:val="22"/>
                      </w:rPr>
                      <w:t>03 – Neutralu-mas lyties požiūriu</w:t>
                    </w:r>
                  </w:p>
                  <w:p>
                    <w:pPr>
                      <w:jc w:val="center"/>
                      <w:rPr>
                        <w:iCs/>
                        <w:sz w:val="22"/>
                        <w:szCs w:val="22"/>
                      </w:rPr>
                    </w:pPr>
                  </w:p>
                </w:tc>
                <w:tc>
                  <w:tcPr>
                    <w:tcW w:w="1268" w:type="dxa"/>
                  </w:tcPr>
                  <w:p>
                    <w:pPr>
                      <w:jc w:val="center"/>
                      <w:rPr>
                        <w:iCs/>
                        <w:sz w:val="22"/>
                        <w:szCs w:val="22"/>
                      </w:rPr>
                    </w:pPr>
                    <w:r>
                      <w:rPr>
                        <w:iCs/>
                        <w:sz w:val="22"/>
                        <w:szCs w:val="22"/>
                      </w:rPr>
                      <w:t>Ne</w:t>
                    </w:r>
                  </w:p>
                </w:tc>
              </w:tr>
            </w:tbl>
            <w:p>
              <w:pPr>
                <w:ind w:firstLine="567"/>
                <w:jc w:val="both"/>
                <w:rPr>
                  <w:b/>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14752" w:type="dxa"/>
                    <w:gridSpan w:val="4"/>
                    <w:vAlign w:val="center"/>
                  </w:tcPr>
                  <w:p>
                    <w:pPr>
                      <w:rPr>
                        <w:b/>
                        <w:sz w:val="22"/>
                        <w:szCs w:val="22"/>
                      </w:rPr>
                    </w:pPr>
                    <w:r>
                      <w:rPr>
                        <w:b/>
                        <w:sz w:val="22"/>
                        <w:szCs w:val="22"/>
                      </w:rPr>
                      <w:t>2. Veiklos ar poveiklės rodikliai</w:t>
                    </w:r>
                  </w:p>
                </w:tc>
              </w:tr>
              <w:tr>
                <w:trPr>
                  <w:trHeight w:val="405"/>
                </w:trPr>
                <w:tc>
                  <w:tcPr>
                    <w:tcW w:w="14752" w:type="dxa"/>
                    <w:gridSpan w:val="4"/>
                    <w:vAlign w:val="center"/>
                  </w:tcPr>
                  <w:p>
                    <w:pPr>
                      <w:rPr>
                        <w:bCs/>
                        <w:sz w:val="22"/>
                        <w:szCs w:val="22"/>
                      </w:rPr>
                    </w:pPr>
                    <w:r>
                      <w:rPr>
                        <w:bCs/>
                        <w:sz w:val="22"/>
                        <w:szCs w:val="22"/>
                      </w:rPr>
                      <w:t>2.1. Įgyvendinant poveiklę „2.2. Didinti mokslo tarptautiškumo lygį (Sostinė)“:</w:t>
                    </w:r>
                  </w:p>
                </w:tc>
              </w:tr>
              <w:tr>
                <w:trPr>
                  <w:trHeight w:val="405"/>
                </w:trPr>
                <w:tc>
                  <w:tcPr>
                    <w:tcW w:w="3688" w:type="dxa"/>
                    <w:vAlign w:val="center"/>
                  </w:tcPr>
                  <w:p>
                    <w:pPr>
                      <w:jc w:val="center"/>
                      <w:rPr>
                        <w:sz w:val="18"/>
                        <w:szCs w:val="18"/>
                      </w:rPr>
                    </w:pPr>
                    <w:r>
                      <w:rPr>
                        <w:sz w:val="22"/>
                        <w:szCs w:val="22"/>
                      </w:rPr>
                      <w:t>Rodiklio pavadinimas</w:t>
                    </w:r>
                  </w:p>
                </w:tc>
                <w:tc>
                  <w:tcPr>
                    <w:tcW w:w="3688" w:type="dxa"/>
                    <w:vAlign w:val="center"/>
                  </w:tcPr>
                  <w:p>
                    <w:pPr>
                      <w:jc w:val="center"/>
                      <w:rPr>
                        <w:sz w:val="18"/>
                        <w:szCs w:val="18"/>
                      </w:rPr>
                    </w:pPr>
                    <w:r>
                      <w:rPr>
                        <w:sz w:val="22"/>
                        <w:szCs w:val="22"/>
                      </w:rPr>
                      <w:t>Rodiklio kodas</w:t>
                    </w:r>
                  </w:p>
                </w:tc>
                <w:tc>
                  <w:tcPr>
                    <w:tcW w:w="3688" w:type="dxa"/>
                    <w:vAlign w:val="center"/>
                  </w:tcPr>
                  <w:p>
                    <w:pPr>
                      <w:jc w:val="center"/>
                      <w:rPr>
                        <w:sz w:val="18"/>
                        <w:szCs w:val="18"/>
                      </w:rPr>
                    </w:pPr>
                    <w:r>
                      <w:rPr>
                        <w:sz w:val="22"/>
                        <w:szCs w:val="22"/>
                      </w:rPr>
                      <w:t>Matavimo vienetai</w:t>
                    </w:r>
                  </w:p>
                </w:tc>
                <w:tc>
                  <w:tcPr>
                    <w:tcW w:w="3688" w:type="dxa"/>
                    <w:vAlign w:val="center"/>
                  </w:tcPr>
                  <w:p>
                    <w:pPr>
                      <w:jc w:val="center"/>
                      <w:rPr>
                        <w:sz w:val="18"/>
                        <w:szCs w:val="18"/>
                      </w:rPr>
                    </w:pPr>
                    <w:r>
                      <w:rPr>
                        <w:sz w:val="22"/>
                        <w:szCs w:val="22"/>
                      </w:rPr>
                      <w:t>Siektina reikšmė ir pasiekimo data</w:t>
                    </w:r>
                  </w:p>
                </w:tc>
              </w:tr>
              <w:tr>
                <w:trPr>
                  <w:trHeight w:val="725"/>
                </w:trPr>
                <w:tc>
                  <w:tcPr>
                    <w:tcW w:w="3688" w:type="dxa"/>
                    <w:vAlign w:val="center"/>
                  </w:tcPr>
                  <w:p>
                    <w:pPr>
                      <w:jc w:val="center"/>
                      <w:rPr>
                        <w:iCs/>
                        <w:sz w:val="22"/>
                        <w:szCs w:val="22"/>
                      </w:rPr>
                    </w:pPr>
                    <w:r>
                      <w:rPr>
                        <w:sz w:val="22"/>
                        <w:szCs w:val="22"/>
                      </w:rPr>
                      <w:t>Paramą gavusiose mokslinių tyrimų įstaigose dirbantys mokslininkai</w:t>
                    </w:r>
                  </w:p>
                </w:tc>
                <w:tc>
                  <w:tcPr>
                    <w:tcW w:w="3688" w:type="dxa"/>
                    <w:vAlign w:val="center"/>
                  </w:tcPr>
                  <w:p>
                    <w:pPr>
                      <w:jc w:val="center"/>
                      <w:rPr>
                        <w:sz w:val="22"/>
                        <w:szCs w:val="22"/>
                      </w:rPr>
                    </w:pPr>
                    <w:r>
                      <w:rPr>
                        <w:sz w:val="22"/>
                        <w:szCs w:val="22"/>
                      </w:rPr>
                      <w:t>P-12-001-01-02-01-01</w:t>
                    </w:r>
                  </w:p>
                  <w:p>
                    <w:pPr>
                      <w:jc w:val="center"/>
                      <w:rPr>
                        <w:iCs/>
                        <w:sz w:val="22"/>
                        <w:szCs w:val="22"/>
                      </w:rPr>
                    </w:pPr>
                    <w:r>
                      <w:rPr>
                        <w:sz w:val="22"/>
                        <w:szCs w:val="22"/>
                      </w:rPr>
                      <w:t>(P.B.2.0006)</w:t>
                    </w:r>
                  </w:p>
                </w:tc>
                <w:tc>
                  <w:tcPr>
                    <w:tcW w:w="3688" w:type="dxa"/>
                  </w:tcPr>
                  <w:p>
                    <w:pPr>
                      <w:jc w:val="center"/>
                      <w:rPr>
                        <w:iCs/>
                        <w:sz w:val="22"/>
                        <w:szCs w:val="22"/>
                      </w:rPr>
                    </w:pPr>
                  </w:p>
                  <w:p>
                    <w:pPr>
                      <w:jc w:val="center"/>
                      <w:rPr>
                        <w:iCs/>
                        <w:sz w:val="22"/>
                        <w:szCs w:val="22"/>
                      </w:rPr>
                    </w:pPr>
                    <w:r>
                      <w:rPr>
                        <w:iCs/>
                        <w:sz w:val="22"/>
                        <w:szCs w:val="22"/>
                      </w:rPr>
                      <w:t>Vienų metų etato ekvivalentai</w:t>
                    </w:r>
                  </w:p>
                </w:tc>
                <w:tc>
                  <w:tcPr>
                    <w:tcW w:w="3688" w:type="dxa"/>
                  </w:tcPr>
                  <w:p>
                    <w:pPr>
                      <w:jc w:val="center"/>
                      <w:rPr>
                        <w:iCs/>
                        <w:sz w:val="22"/>
                        <w:szCs w:val="22"/>
                      </w:rPr>
                    </w:pPr>
                  </w:p>
                  <w:p>
                    <w:pPr>
                      <w:jc w:val="center"/>
                      <w:rPr>
                        <w:iCs/>
                        <w:sz w:val="22"/>
                        <w:szCs w:val="22"/>
                      </w:rPr>
                    </w:pPr>
                    <w:r>
                      <w:rPr>
                        <w:sz w:val="22"/>
                        <w:szCs w:val="22"/>
                      </w:rPr>
                      <w:t>5</w:t>
                    </w:r>
                  </w:p>
                </w:tc>
              </w:tr>
              <w:tr>
                <w:trPr>
                  <w:trHeight w:val="725"/>
                </w:trPr>
                <w:tc>
                  <w:tcPr>
                    <w:tcW w:w="3688" w:type="dxa"/>
                    <w:vAlign w:val="center"/>
                  </w:tcPr>
                  <w:p>
                    <w:pPr>
                      <w:jc w:val="center"/>
                      <w:rPr>
                        <w:sz w:val="22"/>
                        <w:szCs w:val="22"/>
                      </w:rPr>
                    </w:pPr>
                    <w:r>
                      <w:rPr>
                        <w:sz w:val="22"/>
                        <w:szCs w:val="22"/>
                      </w:rPr>
                      <w:t>Remiamų projektų leidiniai</w:t>
                    </w:r>
                  </w:p>
                </w:tc>
                <w:tc>
                  <w:tcPr>
                    <w:tcW w:w="3688" w:type="dxa"/>
                    <w:vAlign w:val="center"/>
                  </w:tcPr>
                  <w:p>
                    <w:pPr>
                      <w:jc w:val="center"/>
                      <w:rPr>
                        <w:sz w:val="22"/>
                        <w:szCs w:val="22"/>
                      </w:rPr>
                    </w:pPr>
                    <w:r>
                      <w:rPr>
                        <w:sz w:val="22"/>
                        <w:szCs w:val="22"/>
                      </w:rPr>
                      <w:t>R-12-001-01-02-01-05</w:t>
                    </w:r>
                  </w:p>
                  <w:p>
                    <w:pPr>
                      <w:jc w:val="center"/>
                      <w:rPr>
                        <w:sz w:val="22"/>
                        <w:szCs w:val="22"/>
                      </w:rPr>
                    </w:pPr>
                    <w:r>
                      <w:rPr>
                        <w:sz w:val="22"/>
                        <w:szCs w:val="22"/>
                      </w:rPr>
                      <w:t>(R.B.2.2008)</w:t>
                    </w:r>
                  </w:p>
                </w:tc>
                <w:tc>
                  <w:tcPr>
                    <w:tcW w:w="3688" w:type="dxa"/>
                  </w:tcPr>
                  <w:p>
                    <w:pPr>
                      <w:jc w:val="center"/>
                      <w:rPr>
                        <w:iCs/>
                        <w:sz w:val="22"/>
                        <w:szCs w:val="22"/>
                      </w:rPr>
                    </w:pPr>
                  </w:p>
                  <w:p>
                    <w:pPr>
                      <w:jc w:val="center"/>
                      <w:rPr>
                        <w:iCs/>
                        <w:sz w:val="22"/>
                        <w:szCs w:val="22"/>
                      </w:rPr>
                    </w:pPr>
                    <w:r>
                      <w:rPr>
                        <w:iCs/>
                        <w:sz w:val="22"/>
                        <w:szCs w:val="22"/>
                      </w:rPr>
                      <w:t>Leidiniai</w:t>
                    </w:r>
                  </w:p>
                </w:tc>
                <w:tc>
                  <w:tcPr>
                    <w:tcW w:w="3688" w:type="dxa"/>
                  </w:tcPr>
                  <w:p>
                    <w:pPr>
                      <w:jc w:val="center"/>
                      <w:rPr>
                        <w:iCs/>
                        <w:sz w:val="22"/>
                        <w:szCs w:val="22"/>
                      </w:rPr>
                    </w:pPr>
                  </w:p>
                  <w:p>
                    <w:pPr>
                      <w:jc w:val="center"/>
                      <w:rPr>
                        <w:iCs/>
                        <w:sz w:val="22"/>
                        <w:szCs w:val="22"/>
                      </w:rPr>
                    </w:pPr>
                    <w:r>
                      <w:rPr>
                        <w:iCs/>
                        <w:sz w:val="22"/>
                        <w:szCs w:val="22"/>
                      </w:rPr>
                      <w:t>2</w:t>
                    </w:r>
                  </w:p>
                </w:tc>
              </w:tr>
              <w:tr>
                <w:trPr>
                  <w:trHeight w:val="442"/>
                </w:trPr>
                <w:tc>
                  <w:tcPr>
                    <w:tcW w:w="14752" w:type="dxa"/>
                    <w:gridSpan w:val="4"/>
                    <w:vAlign w:val="center"/>
                  </w:tcPr>
                  <w:p>
                    <w:pPr>
                      <w:rPr>
                        <w:iCs/>
                        <w:sz w:val="22"/>
                        <w:szCs w:val="22"/>
                      </w:rPr>
                    </w:pPr>
                    <w:r>
                      <w:rPr>
                        <w:iCs/>
                        <w:sz w:val="22"/>
                        <w:szCs w:val="22"/>
                      </w:rPr>
                      <w:t>2.2. Įgyvendinant poveiklę „2.3. Didinti mokslo tarptautiškumo lygį (VVL)“:</w:t>
                    </w:r>
                  </w:p>
                </w:tc>
              </w:tr>
              <w:tr>
                <w:trPr>
                  <w:trHeight w:val="548"/>
                </w:trPr>
                <w:tc>
                  <w:tcPr>
                    <w:tcW w:w="3688" w:type="dxa"/>
                    <w:vAlign w:val="center"/>
                  </w:tcPr>
                  <w:p>
                    <w:pPr>
                      <w:jc w:val="center"/>
                      <w:rPr>
                        <w:sz w:val="22"/>
                        <w:szCs w:val="22"/>
                      </w:rPr>
                    </w:pPr>
                    <w:r>
                      <w:rPr>
                        <w:sz w:val="22"/>
                        <w:szCs w:val="22"/>
                      </w:rPr>
                      <w:t>Rodiklio pavadinimas</w:t>
                    </w:r>
                  </w:p>
                </w:tc>
                <w:tc>
                  <w:tcPr>
                    <w:tcW w:w="3688" w:type="dxa"/>
                    <w:vAlign w:val="center"/>
                  </w:tcPr>
                  <w:p>
                    <w:pPr>
                      <w:jc w:val="center"/>
                      <w:rPr>
                        <w:sz w:val="22"/>
                        <w:szCs w:val="22"/>
                      </w:rPr>
                    </w:pPr>
                    <w:r>
                      <w:rPr>
                        <w:sz w:val="22"/>
                        <w:szCs w:val="22"/>
                      </w:rPr>
                      <w:t>Rodiklio kodas</w:t>
                    </w:r>
                  </w:p>
                </w:tc>
                <w:tc>
                  <w:tcPr>
                    <w:tcW w:w="3688" w:type="dxa"/>
                    <w:vAlign w:val="center"/>
                  </w:tcPr>
                  <w:p>
                    <w:pPr>
                      <w:jc w:val="center"/>
                      <w:rPr>
                        <w:iCs/>
                        <w:sz w:val="22"/>
                        <w:szCs w:val="22"/>
                      </w:rPr>
                    </w:pPr>
                    <w:r>
                      <w:rPr>
                        <w:iCs/>
                        <w:sz w:val="22"/>
                        <w:szCs w:val="22"/>
                      </w:rPr>
                      <w:t>Matavimo vienetai</w:t>
                    </w:r>
                  </w:p>
                </w:tc>
                <w:tc>
                  <w:tcPr>
                    <w:tcW w:w="3688" w:type="dxa"/>
                    <w:vAlign w:val="center"/>
                  </w:tcPr>
                  <w:p>
                    <w:pPr>
                      <w:jc w:val="center"/>
                      <w:rPr>
                        <w:iCs/>
                        <w:sz w:val="22"/>
                        <w:szCs w:val="22"/>
                      </w:rPr>
                    </w:pPr>
                    <w:r>
                      <w:rPr>
                        <w:iCs/>
                        <w:sz w:val="22"/>
                        <w:szCs w:val="22"/>
                      </w:rPr>
                      <w:t>Siektina reikšmė ir pasiekimo data</w:t>
                    </w:r>
                  </w:p>
                </w:tc>
              </w:tr>
              <w:tr>
                <w:trPr>
                  <w:trHeight w:val="725"/>
                </w:trPr>
                <w:tc>
                  <w:tcPr>
                    <w:tcW w:w="3688" w:type="dxa"/>
                    <w:vAlign w:val="center"/>
                  </w:tcPr>
                  <w:p>
                    <w:pPr>
                      <w:jc w:val="center"/>
                      <w:rPr>
                        <w:sz w:val="22"/>
                        <w:szCs w:val="22"/>
                      </w:rPr>
                    </w:pPr>
                    <w:r>
                      <w:rPr>
                        <w:sz w:val="22"/>
                        <w:szCs w:val="22"/>
                      </w:rPr>
                      <w:t>Paramą gavusiose mokslinių tyrimų įstaigose dirbantys mokslininkai</w:t>
                    </w:r>
                  </w:p>
                </w:tc>
                <w:tc>
                  <w:tcPr>
                    <w:tcW w:w="3688" w:type="dxa"/>
                    <w:vAlign w:val="center"/>
                  </w:tcPr>
                  <w:p>
                    <w:pPr>
                      <w:jc w:val="center"/>
                      <w:rPr>
                        <w:sz w:val="22"/>
                        <w:szCs w:val="22"/>
                      </w:rPr>
                    </w:pPr>
                    <w:r>
                      <w:rPr>
                        <w:sz w:val="22"/>
                        <w:szCs w:val="22"/>
                      </w:rPr>
                      <w:t>P-12-001-01-02-01-01</w:t>
                    </w:r>
                  </w:p>
                  <w:p>
                    <w:pPr>
                      <w:jc w:val="center"/>
                      <w:rPr>
                        <w:sz w:val="22"/>
                        <w:szCs w:val="22"/>
                      </w:rPr>
                    </w:pPr>
                    <w:r>
                      <w:rPr>
                        <w:sz w:val="22"/>
                        <w:szCs w:val="22"/>
                      </w:rPr>
                      <w:t>(P.B.2.0006)</w:t>
                    </w:r>
                  </w:p>
                </w:tc>
                <w:tc>
                  <w:tcPr>
                    <w:tcW w:w="3688" w:type="dxa"/>
                    <w:vAlign w:val="center"/>
                  </w:tcPr>
                  <w:p>
                    <w:pPr>
                      <w:jc w:val="center"/>
                      <w:rPr>
                        <w:iCs/>
                        <w:sz w:val="22"/>
                        <w:szCs w:val="22"/>
                      </w:rPr>
                    </w:pPr>
                    <w:r>
                      <w:rPr>
                        <w:iCs/>
                        <w:sz w:val="22"/>
                        <w:szCs w:val="22"/>
                      </w:rPr>
                      <w:t>Vienų metų etato ekvivalentai</w:t>
                    </w:r>
                  </w:p>
                </w:tc>
                <w:tc>
                  <w:tcPr>
                    <w:tcW w:w="3688" w:type="dxa"/>
                    <w:vAlign w:val="center"/>
                  </w:tcPr>
                  <w:p>
                    <w:pPr>
                      <w:jc w:val="center"/>
                      <w:rPr>
                        <w:iCs/>
                        <w:sz w:val="22"/>
                        <w:szCs w:val="22"/>
                      </w:rPr>
                    </w:pPr>
                    <w:r>
                      <w:rPr>
                        <w:iCs/>
                        <w:sz w:val="22"/>
                        <w:szCs w:val="22"/>
                      </w:rPr>
                      <w:t>75</w:t>
                    </w:r>
                  </w:p>
                </w:tc>
              </w:tr>
              <w:tr>
                <w:trPr>
                  <w:trHeight w:val="725"/>
                </w:trPr>
                <w:tc>
                  <w:tcPr>
                    <w:tcW w:w="3688" w:type="dxa"/>
                    <w:vAlign w:val="center"/>
                  </w:tcPr>
                  <w:p>
                    <w:pPr>
                      <w:jc w:val="center"/>
                      <w:rPr>
                        <w:sz w:val="22"/>
                        <w:szCs w:val="22"/>
                      </w:rPr>
                    </w:pPr>
                    <w:r>
                      <w:rPr>
                        <w:sz w:val="22"/>
                        <w:szCs w:val="22"/>
                      </w:rPr>
                      <w:t>Nominalioji mokslinių tyrimų ir inovacijų įrangos vertė</w:t>
                    </w:r>
                  </w:p>
                </w:tc>
                <w:tc>
                  <w:tcPr>
                    <w:tcW w:w="3688" w:type="dxa"/>
                    <w:vAlign w:val="center"/>
                  </w:tcPr>
                  <w:p>
                    <w:pPr>
                      <w:jc w:val="center"/>
                      <w:rPr>
                        <w:sz w:val="22"/>
                        <w:szCs w:val="22"/>
                      </w:rPr>
                    </w:pPr>
                    <w:r>
                      <w:rPr>
                        <w:sz w:val="22"/>
                        <w:szCs w:val="22"/>
                      </w:rPr>
                      <w:t>P-12-001-01-02-01-03</w:t>
                    </w:r>
                  </w:p>
                  <w:p>
                    <w:pPr>
                      <w:jc w:val="center"/>
                      <w:rPr>
                        <w:sz w:val="22"/>
                        <w:szCs w:val="22"/>
                      </w:rPr>
                    </w:pPr>
                    <w:r>
                      <w:rPr>
                        <w:sz w:val="22"/>
                        <w:szCs w:val="22"/>
                      </w:rPr>
                      <w:t>(P.B.2.0008)</w:t>
                    </w:r>
                  </w:p>
                </w:tc>
                <w:tc>
                  <w:tcPr>
                    <w:tcW w:w="3688" w:type="dxa"/>
                    <w:vAlign w:val="center"/>
                  </w:tcPr>
                  <w:p>
                    <w:pPr>
                      <w:jc w:val="center"/>
                      <w:rPr>
                        <w:iCs/>
                        <w:sz w:val="22"/>
                        <w:szCs w:val="22"/>
                      </w:rPr>
                    </w:pPr>
                    <w:r>
                      <w:rPr>
                        <w:iCs/>
                        <w:sz w:val="22"/>
                        <w:szCs w:val="22"/>
                      </w:rPr>
                      <w:t>Eurai</w:t>
                    </w:r>
                  </w:p>
                </w:tc>
                <w:tc>
                  <w:tcPr>
                    <w:tcW w:w="3688" w:type="dxa"/>
                    <w:vAlign w:val="center"/>
                  </w:tcPr>
                  <w:p>
                    <w:pPr>
                      <w:jc w:val="center"/>
                      <w:rPr>
                        <w:iCs/>
                        <w:sz w:val="22"/>
                        <w:szCs w:val="22"/>
                      </w:rPr>
                    </w:pPr>
                    <w:r>
                      <w:rPr>
                        <w:iCs/>
                        <w:sz w:val="22"/>
                        <w:szCs w:val="22"/>
                      </w:rPr>
                      <w:t>3 477 749,00</w:t>
                    </w:r>
                  </w:p>
                </w:tc>
              </w:tr>
              <w:tr>
                <w:trPr>
                  <w:trHeight w:val="725"/>
                </w:trPr>
                <w:tc>
                  <w:tcPr>
                    <w:tcW w:w="3688" w:type="dxa"/>
                    <w:vAlign w:val="center"/>
                  </w:tcPr>
                  <w:p>
                    <w:pPr>
                      <w:jc w:val="center"/>
                      <w:rPr>
                        <w:sz w:val="22"/>
                        <w:szCs w:val="22"/>
                      </w:rPr>
                    </w:pPr>
                    <w:r>
                      <w:rPr>
                        <w:sz w:val="22"/>
                        <w:szCs w:val="22"/>
                      </w:rPr>
                      <w:t xml:space="preserve">Pateiktos patentų paraiškos  </w:t>
                    </w:r>
                  </w:p>
                </w:tc>
                <w:tc>
                  <w:tcPr>
                    <w:tcW w:w="3688" w:type="dxa"/>
                    <w:vAlign w:val="center"/>
                  </w:tcPr>
                  <w:p>
                    <w:pPr>
                      <w:jc w:val="center"/>
                      <w:rPr>
                        <w:sz w:val="22"/>
                        <w:szCs w:val="22"/>
                      </w:rPr>
                    </w:pPr>
                    <w:r>
                      <w:rPr>
                        <w:sz w:val="22"/>
                        <w:szCs w:val="22"/>
                      </w:rPr>
                      <w:t>R-12-001-01-02-01-04</w:t>
                    </w:r>
                  </w:p>
                  <w:p>
                    <w:pPr>
                      <w:jc w:val="center"/>
                      <w:rPr>
                        <w:sz w:val="22"/>
                        <w:szCs w:val="22"/>
                      </w:rPr>
                    </w:pPr>
                    <w:r>
                      <w:rPr>
                        <w:sz w:val="22"/>
                        <w:szCs w:val="22"/>
                      </w:rPr>
                      <w:t>(R.B.2.2006)</w:t>
                    </w:r>
                  </w:p>
                </w:tc>
                <w:tc>
                  <w:tcPr>
                    <w:tcW w:w="3688" w:type="dxa"/>
                    <w:vAlign w:val="center"/>
                  </w:tcPr>
                  <w:p>
                    <w:pPr>
                      <w:jc w:val="center"/>
                      <w:rPr>
                        <w:iCs/>
                        <w:sz w:val="22"/>
                        <w:szCs w:val="22"/>
                      </w:rPr>
                    </w:pPr>
                    <w:r>
                      <w:rPr>
                        <w:iCs/>
                        <w:sz w:val="22"/>
                        <w:szCs w:val="22"/>
                      </w:rPr>
                      <w:t>Patentų paraiškos </w:t>
                    </w:r>
                  </w:p>
                </w:tc>
                <w:tc>
                  <w:tcPr>
                    <w:tcW w:w="3688" w:type="dxa"/>
                    <w:vAlign w:val="center"/>
                  </w:tcPr>
                  <w:p>
                    <w:pPr>
                      <w:jc w:val="center"/>
                      <w:rPr>
                        <w:iCs/>
                        <w:sz w:val="22"/>
                        <w:szCs w:val="22"/>
                      </w:rPr>
                    </w:pPr>
                    <w:r>
                      <w:rPr>
                        <w:iCs/>
                        <w:sz w:val="22"/>
                        <w:szCs w:val="22"/>
                      </w:rPr>
                      <w:t>5</w:t>
                    </w:r>
                  </w:p>
                </w:tc>
              </w:tr>
              <w:tr>
                <w:trPr>
                  <w:trHeight w:val="725"/>
                </w:trPr>
                <w:tc>
                  <w:tcPr>
                    <w:tcW w:w="3688" w:type="dxa"/>
                    <w:vAlign w:val="center"/>
                  </w:tcPr>
                  <w:p>
                    <w:pPr>
                      <w:jc w:val="center"/>
                      <w:rPr>
                        <w:sz w:val="22"/>
                        <w:szCs w:val="22"/>
                      </w:rPr>
                    </w:pPr>
                    <w:r>
                      <w:rPr>
                        <w:sz w:val="22"/>
                        <w:szCs w:val="22"/>
                      </w:rPr>
                      <w:t>Remiamų projektų leidiniai</w:t>
                    </w:r>
                  </w:p>
                </w:tc>
                <w:tc>
                  <w:tcPr>
                    <w:tcW w:w="3688" w:type="dxa"/>
                    <w:vAlign w:val="center"/>
                  </w:tcPr>
                  <w:p>
                    <w:pPr>
                      <w:jc w:val="center"/>
                      <w:rPr>
                        <w:sz w:val="22"/>
                        <w:szCs w:val="22"/>
                      </w:rPr>
                    </w:pPr>
                    <w:r>
                      <w:rPr>
                        <w:sz w:val="22"/>
                        <w:szCs w:val="22"/>
                      </w:rPr>
                      <w:t>R-12-001-01-02-01-05</w:t>
                    </w:r>
                  </w:p>
                  <w:p>
                    <w:pPr>
                      <w:jc w:val="center"/>
                      <w:rPr>
                        <w:sz w:val="22"/>
                        <w:szCs w:val="22"/>
                      </w:rPr>
                    </w:pPr>
                    <w:r>
                      <w:rPr>
                        <w:sz w:val="22"/>
                        <w:szCs w:val="22"/>
                      </w:rPr>
                      <w:t>(R.B.2.2008)</w:t>
                    </w:r>
                  </w:p>
                </w:tc>
                <w:tc>
                  <w:tcPr>
                    <w:tcW w:w="3688" w:type="dxa"/>
                    <w:vAlign w:val="center"/>
                  </w:tcPr>
                  <w:p>
                    <w:pPr>
                      <w:jc w:val="center"/>
                      <w:rPr>
                        <w:iCs/>
                        <w:sz w:val="22"/>
                        <w:szCs w:val="22"/>
                      </w:rPr>
                    </w:pPr>
                    <w:r>
                      <w:rPr>
                        <w:iCs/>
                        <w:sz w:val="22"/>
                        <w:szCs w:val="22"/>
                      </w:rPr>
                      <w:t>Leidiniai</w:t>
                    </w:r>
                  </w:p>
                </w:tc>
                <w:tc>
                  <w:tcPr>
                    <w:tcW w:w="3688" w:type="dxa"/>
                    <w:vAlign w:val="center"/>
                  </w:tcPr>
                  <w:p>
                    <w:pPr>
                      <w:jc w:val="center"/>
                      <w:rPr>
                        <w:iCs/>
                        <w:sz w:val="22"/>
                        <w:szCs w:val="22"/>
                      </w:rPr>
                    </w:pPr>
                    <w:r>
                      <w:rPr>
                        <w:iCs/>
                        <w:sz w:val="22"/>
                        <w:szCs w:val="22"/>
                      </w:rPr>
                      <w:t>38</w:t>
                    </w:r>
                  </w:p>
                </w:tc>
              </w:tr>
            </w:tbl>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 w:val="22"/>
                        <w:szCs w:val="22"/>
                      </w:rPr>
                    </w:pPr>
                    <w:r>
                      <w:rPr>
                        <w:b/>
                        <w:bCs/>
                        <w:color w:val="000000"/>
                        <w:sz w:val="22"/>
                        <w:szCs w:val="22"/>
                      </w:rPr>
                      <w:t xml:space="preserve">3. Lietuvos Respublikos švietimo, mokslo ir sporto ministerijos (toliau – Ministerija) stebėsenos rodiklių aprašymo kortelės </w:t>
                    </w:r>
                  </w:p>
                </w:tc>
              </w:tr>
              <w:tr>
                <w:trPr>
                  <w:trHeight w:val="315"/>
                </w:trPr>
                <w:tc>
                  <w:tcPr>
                    <w:tcW w:w="15158" w:type="dxa"/>
                  </w:tcPr>
                  <w:p>
                    <w:pPr>
                      <w:jc w:val="both"/>
                      <w:rPr>
                        <w:i/>
                        <w:sz w:val="22"/>
                        <w:szCs w:val="22"/>
                      </w:rPr>
                    </w:pPr>
                    <w:r>
                      <w:rPr>
                        <w:sz w:val="22"/>
                        <w:szCs w:val="22"/>
                      </w:rPr>
                      <w:t xml:space="preserve">3.1. Stebėsenos rodiklių aprašymo kortelės pateiktos </w:t>
                    </w:r>
                    <w:r>
                      <w:rPr>
                        <w:iCs/>
                        <w:sz w:val="22"/>
                        <w:szCs w:val="22"/>
                      </w:rPr>
                      <w:t xml:space="preserve">šiuo Lietuvos Respublikos švietimo, mokslo ir sporto ministro įsakymu patvirtinto </w:t>
                    </w:r>
                    <w:r>
                      <w:rPr>
                        <w:sz w:val="22"/>
                        <w:szCs w:val="22"/>
                      </w:rPr>
                      <w:t>2022–2030 metų plėtros programos valdytojos Lietuvos Respublikos švietimo, mokslo ir sporto ministerijos mokslo plėtros programos pažangos priemonės Nr. 12-001-01-02-01 „Stiprinti inovacijų ekosistemas mokslo centruose“ aprašo 16 priede.</w:t>
                    </w:r>
                  </w:p>
                </w:tc>
              </w:tr>
            </w:tbl>
            <w:p>
              <w:pPr>
                <w:jc w:val="center"/>
                <w:rPr>
                  <w:b/>
                  <w:bCs/>
                  <w:szCs w:val="24"/>
                </w:rPr>
              </w:pPr>
            </w:p>
          </w:sdtContent>
        </w:sdt>
        <w:sdt>
          <w:sdtPr>
            <w:alias w:val="skyrius"/>
            <w:tag w:val="part_66f6d4b0acea4411a4f64d189d9dd1f1"/>
            <w:lock w:val="sdtLocked"/>
            <w:richText/>
          </w:sdtPr>
          <w:sdtContent>
            <w:p>
              <w:pPr>
                <w:jc w:val="center"/>
                <w:rPr>
                  <w:b/>
                  <w:bCs/>
                  <w:szCs w:val="24"/>
                </w:rPr>
              </w:pPr>
              <w:sdt>
                <w:sdtPr>
                  <w:alias w:val="Numeris"/>
                  <w:tag w:val="nr_66f6d4b0acea4411a4f64d189d9dd1f1"/>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66f6d4b0acea4411a4f64d189d9dd1f1"/>
                  <w:lock w:val="sdtLocked"/>
                  <w:richText/>
                </w:sdtPr>
                <w:sdtContent>
                  <w:r>
                    <w:rPr>
                      <w:b/>
                      <w:szCs w:val="24"/>
                    </w:rPr>
                    <w:t>SPECIALIEJI FINANSAVIMO REIKALAVIMAI</w:t>
                  </w:r>
                </w:sdtContent>
              </w:sdt>
            </w:p>
            <w:p>
              <w:pPr>
                <w:rPr>
                  <w:b/>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rPr>
                        <w:sz w:val="22"/>
                        <w:szCs w:val="22"/>
                      </w:rPr>
                    </w:pPr>
                    <w:r>
                      <w:rPr>
                        <w:b/>
                        <w:bCs/>
                        <w:sz w:val="22"/>
                        <w:szCs w:val="22"/>
                      </w:rPr>
                      <w:t>4. Taikomi teisės aktai</w:t>
                    </w:r>
                    <w:r>
                      <w:rPr>
                        <w:sz w:val="22"/>
                        <w:szCs w:val="22"/>
                      </w:rPr>
                      <w:t xml:space="preserve"> </w:t>
                    </w:r>
                    <w:r>
                      <w:rPr>
                        <w:b/>
                        <w:bCs/>
                        <w:sz w:val="22"/>
                        <w:szCs w:val="22"/>
                      </w:rPr>
                      <w:t>ir, jei taikoma, Apraše vartojamos sąvokos</w:t>
                    </w:r>
                  </w:p>
                </w:tc>
              </w:tr>
              <w:tr>
                <w:tc>
                  <w:tcPr>
                    <w:tcW w:w="15134" w:type="dxa"/>
                  </w:tcPr>
                  <w:p>
                    <w:pPr>
                      <w:jc w:val="both"/>
                      <w:rPr>
                        <w:iCs/>
                        <w:sz w:val="22"/>
                        <w:szCs w:val="22"/>
                      </w:rPr>
                    </w:pPr>
                    <w:r>
                      <w:rPr>
                        <w:iCs/>
                        <w:sz w:val="22"/>
                        <w:szCs w:val="22"/>
                      </w:rPr>
                      <w:t>4.1. 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švietimo, mokslo ir sporto ministerijos mokslo plėtros programos pažangos priemonės Nr. 12-001-01-02-01 „Stiprinti inovacijų ekosistemas mokslo centruose“ projektų finansavimo sąlygų aprašą Nr. 4 (toliau – Aprašas):</w:t>
                    </w:r>
                  </w:p>
                  <w:p>
                    <w:pPr>
                      <w:jc w:val="both"/>
                      <w:rPr>
                        <w:iCs/>
                        <w:sz w:val="22"/>
                        <w:szCs w:val="22"/>
                      </w:rPr>
                    </w:pPr>
                    <w:r>
                      <w:rPr>
                        <w:iCs/>
                        <w:sz w:val="22"/>
                        <w:szCs w:val="22"/>
                      </w:rPr>
                      <w:t xml:space="preserve">4.1.1. 2021 m. birželio 24 d. Europos Parlamento ir Tarybos reglamentas </w:t>
                    </w:r>
                    <w:fldSimple w:instr="HYPERLINK http://eur-lex.europa.eu/legal-content/LIT/TXT/?uri=CELEX:32021R1060&amp;locale=lt \t _blank">
                      <w:r>
                        <w:rPr>
                          <w:iCs/>
                          <w:sz w:val="22"/>
                          <w:szCs w:val="22"/>
                          <w:u w:val="single"/>
                          <w:color w:val="0000FF" w:themeColor="hyperlink"/>
                        </w:rPr>
                        <w:t>(ES) 2021/1060</w:t>
                      </w:r>
                    </w:fldSimple>
                    <w:r>
                      <w:rPr>
                        <w:iCs/>
                        <w:sz w:val="22"/>
                        <w:szCs w:val="22"/>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w:t>
                    </w:r>
                    <w:fldSimple w:instr="HYPERLINK http://eur-lex.europa.eu/legal-content/LIT/TXT/?uri=CELEX:32024R1351&amp;locale=lt \t _blank">
                      <w:r>
                        <w:rPr>
                          <w:iCs/>
                          <w:sz w:val="22"/>
                          <w:szCs w:val="22"/>
                          <w:u w:val="single"/>
                          <w:color w:val="0000FF" w:themeColor="hyperlink"/>
                        </w:rPr>
                        <w:t>(ES) 2024/1351</w:t>
                      </w:r>
                    </w:fldSimple>
                    <w:r>
                      <w:rPr>
                        <w:iCs/>
                        <w:sz w:val="22"/>
                        <w:szCs w:val="22"/>
                      </w:rPr>
                      <w:t>;</w:t>
                    </w:r>
                  </w:p>
                  <w:p>
                    <w:pPr>
                      <w:jc w:val="both"/>
                      <w:rPr>
                        <w:iCs/>
                        <w:sz w:val="22"/>
                        <w:szCs w:val="22"/>
                      </w:rPr>
                    </w:pPr>
                    <w:r>
                      <w:rPr>
                        <w:iCs/>
                        <w:sz w:val="22"/>
                        <w:szCs w:val="22"/>
                      </w:rPr>
                      <w:t>4.1.2. Aštuonioliktosios Lietuvos Respublikos Vyriausybės programa, patvirtinta Lietuvos Respublikos Seimo 2020 m. gruodžio 11 d. nutarimu Nr. XIV-72 „Dėl Aštuonioliktosios Lietuvos Respublikos Vyriausybės programos“;</w:t>
                    </w:r>
                  </w:p>
                  <w:p>
                    <w:pPr>
                      <w:jc w:val="both"/>
                      <w:rPr>
                        <w:iCs/>
                        <w:sz w:val="22"/>
                        <w:szCs w:val="22"/>
                      </w:rPr>
                    </w:pPr>
                    <w:r>
                      <w:rPr>
                        <w:iCs/>
                        <w:sz w:val="22"/>
                        <w:szCs w:val="22"/>
                      </w:rPr>
                      <w:t xml:space="preserve">4.1.3.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pPr>
                      <w:jc w:val="both"/>
                      <w:rPr>
                        <w:iCs/>
                        <w:sz w:val="22"/>
                        <w:szCs w:val="22"/>
                      </w:rPr>
                    </w:pPr>
                    <w:r>
                      <w:rPr>
                        <w:iCs/>
                        <w:sz w:val="22"/>
                        <w:szCs w:val="22"/>
                      </w:rPr>
                      <w:t>4.1.4.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jc w:val="both"/>
                      <w:rPr>
                        <w:iCs/>
                        <w:sz w:val="22"/>
                        <w:szCs w:val="22"/>
                      </w:rPr>
                    </w:pPr>
                    <w:r>
                      <w:rPr>
                        <w:iCs/>
                        <w:sz w:val="22"/>
                        <w:szCs w:val="22"/>
                      </w:rPr>
                      <w:t>4.1.5. Strateginio valdymo metodika, patvirtinta Lietuvos Respublikos Vyriausybės 2021 m. balandžio 28 d. nutarimu Nr. 292 „Dėl Strateginio valdymo metodikos patvirtinimo“;</w:t>
                    </w:r>
                  </w:p>
                  <w:p>
                    <w:pPr>
                      <w:jc w:val="both"/>
                      <w:rPr>
                        <w:iCs/>
                        <w:sz w:val="22"/>
                        <w:szCs w:val="22"/>
                      </w:rPr>
                    </w:pPr>
                    <w:r>
                      <w:rPr>
                        <w:iCs/>
                        <w:sz w:val="22"/>
                        <w:szCs w:val="22"/>
                      </w:rPr>
                      <w:t xml:space="preserve">4.1.6. 2014 m. birželio 17 d. Europos Komisijos reglamentas </w:t>
                    </w:r>
                    <w:fldSimple w:instr="HYPERLINK http://eur-lex.europa.eu/legal-content/LIT/TXT/?uri=CELEX:32014R0651&amp;locale=lt \t _blank">
                      <w:r>
                        <w:rPr>
                          <w:iCs/>
                          <w:sz w:val="22"/>
                          <w:szCs w:val="22"/>
                          <w:u w:val="single"/>
                          <w:color w:val="0000FF" w:themeColor="hyperlink"/>
                        </w:rPr>
                        <w:t>(ES) Nr. 651/2014</w:t>
                      </w:r>
                    </w:fldSimple>
                    <w:r>
                      <w:rPr>
                        <w:iCs/>
                        <w:sz w:val="22"/>
                        <w:szCs w:val="22"/>
                      </w:rPr>
                      <w:t xml:space="preserve">, kuriuo tam tikrų kategorijų pagalba skelbiama suderinama su vidaus rinka taikant Sutarties 107 ir 108 straipsnius, su paskutiniais pakeitimais, padarytais 2023 m. birželio 23 d. Komisijos reglamentu </w:t>
                    </w:r>
                    <w:fldSimple w:instr="HYPERLINK http://eur-lex.europa.eu/legal-content/LIT/TXT/?uri=CELEX:33315R2023&amp;locale=lt \t _blank">
                      <w:r>
                        <w:rPr>
                          <w:iCs/>
                          <w:sz w:val="22"/>
                          <w:szCs w:val="22"/>
                          <w:u w:val="single"/>
                          <w:color w:val="0000FF" w:themeColor="hyperlink"/>
                        </w:rPr>
                        <w:t>(ES) Nr.2023/1315</w:t>
                      </w:r>
                    </w:fldSimple>
                    <w:r>
                      <w:rPr>
                        <w:iCs/>
                        <w:sz w:val="22"/>
                        <w:szCs w:val="22"/>
                      </w:rPr>
                      <w:t xml:space="preserve"> (toliau – BBIR);</w:t>
                    </w:r>
                  </w:p>
                  <w:p>
                    <w:pPr>
                      <w:jc w:val="both"/>
                      <w:rPr>
                        <w:iCs/>
                        <w:sz w:val="22"/>
                        <w:szCs w:val="22"/>
                      </w:rPr>
                    </w:pPr>
                    <w:r>
                      <w:rPr>
                        <w:iCs/>
                        <w:sz w:val="22"/>
                        <w:szCs w:val="22"/>
                      </w:rPr>
                      <w:t>4.1.7. 2022 m. gruodžio 21 d. Europos Komisijos komunikatas Nr. 2022/C414/01 „Valstybės pagalbos moksliniams tyrimams, technologinei plėtrai ir inovacijoms sistema“ (toliau – Komunikatas);</w:t>
                    </w:r>
                  </w:p>
                  <w:p>
                    <w:pPr>
                      <w:jc w:val="both"/>
                      <w:rPr>
                        <w:iCs/>
                        <w:sz w:val="22"/>
                        <w:szCs w:val="22"/>
                      </w:rPr>
                    </w:pPr>
                    <w:r>
                      <w:rPr>
                        <w:iCs/>
                        <w:sz w:val="22"/>
                        <w:szCs w:val="22"/>
                      </w:rPr>
                      <w:t xml:space="preserve">4.1.8. 2021 m. balandžio 28 d. Europos Parlamento ir Tarybos reglamentas </w:t>
                    </w:r>
                    <w:fldSimple w:instr="HYPERLINK http://eur-lex.europa.eu/legal-content/LIT/TXT/?uri=CELEX:32021R0695&amp;locale=lt \t _blank">
                      <w:r>
                        <w:rPr>
                          <w:iCs/>
                          <w:sz w:val="22"/>
                          <w:szCs w:val="22"/>
                          <w:u w:val="single"/>
                          <w:color w:val="0000FF" w:themeColor="hyperlink"/>
                        </w:rPr>
                        <w:t>(ES) 2021/695</w:t>
                      </w:r>
                    </w:fldSimple>
                    <w:r>
                      <w:rPr>
                        <w:iCs/>
                        <w:sz w:val="22"/>
                        <w:szCs w:val="22"/>
                      </w:rPr>
                      <w:t xml:space="preserve">, kuriuo sukuriama bendroji mokslinių tyrimų ir inovacijų programa „Europos horizontas“, nustatomos su ja susijusios dalyvavimo ir sklaidos taisyklės ir panaikinami reglamentai </w:t>
                    </w:r>
                    <w:fldSimple w:instr="HYPERLINK http://eur-lex.europa.eu/legal-content/LIT/TXT/?uri=CELEX:32013R1290&amp;locale=lt \t _blank">
                      <w:r>
                        <w:rPr>
                          <w:iCs/>
                          <w:sz w:val="22"/>
                          <w:szCs w:val="22"/>
                          <w:u w:val="single"/>
                          <w:color w:val="0000FF" w:themeColor="hyperlink"/>
                        </w:rPr>
                        <w:t>(ES) Nr. 1290/2013</w:t>
                      </w:r>
                    </w:fldSimple>
                    <w:r>
                      <w:rPr>
                        <w:iCs/>
                        <w:sz w:val="22"/>
                        <w:szCs w:val="22"/>
                      </w:rPr>
                      <w:t xml:space="preserve"> ir </w:t>
                    </w:r>
                    <w:fldSimple w:instr="HYPERLINK http://eur-lex.europa.eu/legal-content/LIT/TXT/?uri=CELEX:32013R1291&amp;locale=lt \t _blank">
                      <w:r>
                        <w:rPr>
                          <w:iCs/>
                          <w:sz w:val="22"/>
                          <w:szCs w:val="22"/>
                          <w:u w:val="single"/>
                          <w:color w:val="0000FF" w:themeColor="hyperlink"/>
                        </w:rPr>
                        <w:t>(ES) Nr. 1291/2013</w:t>
                      </w:r>
                    </w:fldSimple>
                    <w:r>
                      <w:rPr>
                        <w:iCs/>
                        <w:sz w:val="22"/>
                        <w:szCs w:val="22"/>
                      </w:rPr>
                      <w:t>;</w:t>
                    </w:r>
                  </w:p>
                  <w:p>
                    <w:pPr>
                      <w:jc w:val="both"/>
                      <w:rPr>
                        <w:iCs/>
                        <w:sz w:val="22"/>
                        <w:szCs w:val="22"/>
                      </w:rPr>
                    </w:pPr>
                    <w:r>
                      <w:rPr>
                        <w:iCs/>
                        <w:sz w:val="22"/>
                        <w:szCs w:val="22"/>
                      </w:rPr>
                      <w:t xml:space="preserve">4.1.9. 2016 m. liepos 19 d. Europos Komisijos pranešimas dėl </w:t>
                    </w:r>
                    <w:r>
                      <w:rPr>
                        <w:i/>
                        <w:iCs/>
                        <w:sz w:val="22"/>
                        <w:szCs w:val="22"/>
                      </w:rPr>
                      <w:t>Sutarties</w:t>
                    </w:r>
                    <w:r>
                      <w:rPr>
                        <w:iCs/>
                        <w:sz w:val="22"/>
                        <w:szCs w:val="22"/>
                      </w:rPr>
                      <w:t xml:space="preserve"> </w:t>
                    </w:r>
                    <w:r>
                      <w:rPr>
                        <w:i/>
                        <w:iCs/>
                        <w:sz w:val="22"/>
                        <w:szCs w:val="22"/>
                      </w:rPr>
                      <w:t>dėl</w:t>
                    </w:r>
                    <w:r>
                      <w:rPr>
                        <w:iCs/>
                        <w:sz w:val="22"/>
                        <w:szCs w:val="22"/>
                      </w:rPr>
                      <w:t xml:space="preserve"> </w:t>
                    </w:r>
                    <w:r>
                      <w:rPr>
                        <w:i/>
                        <w:iCs/>
                        <w:sz w:val="22"/>
                        <w:szCs w:val="22"/>
                      </w:rPr>
                      <w:t>Europos Sąjungos veikimo 107 straipsnio 1 dalyje vartojamos valstybės pagalbos sąvokos</w:t>
                    </w:r>
                    <w:r>
                      <w:rPr>
                        <w:iCs/>
                        <w:sz w:val="22"/>
                        <w:szCs w:val="22"/>
                      </w:rPr>
                      <w:t xml:space="preserve"> (</w:t>
                    </w:r>
                    <w:r>
                      <w:rPr>
                        <w:i/>
                        <w:iCs/>
                        <w:sz w:val="22"/>
                        <w:szCs w:val="22"/>
                      </w:rPr>
                      <w:t>2016</w:t>
                    </w:r>
                    <w:r>
                      <w:rPr>
                        <w:iCs/>
                        <w:sz w:val="22"/>
                        <w:szCs w:val="22"/>
                      </w:rPr>
                      <w:t>/</w:t>
                    </w:r>
                    <w:r>
                      <w:rPr>
                        <w:i/>
                        <w:iCs/>
                        <w:sz w:val="22"/>
                        <w:szCs w:val="22"/>
                      </w:rPr>
                      <w:t>C 262/01</w:t>
                    </w:r>
                    <w:r>
                      <w:rPr>
                        <w:iCs/>
                        <w:sz w:val="22"/>
                        <w:szCs w:val="22"/>
                      </w:rPr>
                      <w:t>) (toliau – Pranešimas);</w:t>
                    </w:r>
                  </w:p>
                  <w:p>
                    <w:pPr>
                      <w:jc w:val="both"/>
                      <w:rPr>
                        <w:iCs/>
                        <w:sz w:val="22"/>
                        <w:szCs w:val="22"/>
                      </w:rPr>
                    </w:pPr>
                    <w:r>
                      <w:rPr>
                        <w:iCs/>
                        <w:sz w:val="22"/>
                        <w:szCs w:val="22"/>
                      </w:rPr>
                      <w:t xml:space="preserve">4.1.10. 2022–2030 m. plėtros programos valdytojos Lietuvos Respublikos švietimo, mokslo ir sporto ministerijos mokslo plėtros programos pažangos priemonės                     Nr. 12-001-01-02-01 „Stiprinti inovacijų ekosistemas mokslo centruose“ aprašas, patvirtintas šiuo Lietuvos Respublikos švietimo, mokslo ir sporto ministro įsakymu;</w:t>
                    </w:r>
                  </w:p>
                  <w:p>
                    <w:pPr>
                      <w:jc w:val="both"/>
                      <w:rPr>
                        <w:iCs/>
                        <w:sz w:val="22"/>
                        <w:szCs w:val="22"/>
                      </w:rPr>
                    </w:pPr>
                    <w:r>
                      <w:rPr>
                        <w:iCs/>
                        <w:sz w:val="22"/>
                        <w:szCs w:val="22"/>
                      </w:rPr>
                      <w:t>4.1.11.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 w:val="22"/>
                        <w:szCs w:val="22"/>
                      </w:rPr>
                    </w:pPr>
                    <w:r>
                      <w:rPr>
                        <w:iCs/>
                        <w:sz w:val="22"/>
                        <w:szCs w:val="22"/>
                      </w:rPr>
                      <w:t>4.1.12. Lietuvos Respublikos mokslo ir studijų įstatymas.</w:t>
                    </w:r>
                  </w:p>
                  <w:p>
                    <w:pPr>
                      <w:jc w:val="both"/>
                      <w:rPr>
                        <w:iCs/>
                        <w:sz w:val="22"/>
                        <w:szCs w:val="22"/>
                      </w:rPr>
                    </w:pPr>
                    <w:r>
                      <w:rPr>
                        <w:iCs/>
                        <w:sz w:val="22"/>
                        <w:szCs w:val="22"/>
                      </w:rPr>
                      <w:t xml:space="preserve">4.2. Apraše vartojamos sąvokos suprantamos taip, kaip jos apibrėžtos Lietuvos Respublikos strateginio valdymo įstatyme, Mokslo ir studijų įstatyme, Strateginio valdymo metodikoje ir kituose Aprašo 4.1 papunktyje paminėtuose teisės aktuose. </w:t>
                    </w:r>
                  </w:p>
                </w:tc>
              </w:tr>
              <w:tr>
                <w:tc>
                  <w:tcPr>
                    <w:tcW w:w="15134" w:type="dxa"/>
                  </w:tcPr>
                  <w:p>
                    <w:pPr>
                      <w:rPr>
                        <w:bCs/>
                        <w:sz w:val="22"/>
                        <w:szCs w:val="22"/>
                      </w:rPr>
                    </w:pPr>
                    <w:r>
                      <w:rPr>
                        <w:b/>
                        <w:sz w:val="22"/>
                        <w:szCs w:val="22"/>
                      </w:rPr>
                      <w:t>5. Reikalavimai projektams, pareiškėjams ir partneriams</w:t>
                    </w:r>
                  </w:p>
                </w:tc>
              </w:tr>
              <w:tr>
                <w:trPr>
                  <w:trHeight w:val="1833"/>
                </w:trPr>
                <w:tc>
                  <w:tcPr>
                    <w:tcW w:w="15134" w:type="dxa"/>
                  </w:tcPr>
                  <w:p>
                    <w:pPr>
                      <w:jc w:val="both"/>
                      <w:rPr>
                        <w:sz w:val="22"/>
                        <w:szCs w:val="22"/>
                      </w:rPr>
                    </w:pPr>
                    <w:r>
                      <w:rPr>
                        <w:sz w:val="22"/>
                        <w:szCs w:val="22"/>
                      </w:rPr>
                      <w:t>5.1. Projektų atrankos būdas – planavimo.</w:t>
                    </w:r>
                  </w:p>
                  <w:p>
                    <w:pPr>
                      <w:jc w:val="both"/>
                      <w:rPr>
                        <w:sz w:val="22"/>
                        <w:szCs w:val="22"/>
                      </w:rPr>
                    </w:pPr>
                    <w:r>
                      <w:rPr>
                        <w:sz w:val="22"/>
                        <w:szCs w:val="22"/>
                      </w:rPr>
                      <w:t>5.2. Galimi pareiškėjai – Vytauto Didžiojo universitetas, Kauno technologijos universitetas (toliau – Pareiškėjai).</w:t>
                    </w:r>
                  </w:p>
                  <w:p>
                    <w:pPr>
                      <w:jc w:val="both"/>
                      <w:rPr>
                        <w:sz w:val="22"/>
                        <w:szCs w:val="22"/>
                      </w:rPr>
                    </w:pPr>
                    <w:r>
                      <w:rPr>
                        <w:sz w:val="22"/>
                        <w:szCs w:val="22"/>
                      </w:rPr>
                      <w:t>5.3. Galimi partneriai – Vilniaus Gedimino technikos universitetas, Vytauto Didžiojo universitetas, Lietuvos sveikatos mokslų universitetas, Kauno technologijos universitetas, valstybės įmonė Valstybinių miškų urėdija.</w:t>
                    </w:r>
                  </w:p>
                  <w:p>
                    <w:pPr>
                      <w:jc w:val="both"/>
                      <w:rPr>
                        <w:sz w:val="22"/>
                        <w:szCs w:val="22"/>
                      </w:rPr>
                    </w:pPr>
                    <w:r>
                      <w:rPr>
                        <w:sz w:val="22"/>
                        <w:szCs w:val="22"/>
                      </w:rPr>
                      <w:t xml:space="preserve">5.4. </w:t>
                    </w:r>
                    <w:r>
                      <w:rPr>
                        <w:iCs/>
                        <w:sz w:val="22"/>
                        <w:szCs w:val="22"/>
                      </w:rPr>
                      <w:t xml:space="preserve">Pagal Aprašą remiama veikla – veikla, numatyta ES mokslinių tyrimų ir inovacijų programos „Europos horizontas“ Susiejimo iniciatyvos (anglų k. </w:t>
                    </w:r>
                    <w:r>
                      <w:rPr>
                        <w:i/>
                        <w:sz w:val="22"/>
                        <w:szCs w:val="22"/>
                      </w:rPr>
                      <w:t>Teaming</w:t>
                    </w:r>
                    <w:r>
                      <w:rPr>
                        <w:iCs/>
                        <w:sz w:val="22"/>
                        <w:szCs w:val="22"/>
                      </w:rPr>
                      <w:t xml:space="preserve">) finansavimo sutartyse. Finansavimas skiriamas siekiant </w:t>
                    </w:r>
                    <w:r>
                      <w:rPr>
                        <w:sz w:val="22"/>
                        <w:szCs w:val="22"/>
                      </w:rPr>
                      <w:t>didinti mokslo tarptautiškumo lygį.</w:t>
                    </w:r>
                    <w:r>
                      <w:rPr>
                        <w:b/>
                        <w:bCs/>
                        <w:sz w:val="22"/>
                        <w:szCs w:val="22"/>
                      </w:rPr>
                      <w:t xml:space="preserve"> </w:t>
                    </w:r>
                    <w:r>
                      <w:rPr>
                        <w:bCs/>
                        <w:sz w:val="22"/>
                        <w:szCs w:val="22"/>
                      </w:rPr>
                      <w:t xml:space="preserve">Tuo tikslu numatomas </w:t>
                    </w:r>
                    <w:r>
                      <w:rPr>
                        <w:iCs/>
                        <w:sz w:val="22"/>
                        <w:szCs w:val="22"/>
                      </w:rPr>
                      <w:t xml:space="preserve">pagal ES mokslinių tyrimų ir inovacijų programos „Europos horizontas“ Susiejimo iniciatyvos (anglų k. </w:t>
                    </w:r>
                    <w:r>
                      <w:rPr>
                        <w:i/>
                        <w:sz w:val="22"/>
                        <w:szCs w:val="22"/>
                      </w:rPr>
                      <w:t>Teaming</w:t>
                    </w:r>
                    <w:r>
                      <w:rPr>
                        <w:iCs/>
                        <w:sz w:val="22"/>
                        <w:szCs w:val="22"/>
                      </w:rPr>
                      <w:t xml:space="preserve">) taisykles atrinkto finansuoti veiksmo bendrafinansavimas </w:t>
                    </w:r>
                    <w:r>
                      <w:rPr>
                        <w:sz w:val="22"/>
                        <w:szCs w:val="22"/>
                      </w:rPr>
                      <w:t>(vertinama pagal Pareiškėjo pateiktuose dokumentuose (Europos Komisijos (toliau – EK) finansavimo sutarties ir jos priedų kopijose) nurodytą informaciją). Finansuojama veiklų dalis, kuriai reikalingas Pareiškėjų ir partnerių kofinansavimas pagal EK finansavimo sutartis.</w:t>
                    </w:r>
                  </w:p>
                  <w:p>
                    <w:pPr>
                      <w:jc w:val="both"/>
                      <w:rPr>
                        <w:iCs/>
                        <w:sz w:val="22"/>
                        <w:szCs w:val="22"/>
                      </w:rPr>
                    </w:pPr>
                    <w:r>
                      <w:rPr>
                        <w:sz w:val="22"/>
                        <w:szCs w:val="22"/>
                      </w:rPr>
                      <w:t xml:space="preserve">5.5. </w:t>
                    </w:r>
                    <w:r>
                      <w:rPr>
                        <w:iCs/>
                        <w:sz w:val="22"/>
                        <w:szCs w:val="22"/>
                      </w:rPr>
                      <w:t xml:space="preserve">Pagal Aprašą projektams įgyvendinti skiriama iki 24 552 000,00 Eur (dvidešimt keturių milijonų penkių šimtų penkiasdešimt dviejų tūkstančių  eurų, 00 ct), iš kurių:</w:t>
                    </w:r>
                  </w:p>
                  <w:p>
                    <w:pPr>
                      <w:jc w:val="both"/>
                      <w:rPr>
                        <w:iCs/>
                        <w:sz w:val="22"/>
                        <w:szCs w:val="22"/>
                      </w:rPr>
                    </w:pPr>
                    <w:r>
                      <w:rPr>
                        <w:sz w:val="22"/>
                        <w:szCs w:val="22"/>
                      </w:rPr>
                      <w:t xml:space="preserve">5.5.1. </w:t>
                    </w:r>
                    <w:r>
                      <w:rPr>
                        <w:iCs/>
                        <w:sz w:val="22"/>
                        <w:szCs w:val="22"/>
                      </w:rPr>
                      <w:t xml:space="preserve">investicijos pagal </w:t>
                    </w:r>
                    <w:r>
                      <w:rPr>
                        <w:sz w:val="22"/>
                        <w:szCs w:val="22"/>
                      </w:rPr>
                      <w:t>intervencinės priemonės sritį</w:t>
                    </w:r>
                    <w:r>
                      <w:rPr>
                        <w:iCs/>
                        <w:sz w:val="22"/>
                        <w:szCs w:val="22"/>
                      </w:rPr>
                      <w:t xml:space="preserve"> 012 „Viešųjų mokslinių tyrimų centrų, aukštojo mokslo įstaigų ir kompetencijos centrų mokslinių tyrimų ir inovacijų veikla, įskaitant tinklaveiką (pramoniniai tyrimai, eksperimentinė plėtra, galimybių studijos“ sudaro iki </w:t>
                    </w:r>
                    <w:r>
                      <w:rPr>
                        <w:sz w:val="22"/>
                        <w:szCs w:val="22"/>
                      </w:rPr>
                      <w:t>17 071 352,00</w:t>
                    </w:r>
                    <w:r>
                      <w:rPr>
                        <w:iCs/>
                        <w:sz w:val="22"/>
                        <w:szCs w:val="22"/>
                      </w:rPr>
                      <w:t xml:space="preserve"> Eur (septyniolikos milijonų septyniasdešimt vieno tūkstančio trijų šimtų penkiasdešimt dviejų eurų, 00 ct), iš kurių:</w:t>
                    </w:r>
                  </w:p>
                  <w:p>
                    <w:pPr>
                      <w:jc w:val="both"/>
                      <w:rPr>
                        <w:iCs/>
                        <w:sz w:val="22"/>
                        <w:szCs w:val="22"/>
                      </w:rPr>
                    </w:pPr>
                    <w:r>
                      <w:rPr>
                        <w:iCs/>
                        <w:sz w:val="22"/>
                        <w:szCs w:val="22"/>
                      </w:rPr>
                      <w:t xml:space="preserve">5.5.1.1. iki 15 401 124,00 Eur (penkiolikos milijonų keturių šimtų vieno tūkstančio šimto dvidešimt keturių eurų, 00 ct) </w:t>
                    </w:r>
                    <w:r>
                      <w:rPr>
                        <w:sz w:val="22"/>
                        <w:szCs w:val="22"/>
                      </w:rPr>
                      <w:t xml:space="preserve">ES fondų </w:t>
                    </w:r>
                    <w:r>
                      <w:rPr>
                        <w:iCs/>
                        <w:sz w:val="22"/>
                        <w:szCs w:val="22"/>
                      </w:rPr>
                      <w:t xml:space="preserve">lėšų, iš kurių Sostinės regionui – iki </w:t>
                    </w:r>
                    <w:r>
                      <w:rPr>
                        <w:sz w:val="22"/>
                        <w:szCs w:val="22"/>
                      </w:rPr>
                      <w:t xml:space="preserve">1 081 023,00 </w:t>
                    </w:r>
                    <w:r>
                      <w:rPr>
                        <w:iCs/>
                        <w:sz w:val="22"/>
                        <w:szCs w:val="22"/>
                      </w:rPr>
                      <w:t>Eur (vieno milijono aštuoniasdešimt vieno tūkstančio dvidešimt trijų eurų, 00 ct) ir Vidurio ir vakarų Lietuvos regionui</w:t>
                    </w:r>
                    <w:r>
                      <w:rPr>
                        <w:sz w:val="22"/>
                        <w:szCs w:val="22"/>
                      </w:rPr>
                      <w:t xml:space="preserve"> </w:t>
                    </w:r>
                    <w:r>
                      <w:rPr>
                        <w:iCs/>
                        <w:sz w:val="22"/>
                        <w:szCs w:val="22"/>
                      </w:rPr>
                      <w:t>14 320 101,00 Eur (keturiolikos milijonų trijų šimtų dvidešimt tūkstančių vieno šimto vieno euro, 00 ct);</w:t>
                    </w:r>
                  </w:p>
                  <w:p>
                    <w:pPr>
                      <w:jc w:val="both"/>
                      <w:rPr>
                        <w:iCs/>
                        <w:sz w:val="22"/>
                        <w:szCs w:val="22"/>
                      </w:rPr>
                    </w:pPr>
                    <w:r>
                      <w:rPr>
                        <w:iCs/>
                        <w:sz w:val="22"/>
                        <w:szCs w:val="22"/>
                      </w:rPr>
                      <w:t xml:space="preserve">5.5.1.2. iki </w:t>
                    </w:r>
                    <w:r>
                      <w:rPr>
                        <w:sz w:val="22"/>
                        <w:szCs w:val="22"/>
                      </w:rPr>
                      <w:t xml:space="preserve">1 670 228,00 </w:t>
                    </w:r>
                    <w:r>
                      <w:rPr>
                        <w:iCs/>
                        <w:sz w:val="22"/>
                        <w:szCs w:val="22"/>
                      </w:rPr>
                      <w:t>Eur (vieno milijono šešių šimtų septyniasdešimt tūkstančių dviejų šimtų dvidešimt aštuonių eurų, 00 ct) ES bendrojo finansavimo lėšų Sostinės regionui;</w:t>
                    </w:r>
                  </w:p>
                  <w:p>
                    <w:pPr>
                      <w:jc w:val="both"/>
                      <w:rPr>
                        <w:iCs/>
                        <w:sz w:val="22"/>
                        <w:szCs w:val="22"/>
                      </w:rPr>
                    </w:pPr>
                    <w:r>
                      <w:rPr>
                        <w:sz w:val="22"/>
                        <w:szCs w:val="22"/>
                      </w:rPr>
                      <w:t xml:space="preserve">5.5.2. </w:t>
                    </w:r>
                    <w:r>
                      <w:rPr>
                        <w:iCs/>
                        <w:sz w:val="22"/>
                        <w:szCs w:val="22"/>
                      </w:rPr>
                      <w:t xml:space="preserve">investicijos pagal </w:t>
                    </w:r>
                    <w:r>
                      <w:rPr>
                        <w:sz w:val="22"/>
                        <w:szCs w:val="22"/>
                      </w:rPr>
                      <w:t xml:space="preserve">intervencinės priemonės sritį </w:t>
                    </w:r>
                    <w:r>
                      <w:rPr>
                        <w:iCs/>
                        <w:sz w:val="22"/>
                        <w:szCs w:val="22"/>
                      </w:rPr>
                      <w:t xml:space="preserve">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w:t>
                    </w:r>
                    <w:r>
                      <w:rPr>
                        <w:sz w:val="22"/>
                        <w:szCs w:val="22"/>
                      </w:rPr>
                      <w:t>7 480 648,00</w:t>
                    </w:r>
                    <w:r>
                      <w:rPr>
                        <w:iCs/>
                        <w:sz w:val="22"/>
                        <w:szCs w:val="22"/>
                      </w:rPr>
                      <w:t xml:space="preserve"> Eur (septynių milijonų keturių šimtų aštuoniasdešimt tūkstančių šešių šimtų keturiasdešimt aštuonių eurų, 00 ct), iš kurių:</w:t>
                    </w:r>
                  </w:p>
                  <w:p>
                    <w:pPr>
                      <w:jc w:val="both"/>
                      <w:rPr>
                        <w:iCs/>
                        <w:sz w:val="22"/>
                        <w:szCs w:val="22"/>
                      </w:rPr>
                    </w:pPr>
                    <w:r>
                      <w:rPr>
                        <w:iCs/>
                        <w:sz w:val="22"/>
                        <w:szCs w:val="22"/>
                      </w:rPr>
                      <w:t xml:space="preserve">5.5.2.1. iki 7 391 073,50 Eur (septynių milijonų trijų šimtų devyniasdešimt vieno tūkstančio septyniasdešimt trijų eurų, 50 ct) </w:t>
                    </w:r>
                    <w:r>
                      <w:rPr>
                        <w:sz w:val="22"/>
                        <w:szCs w:val="22"/>
                      </w:rPr>
                      <w:t xml:space="preserve">ES fondų </w:t>
                    </w:r>
                    <w:r>
                      <w:rPr>
                        <w:iCs/>
                        <w:sz w:val="22"/>
                        <w:szCs w:val="22"/>
                      </w:rPr>
                      <w:t xml:space="preserve">lėšų, iš kurių Sostinės regionui – iki </w:t>
                    </w:r>
                    <w:r>
                      <w:rPr>
                        <w:sz w:val="22"/>
                        <w:szCs w:val="22"/>
                      </w:rPr>
                      <w:t xml:space="preserve">89 574,50 </w:t>
                    </w:r>
                    <w:r>
                      <w:rPr>
                        <w:iCs/>
                        <w:sz w:val="22"/>
                        <w:szCs w:val="22"/>
                      </w:rPr>
                      <w:t>Eur (aštuoniasdešimt devynių tūkstančių penkių šimtų septyniasdešimt keturių eurų, 50 ct) ir Vidurio ir vakarų Lietuvos regionui – iki</w:t>
                    </w:r>
                    <w:r>
                      <w:rPr>
                        <w:sz w:val="22"/>
                        <w:szCs w:val="22"/>
                      </w:rPr>
                      <w:t xml:space="preserve"> </w:t>
                    </w:r>
                    <w:r>
                      <w:rPr>
                        <w:iCs/>
                        <w:sz w:val="22"/>
                        <w:szCs w:val="22"/>
                      </w:rPr>
                      <w:t>7 301 499,00 Eur (septynių milijonų trijų šimtų vieno tūkstančio keturių šimtų devyniasdešimt devynių eurų, 00 ct);</w:t>
                    </w:r>
                  </w:p>
                  <w:p>
                    <w:pPr>
                      <w:jc w:val="both"/>
                      <w:rPr>
                        <w:iCs/>
                        <w:sz w:val="22"/>
                        <w:szCs w:val="22"/>
                      </w:rPr>
                    </w:pPr>
                    <w:r>
                      <w:rPr>
                        <w:iCs/>
                        <w:sz w:val="22"/>
                        <w:szCs w:val="22"/>
                      </w:rPr>
                      <w:t xml:space="preserve">5.5.2.2. iki </w:t>
                    </w:r>
                    <w:r>
                      <w:rPr>
                        <w:sz w:val="22"/>
                        <w:szCs w:val="22"/>
                      </w:rPr>
                      <w:t>89 574,50</w:t>
                    </w:r>
                    <w:r>
                      <w:rPr>
                        <w:iCs/>
                        <w:sz w:val="22"/>
                        <w:szCs w:val="22"/>
                      </w:rPr>
                      <w:t xml:space="preserve"> Eur (aštuoniasdešimt devynių tūkstančių penkių šimtų septyniasdešimt keturių eurų, 50 ct) ES bendrojo finansavimo lėšų Sostinės regionui.</w:t>
                    </w:r>
                  </w:p>
                  <w:p>
                    <w:pPr>
                      <w:jc w:val="both"/>
                      <w:rPr>
                        <w:iCs/>
                        <w:sz w:val="22"/>
                        <w:szCs w:val="22"/>
                      </w:rPr>
                    </w:pPr>
                    <w:r>
                      <w:rPr>
                        <w:iCs/>
                        <w:sz w:val="22"/>
                        <w:szCs w:val="22"/>
                      </w:rPr>
                      <w:t>5.5.3. pagal Aprašą projektams įgyvendinti numatoma skirti ne daugiau kaip 1 399 004,16 Eur (vieną milijoną tris šimtus devyniasdešimt devynis tūkstančius keturis eurus 16 ct) Lietuvos Respublikos valstybės biudžeto lėšų pridėtinės vertės mokesčiui (toliau – PVM) kompensuoti, iš kurių Sostinės regionui – iki 5 400,15 Eur (penkių tūkstančių keturių šimtų eurų, 15 ct) ir Vidurio ir vakarų Lietuvos regionui – iki 1 393 604,01 Eur (vieno milijono trijų šimtų devyniasdešimt trijų tūkstančių šešių šimtų keturių eurų, 01 ct).</w:t>
                    </w:r>
                  </w:p>
                  <w:p>
                    <w:pPr>
                      <w:jc w:val="both"/>
                      <w:rPr>
                        <w:iCs/>
                        <w:sz w:val="22"/>
                        <w:szCs w:val="22"/>
                      </w:rPr>
                    </w:pPr>
                    <w:r>
                      <w:rPr>
                        <w:sz w:val="22"/>
                        <w:szCs w:val="22"/>
                      </w:rPr>
                      <w:t xml:space="preserve">5.6. </w:t>
                    </w:r>
                    <w:r>
                      <w:rPr>
                        <w:iCs/>
                        <w:sz w:val="22"/>
                        <w:szCs w:val="22"/>
                      </w:rPr>
                      <w:t xml:space="preserve">Projektas turi atitikti projekto bendruosius atrankos kriterijus, nustatytus Strateginio valdymo metodikos </w:t>
                    </w:r>
                    <w:r>
                      <w:rPr>
                        <w:iCs/>
                        <w:sz w:val="22"/>
                        <w:szCs w:val="22"/>
                        <w:lang w:val="en-GB"/>
                      </w:rPr>
                      <w:t>136 punkte ir</w:t>
                    </w:r>
                    <w:r>
                      <w:rPr>
                        <w:iCs/>
                        <w:sz w:val="22"/>
                        <w:szCs w:val="22"/>
                      </w:rPr>
                      <w:t xml:space="preserve"> PAFT 2 priede.</w:t>
                    </w:r>
                  </w:p>
                  <w:p>
                    <w:pPr>
                      <w:jc w:val="both"/>
                      <w:rPr>
                        <w:sz w:val="22"/>
                        <w:szCs w:val="22"/>
                      </w:rPr>
                    </w:pPr>
                    <w:r>
                      <w:rPr>
                        <w:iCs/>
                        <w:sz w:val="22"/>
                        <w:szCs w:val="22"/>
                      </w:rPr>
                      <w:t xml:space="preserve">5.7. Projekte suplanuotos veiklos turi atitikti Sumaniosios specializacijos koncepcijos nuostatas. Siekdamas įvertinti atitiktį Sumaniosios specializacijos koncepcijai, Pareiškėjas turi užpildyti Informacijos, reikalingos projekto atitikčiai Sumaniosios specializacijos koncepcijai įvertinti, formą (Aprašo 2 priedas). </w:t>
                    </w:r>
                  </w:p>
                  <w:p>
                    <w:pPr>
                      <w:jc w:val="both"/>
                      <w:rPr>
                        <w:sz w:val="22"/>
                        <w:szCs w:val="22"/>
                      </w:rPr>
                    </w:pPr>
                    <w:r>
                      <w:rPr>
                        <w:sz w:val="22"/>
                        <w:szCs w:val="22"/>
                      </w:rPr>
                      <w:t xml:space="preserve">5.8. </w:t>
                    </w:r>
                    <w:r>
                      <w:rPr>
                        <w:iCs/>
                        <w:sz w:val="22"/>
                        <w:szCs w:val="22"/>
                      </w:rPr>
                      <w:t>Projekto veiklos turi būti įgyvendintos per 72 (septyniasdešimt du) mėnesius nuo projekto sutarties įsigaliojimo. Prireikus veiklos gali būti pratęstos pagrįstam laikotarpiui, bet ne vėliau kaip iki 2029 m. rugpjūčio 31 d.</w:t>
                    </w:r>
                  </w:p>
                  <w:p>
                    <w:pPr>
                      <w:jc w:val="both"/>
                      <w:rPr>
                        <w:iCs/>
                        <w:sz w:val="22"/>
                        <w:szCs w:val="22"/>
                      </w:rPr>
                    </w:pPr>
                    <w:r>
                      <w:rPr>
                        <w:iCs/>
                        <w:sz w:val="22"/>
                        <w:szCs w:val="22"/>
                      </w:rPr>
                      <w:t>5.9. Finansavimo intensyvumas, kai teikiamas finansavimas nėra valstybės pagalba, gali sudaryti iki 100 proc. tinkamų finansuoti išlaidų.</w:t>
                    </w:r>
                  </w:p>
                  <w:p>
                    <w:pPr>
                      <w:jc w:val="both"/>
                      <w:rPr>
                        <w:iCs/>
                        <w:sz w:val="22"/>
                        <w:szCs w:val="22"/>
                      </w:rPr>
                    </w:pPr>
                    <w:r>
                      <w:rPr>
                        <w:sz w:val="22"/>
                        <w:szCs w:val="22"/>
                      </w:rPr>
                      <w:t xml:space="preserve">5.10. </w:t>
                    </w:r>
                    <w:r>
                      <w:rPr>
                        <w:iCs/>
                        <w:sz w:val="22"/>
                        <w:szCs w:val="22"/>
                      </w:rPr>
                      <w:t xml:space="preserve">Projektas gali būti įgyvendinamas Sostinės regione ir Vidurio ir vakarų Lietuvos regione. Prireikus dalis veiklų gali būti įgyvendinamos ES, Europos ekonominės erdvės šalių ir Jungtinės Didžiosios Britanijos ir Šiaurės Airijos karalystės teritorijoje. </w:t>
                    </w:r>
                  </w:p>
                  <w:p>
                    <w:pPr>
                      <w:jc w:val="both"/>
                      <w:rPr>
                        <w:sz w:val="22"/>
                        <w:szCs w:val="22"/>
                      </w:rPr>
                    </w:pPr>
                    <w:r>
                      <w:rPr>
                        <w:sz w:val="22"/>
                        <w:szCs w:val="22"/>
                      </w:rPr>
                      <w:t xml:space="preserve">5.11. </w:t>
                    </w:r>
                    <w:r>
                      <w:rPr>
                        <w:iCs/>
                        <w:sz w:val="22"/>
                        <w:szCs w:val="22"/>
                      </w:rPr>
                      <w:t>Pareiškėjas, prieš teikdamas PĮP Administruojančiajai institucijai, turi jį suderinti su Ministerija.</w:t>
                    </w:r>
                  </w:p>
                  <w:p>
                    <w:pPr>
                      <w:jc w:val="both"/>
                      <w:rPr>
                        <w:iCs/>
                        <w:sz w:val="22"/>
                        <w:szCs w:val="22"/>
                      </w:rPr>
                    </w:pPr>
                    <w:r>
                      <w:rPr>
                        <w:sz w:val="22"/>
                        <w:szCs w:val="22"/>
                      </w:rPr>
                      <w:t xml:space="preserve">5.12. </w:t>
                    </w:r>
                    <w:r>
                      <w:rPr>
                        <w:iCs/>
                        <w:sz w:val="22"/>
                        <w:szCs w:val="22"/>
                      </w:rPr>
                      <w:t>Projekto vykdytojas privalo įgyvendinti privalomas matomumo ir informavimo apie projektą veiksmų priemones, nustatytas PAFT VIII skyriaus pirmajame skirsnyje.</w:t>
                    </w:r>
                  </w:p>
                  <w:p>
                    <w:pPr>
                      <w:jc w:val="both"/>
                      <w:rPr>
                        <w:sz w:val="22"/>
                        <w:szCs w:val="22"/>
                      </w:rPr>
                    </w:pPr>
                    <w:r>
                      <w:rPr>
                        <w:sz w:val="22"/>
                        <w:szCs w:val="22"/>
                      </w:rPr>
                      <w:t xml:space="preserve">5.13. </w:t>
                    </w:r>
                    <w:r>
                      <w:rPr>
                        <w:iCs/>
                        <w:sz w:val="22"/>
                        <w:szCs w:val="22"/>
                      </w:rPr>
                      <w:t>Kartu su PĮP turi būti pateikta:</w:t>
                    </w:r>
                  </w:p>
                  <w:p>
                    <w:pPr>
                      <w:jc w:val="both"/>
                      <w:rPr>
                        <w:iCs/>
                        <w:sz w:val="22"/>
                        <w:szCs w:val="22"/>
                      </w:rPr>
                    </w:pPr>
                    <w:r>
                      <w:rPr>
                        <w:iCs/>
                        <w:sz w:val="22"/>
                        <w:szCs w:val="22"/>
                      </w:rPr>
                      <w:t>5.13.1. partnerių deklaracijos užpildytos pagal Partnerių deklaracijos formą (PAFT 1 priedo 1 priedas);</w:t>
                    </w:r>
                  </w:p>
                  <w:p>
                    <w:pPr>
                      <w:jc w:val="both"/>
                      <w:rPr>
                        <w:iCs/>
                        <w:sz w:val="22"/>
                        <w:szCs w:val="22"/>
                      </w:rPr>
                    </w:pPr>
                    <w:r>
                      <w:rPr>
                        <w:iCs/>
                        <w:sz w:val="22"/>
                        <w:szCs w:val="22"/>
                      </w:rPr>
                      <w:t>5.13.2. informacija apie projekto biudžeto paskirstymą pagal pareiškėjus ir partnerius pagal Informacijos apie projekto biudžeto paskirstymą pagal pareiškėjus ir partnerius formą (PAFT 1 priedo 2 priedas);</w:t>
                    </w:r>
                  </w:p>
                  <w:p>
                    <w:pPr>
                      <w:jc w:val="both"/>
                      <w:rPr>
                        <w:iCs/>
                        <w:sz w:val="22"/>
                        <w:szCs w:val="22"/>
                      </w:rPr>
                    </w:pPr>
                    <w:r>
                      <w:rPr>
                        <w:iCs/>
                        <w:sz w:val="22"/>
                        <w:szCs w:val="22"/>
                      </w:rPr>
                      <w:t>5.13.3. projekto atitiktį bendriesiems projektų atrankos kriterijams, nurodytiems Strateginio valdymo metodikos 136 punkte ir PAFT 2 priede, patvirtinantys dokumentai;</w:t>
                    </w:r>
                  </w:p>
                  <w:p>
                    <w:pPr>
                      <w:jc w:val="both"/>
                      <w:rPr>
                        <w:sz w:val="22"/>
                        <w:szCs w:val="22"/>
                      </w:rPr>
                    </w:pPr>
                    <w:r>
                      <w:rPr>
                        <w:iCs/>
                        <w:sz w:val="22"/>
                        <w:szCs w:val="22"/>
                      </w:rPr>
                      <w:t xml:space="preserve">5.13.4. </w:t>
                    </w:r>
                    <w:r>
                      <w:rPr>
                        <w:sz w:val="22"/>
                        <w:szCs w:val="22"/>
                      </w:rPr>
                      <w:t>dokumentai, pagrindžiantys projekto išlaidų pagrįstumą (sudarytos sutartys, komerciniai pasiūlymai, nuorodos į rinkoje esančias kainas), išlaidų skaičiavimai;</w:t>
                    </w:r>
                  </w:p>
                  <w:p>
                    <w:pPr>
                      <w:jc w:val="both"/>
                      <w:rPr>
                        <w:sz w:val="22"/>
                        <w:szCs w:val="22"/>
                      </w:rPr>
                    </w:pPr>
                    <w:r>
                      <w:rPr>
                        <w:sz w:val="22"/>
                        <w:szCs w:val="22"/>
                      </w:rPr>
                      <w:t xml:space="preserve">5.13.5. ES mokslinių tyrimų ir </w:t>
                    </w:r>
                    <w:r>
                      <w:rPr>
                        <w:iCs/>
                        <w:sz w:val="22"/>
                        <w:szCs w:val="22"/>
                      </w:rPr>
                      <w:t xml:space="preserve">inovacijų programos „Europos horizontas“ Susiejimo iniciatyvos (anglų k. </w:t>
                    </w:r>
                    <w:r>
                      <w:rPr>
                        <w:i/>
                        <w:sz w:val="22"/>
                        <w:szCs w:val="22"/>
                      </w:rPr>
                      <w:t>Teaming</w:t>
                    </w:r>
                    <w:r>
                      <w:rPr>
                        <w:iCs/>
                        <w:sz w:val="22"/>
                        <w:szCs w:val="22"/>
                      </w:rPr>
                      <w:t xml:space="preserve">) </w:t>
                    </w:r>
                    <w:r>
                      <w:rPr>
                        <w:sz w:val="22"/>
                        <w:szCs w:val="22"/>
                      </w:rPr>
                      <w:t>EK finansavimo sutarties ir jos priedų kopija;</w:t>
                    </w:r>
                  </w:p>
                  <w:p>
                    <w:pPr>
                      <w:jc w:val="both"/>
                      <w:rPr>
                        <w:sz w:val="22"/>
                        <w:szCs w:val="22"/>
                      </w:rPr>
                    </w:pPr>
                    <w:r>
                      <w:rPr>
                        <w:sz w:val="22"/>
                        <w:szCs w:val="22"/>
                      </w:rPr>
                      <w:t>5.13.6. kai projekto investicijų suma į ilgalaikį materialųjį ir nematerialųjį turtą viršija 1 000 000,00 Eur (vieną milijoną eurų, 00 ct) – investicijų projektą, kartu su sąnaudų ir naudos analizės ir (arba) sąnaudų efektyvumo analizės skaičiuokle (toliau – Skaičiuoklė), parengtus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„Dėl Viešojo ir privataus sektorių partnerystės projektų rengimo ir įgyvendinimo metodinių rekomendacijų patvirtinimo“.</w:t>
                    </w:r>
                  </w:p>
                </w:tc>
              </w:tr>
              <w:tr>
                <w:tc>
                  <w:tcPr>
                    <w:tcW w:w="15134" w:type="dxa"/>
                  </w:tcPr>
                  <w:p>
                    <w:pPr>
                      <w:jc w:val="both"/>
                      <w:rPr>
                        <w:b/>
                        <w:sz w:val="22"/>
                        <w:szCs w:val="22"/>
                      </w:rPr>
                    </w:pPr>
                    <w:r>
                      <w:rPr>
                        <w:b/>
                        <w:sz w:val="22"/>
                        <w:szCs w:val="22"/>
                      </w:rPr>
                      <w:t>6. Reikalavimai jungtinio projekto projektams ir jungtinio projekto projektų pareiškėjams</w:t>
                    </w:r>
                  </w:p>
                  <w:p>
                    <w:pPr>
                      <w:jc w:val="both"/>
                      <w:rPr>
                        <w:bCs/>
                        <w:iCs/>
                        <w:sz w:val="22"/>
                        <w:szCs w:val="22"/>
                      </w:rPr>
                    </w:pPr>
                    <w:r>
                      <w:rPr>
                        <w:bCs/>
                        <w:sz w:val="22"/>
                        <w:szCs w:val="22"/>
                      </w:rPr>
                      <w:t>6.1. Netaikoma.</w:t>
                    </w:r>
                  </w:p>
                </w:tc>
              </w:tr>
              <w:tr>
                <w:trPr>
                  <w:trHeight w:val="285"/>
                </w:trPr>
                <w:tc>
                  <w:tcPr>
                    <w:tcW w:w="15134" w:type="dxa"/>
                  </w:tcPr>
                  <w:p>
                    <w:pPr>
                      <w:rPr>
                        <w:bCs/>
                        <w:sz w:val="22"/>
                        <w:szCs w:val="22"/>
                      </w:rPr>
                    </w:pPr>
                    <w:r>
                      <w:rPr>
                        <w:b/>
                        <w:sz w:val="22"/>
                        <w:szCs w:val="22"/>
                      </w:rPr>
                      <w:t>7. Projekto tikslinės grupės</w:t>
                    </w:r>
                  </w:p>
                </w:tc>
              </w:tr>
              <w:tr>
                <w:trPr>
                  <w:trHeight w:val="285"/>
                </w:trPr>
                <w:tc>
                  <w:tcPr>
                    <w:tcW w:w="15134" w:type="dxa"/>
                  </w:tcPr>
                  <w:p>
                    <w:pPr>
                      <w:jc w:val="both"/>
                      <w:rPr>
                        <w:sz w:val="22"/>
                        <w:szCs w:val="22"/>
                      </w:rPr>
                    </w:pPr>
                    <w:r>
                      <w:rPr>
                        <w:sz w:val="22"/>
                        <w:szCs w:val="22"/>
                      </w:rPr>
                      <w:t>7.1. Projektų tikslinė grupė – mokslininkai ir kiti tyrėjai, studentai, mokslo vadybininkai (mokslo vadybininkas suprantamas kaip aukštosios mokyklos, valstybinio mokslinio tyrimų instituto ar kito viešojo sektoriaus subjekto, veikiančio mokslo ir (ar) studijų srityje, darbuotojas, kuris organizuoja institucijos dalyvavimą mokslinių tyrimų ir eksperimentinės plėtros (toliau – MTEP) ir inovacijų priemonėse, rengia projektų paraiškas bei administruoja projektus, vykdo atvirai prieinamų MTEP išteklių vartotojų paiešką, organizuoja šiems vartotojams paslaugų suteikimą bei vykdo kitas pagal pareigybės aprašymą jam nustatytas funkcijas, susijusias su žinių ir technologijų perdavimu ir MTEP rezultatų komercinimu).</w:t>
                    </w:r>
                  </w:p>
                </w:tc>
              </w:tr>
              <w:tr>
                <w:trPr>
                  <w:trHeight w:val="285"/>
                </w:trPr>
                <w:tc>
                  <w:tcPr>
                    <w:tcW w:w="15134" w:type="dxa"/>
                  </w:tcPr>
                  <w:p>
                    <w:pPr>
                      <w:rPr>
                        <w:bCs/>
                        <w:sz w:val="22"/>
                        <w:szCs w:val="22"/>
                      </w:rPr>
                    </w:pPr>
                    <w:r>
                      <w:rPr>
                        <w:b/>
                        <w:sz w:val="22"/>
                        <w:szCs w:val="22"/>
                      </w:rPr>
                      <w:t>8.</w:t>
                    </w:r>
                    <w:r>
                      <w:rPr>
                        <w:bCs/>
                        <w:sz w:val="22"/>
                        <w:szCs w:val="22"/>
                      </w:rPr>
                      <w:t xml:space="preserve"> </w:t>
                    </w:r>
                    <w:r>
                      <w:rPr>
                        <w:b/>
                        <w:sz w:val="22"/>
                        <w:szCs w:val="22"/>
                      </w:rPr>
                      <w:t>Horizontaliųjų principų reikalavimai</w:t>
                    </w:r>
                  </w:p>
                </w:tc>
              </w:tr>
              <w:tr>
                <w:tc>
                  <w:tcPr>
                    <w:tcW w:w="15134" w:type="dxa"/>
                  </w:tcPr>
                  <w:p>
                    <w:pPr>
                      <w:jc w:val="both"/>
                      <w:rPr>
                        <w:iCs/>
                        <w:sz w:val="22"/>
                        <w:szCs w:val="22"/>
                      </w:rPr>
                    </w:pPr>
                    <w:r>
                      <w:rPr>
                        <w:iCs/>
                        <w:sz w:val="22"/>
                        <w:szCs w:val="22"/>
                      </w:rPr>
                      <w:t xml:space="preserve">8.1.Projektuose negali būti numatyta: </w:t>
                    </w:r>
                  </w:p>
                  <w:p>
                    <w:pPr>
                      <w:jc w:val="both"/>
                      <w:rPr>
                        <w:iCs/>
                        <w:sz w:val="22"/>
                        <w:szCs w:val="22"/>
                      </w:rPr>
                    </w:pPr>
                    <w:r>
                      <w:rPr>
                        <w:iCs/>
                        <w:sz w:val="22"/>
                        <w:szCs w:val="22"/>
                      </w:rPr>
                      <w:t xml:space="preserve">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pPr>
                      <w:jc w:val="both"/>
                      <w:rPr>
                        <w:iCs/>
                        <w:sz w:val="22"/>
                        <w:szCs w:val="22"/>
                      </w:rPr>
                    </w:pPr>
                    <w:r>
                      <w:rPr>
                        <w:iCs/>
                        <w:sz w:val="22"/>
                        <w:szCs w:val="22"/>
                      </w:rPr>
                      <w:t xml:space="preserve">8.1.2. veiksmų, kurie turėtų neigiamą poveikį darnaus vystymosi principui įgyvendinti. </w:t>
                    </w:r>
                  </w:p>
                  <w:p>
                    <w:pPr>
                      <w:jc w:val="both"/>
                      <w:rPr>
                        <w:iCs/>
                        <w:sz w:val="22"/>
                        <w:szCs w:val="22"/>
                      </w:rPr>
                    </w:pPr>
                    <w:r>
                      <w:rPr>
                        <w:iCs/>
                        <w:sz w:val="22"/>
                        <w:szCs w:val="22"/>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iCs/>
                          <w:sz w:val="22"/>
                          <w:szCs w:val="22"/>
                          <w:u w:val="single"/>
                          <w:color w:val="0000FF" w:themeColor="hyperlink"/>
                        </w:rPr>
                        <w:t>(ES) Nr. 2020/852</w:t>
                      </w:r>
                    </w:fldSimple>
                    <w:r>
                      <w:rPr>
                        <w:iCs/>
                        <w:sz w:val="22"/>
                        <w:szCs w:val="22"/>
                      </w:rPr>
                      <w:t xml:space="preserve"> dėl sistemos tvariam investavimui palengvinti sukūrimo, kuriuo iš dalies keičiamas Reglamentas </w:t>
                    </w:r>
                    <w:fldSimple w:instr="HYPERLINK http://eur-lex.europa.eu/legal-content/LIT/TXT/?uri=CELEX:32019R2088&amp;locale=lt \t _blank">
                      <w:r>
                        <w:rPr>
                          <w:iCs/>
                          <w:sz w:val="22"/>
                          <w:szCs w:val="22"/>
                          <w:u w:val="single"/>
                          <w:color w:val="0000FF" w:themeColor="hyperlink"/>
                        </w:rPr>
                        <w:t>(ES) 2019/2088</w:t>
                      </w:r>
                    </w:fldSimple>
                    <w:r>
                      <w:rPr>
                        <w:iCs/>
                        <w:sz w:val="22"/>
                        <w:szCs w:val="22"/>
                      </w:rPr>
                      <w:t>. Reikalavimai projektų atitikčiai šiam principui įvertinti pateikiami Aprašo 1 priede.</w:t>
                    </w:r>
                  </w:p>
                  <w:p>
                    <w:pPr>
                      <w:jc w:val="both"/>
                      <w:rPr>
                        <w:iCs/>
                        <w:sz w:val="22"/>
                        <w:szCs w:val="22"/>
                      </w:rPr>
                    </w:pPr>
                    <w:r>
                      <w:rPr>
                        <w:iCs/>
                        <w:sz w:val="22"/>
                        <w:szCs w:val="22"/>
                      </w:rPr>
                      <w:t xml:space="preserve">8.3. Atsižvelgiant į tai, kad pagal Aprašą bendrai finansuojami projektai, kurie yra gavę EK finansavimą, papildomi konkretūs reikalavimai dėl horizontaliųjų principų įgyvendinimo nėra nustatomi. </w:t>
                    </w:r>
                  </w:p>
                </w:tc>
              </w:tr>
              <w:tr>
                <w:tc>
                  <w:tcPr>
                    <w:tcW w:w="15134" w:type="dxa"/>
                  </w:tcPr>
                  <w:p>
                    <w:pPr>
                      <w:spacing w:line="259" w:lineRule="auto"/>
                      <w:jc w:val="both"/>
                      <w:rPr>
                        <w:b/>
                        <w:iCs/>
                        <w:sz w:val="22"/>
                        <w:szCs w:val="22"/>
                      </w:rPr>
                    </w:pPr>
                    <w:r>
                      <w:rPr>
                        <w:b/>
                        <w:iCs/>
                        <w:sz w:val="22"/>
                        <w:szCs w:val="22"/>
                      </w:rPr>
                      <w:t>9. Europos Sąjungos pagrindinių teisių chartijos (toliau – Chartija) reikalavimai</w:t>
                    </w:r>
                  </w:p>
                </w:tc>
              </w:tr>
              <w:tr>
                <w:tc>
                  <w:tcPr>
                    <w:tcW w:w="15134" w:type="dxa"/>
                  </w:tcPr>
                  <w:p>
                    <w:pPr>
                      <w:jc w:val="both"/>
                      <w:rPr>
                        <w:sz w:val="22"/>
                        <w:szCs w:val="22"/>
                      </w:rPr>
                    </w:pPr>
                    <w:r>
                      <w:rPr>
                        <w:sz w:val="22"/>
                        <w:szCs w:val="22"/>
                      </w:rPr>
                      <w:t>9.1. Projekto veiklos turi nepažeisti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pPr>
                      <w:jc w:val="both"/>
                      <w:rPr>
                        <w:sz w:val="22"/>
                        <w:szCs w:val="22"/>
                      </w:rPr>
                    </w:pPr>
                    <w:r>
                      <w:rPr>
                        <w:sz w:val="22"/>
                        <w:szCs w:val="22"/>
                      </w:rPr>
                      <w:t>9.2. Atsižvelgiant į pagal Aprašą finansuojamos veiklos pobūdį, papildomi reikalavimai dėl aktyvių priemonių Chartijoje įtvirtintoms teisėms propaguoti nėra nustatomi.</w:t>
                    </w:r>
                  </w:p>
                </w:tc>
              </w:tr>
              <w:tr>
                <w:tc>
                  <w:tcPr>
                    <w:tcW w:w="15134" w:type="dxa"/>
                  </w:tcPr>
                  <w:p>
                    <w:pPr>
                      <w:rPr>
                        <w:b/>
                        <w:sz w:val="22"/>
                        <w:szCs w:val="22"/>
                      </w:rPr>
                    </w:pPr>
                    <w:r>
                      <w:rPr>
                        <w:b/>
                        <w:sz w:val="22"/>
                        <w:szCs w:val="22"/>
                      </w:rPr>
                      <w:t>10. Apskritis, kurioje gali būti įgyvendinami projektai</w:t>
                    </w:r>
                  </w:p>
                </w:tc>
              </w:tr>
              <w:tr>
                <w:tc>
                  <w:tcPr>
                    <w:tcW w:w="15134" w:type="dxa"/>
                  </w:tcPr>
                  <w:p>
                    <w:pPr>
                      <w:jc w:val="both"/>
                      <w:rPr>
                        <w:sz w:val="22"/>
                        <w:szCs w:val="22"/>
                      </w:rPr>
                    </w:pPr>
                    <w:r>
                      <w:rPr>
                        <w:sz w:val="22"/>
                        <w:szCs w:val="22"/>
                      </w:rPr>
                      <w:t>10.1. Netaikoma.</w:t>
                    </w:r>
                  </w:p>
                </w:tc>
              </w:tr>
              <w:tr>
                <w:tc>
                  <w:tcPr>
                    <w:tcW w:w="15134" w:type="dxa"/>
                  </w:tcPr>
                  <w:p>
                    <w:pPr>
                      <w:jc w:val="both"/>
                      <w:rPr>
                        <w:b/>
                        <w:sz w:val="22"/>
                        <w:szCs w:val="22"/>
                      </w:rPr>
                    </w:pPr>
                    <w:r>
                      <w:rPr>
                        <w:b/>
                        <w:sz w:val="22"/>
                        <w:szCs w:val="22"/>
                      </w:rPr>
                      <w:t>11. Reikalavimai valstybės pagalbai (kurie nėra nurodyti kituose Aprašo punktuose)</w:t>
                    </w:r>
                  </w:p>
                </w:tc>
              </w:tr>
              <w:tr>
                <w:tc>
                  <w:tcPr>
                    <w:tcW w:w="15134" w:type="dxa"/>
                    <w:shd w:val="clear" w:color="auto" w:fill="auto"/>
                  </w:tcPr>
                  <w:p>
                    <w:pPr>
                      <w:jc w:val="both"/>
                      <w:rPr>
                        <w:iCs/>
                        <w:sz w:val="22"/>
                        <w:szCs w:val="22"/>
                      </w:rPr>
                    </w:pPr>
                    <w:r>
                      <w:rPr>
                        <w:iCs/>
                        <w:sz w:val="22"/>
                        <w:szCs w:val="22"/>
                      </w:rPr>
                      <w:t>11.1.</w:t>
                    </w:r>
                    <w:r>
                      <w:rPr>
                        <w:i/>
                        <w:iCs/>
                        <w:sz w:val="22"/>
                        <w:szCs w:val="22"/>
                      </w:rPr>
                      <w:t xml:space="preserve"> </w:t>
                    </w:r>
                    <w:r>
                      <w:rPr>
                        <w:iCs/>
                        <w:sz w:val="22"/>
                        <w:szCs w:val="22"/>
                      </w:rPr>
                      <w:t xml:space="preserve">Pagal Aprašą valstybės pagalba, kaip ji apibrėžta Sutarties dėl Europos Sąjungos veikimo 107 straipsnyje, ir </w:t>
                    </w:r>
                    <w:r>
                      <w:rPr>
                        <w:i/>
                        <w:iCs/>
                        <w:sz w:val="22"/>
                        <w:szCs w:val="22"/>
                      </w:rPr>
                      <w:t>de minimis</w:t>
                    </w:r>
                    <w:r>
                      <w:rPr>
                        <w:iCs/>
                        <w:sz w:val="22"/>
                        <w:szCs w:val="22"/>
                      </w:rPr>
                      <w:t xml:space="preserve"> pagalba, kuri atitinka 2023 m. gruodžio 13 d. Komisijos reglamento </w:t>
                    </w:r>
                    <w:fldSimple w:instr="HYPERLINK http://eur-lex.europa.eu/legal-content/LIT/TXT/?uri=CELEX:32023R2831&amp;locale=lt \t _blank">
                      <w:r>
                        <w:rPr>
                          <w:iCs/>
                          <w:sz w:val="22"/>
                          <w:szCs w:val="22"/>
                          <w:u w:val="single"/>
                          <w:color w:val="0000FF" w:themeColor="hyperlink"/>
                        </w:rPr>
                        <w:t>(ES) 2023/2831</w:t>
                      </w:r>
                    </w:fldSimple>
                    <w:r>
                      <w:rPr>
                        <w:iCs/>
                        <w:sz w:val="22"/>
                        <w:szCs w:val="22"/>
                      </w:rPr>
                      <w:t xml:space="preserve"> dėl Sutarties dėl Europos Sąjungos veikimo 107 ir 108 straipsnių taikymo </w:t>
                    </w:r>
                    <w:r>
                      <w:rPr>
                        <w:i/>
                        <w:iCs/>
                        <w:sz w:val="22"/>
                        <w:szCs w:val="22"/>
                      </w:rPr>
                      <w:t>de minimis</w:t>
                    </w:r>
                    <w:r>
                      <w:rPr>
                        <w:iCs/>
                        <w:sz w:val="22"/>
                        <w:szCs w:val="22"/>
                      </w:rPr>
                      <w:t xml:space="preserve"> pagalbai nuostatas, neteikiama.</w:t>
                    </w:r>
                  </w:p>
                  <w:p>
                    <w:pPr>
                      <w:jc w:val="both"/>
                      <w:rPr>
                        <w:iCs/>
                        <w:sz w:val="22"/>
                        <w:szCs w:val="22"/>
                      </w:rPr>
                    </w:pPr>
                    <w:r>
                      <w:rPr>
                        <w:iCs/>
                        <w:sz w:val="22"/>
                        <w:szCs w:val="22"/>
                      </w:rPr>
                      <w:t>11.2. Pagal Aprašą valstybės pagalba, kuri atitinka BBIR, neteikiama.</w:t>
                    </w:r>
                  </w:p>
                  <w:p>
                    <w:pPr>
                      <w:jc w:val="both"/>
                      <w:rPr>
                        <w:iCs/>
                        <w:sz w:val="22"/>
                        <w:szCs w:val="22"/>
                      </w:rPr>
                    </w:pPr>
                    <w:r>
                      <w:rPr>
                        <w:iCs/>
                        <w:sz w:val="22"/>
                        <w:szCs w:val="22"/>
                      </w:rPr>
                      <w:t xml:space="preserve">11.3. Siekiant nustatyti, ar teikiamas finansavimas yra (nėra) valstybės pagalba, administruojančioji institucija pildo Patikros lapą dėl valstybės pagalbos ir </w:t>
                    </w:r>
                    <w:r>
                      <w:rPr>
                        <w:i/>
                        <w:iCs/>
                        <w:sz w:val="22"/>
                        <w:szCs w:val="22"/>
                      </w:rPr>
                      <w:t>de minimis</w:t>
                    </w:r>
                    <w:r>
                      <w:rPr>
                        <w:iCs/>
                        <w:sz w:val="22"/>
                        <w:szCs w:val="22"/>
                      </w:rPr>
                      <w:t xml:space="preserve"> pagalbos buvimo ar nebuvimo (Aprašo 3 priedas).</w:t>
                    </w:r>
                  </w:p>
                </w:tc>
              </w:tr>
              <w:tr>
                <w:tc>
                  <w:tcPr>
                    <w:tcW w:w="15134" w:type="dxa"/>
                  </w:tcPr>
                  <w:p>
                    <w:pPr>
                      <w:ind w:left="426" w:hanging="426"/>
                      <w:jc w:val="both"/>
                      <w:rPr>
                        <w:bCs/>
                        <w:sz w:val="22"/>
                        <w:szCs w:val="22"/>
                      </w:rPr>
                    </w:pPr>
                    <w:r>
                      <w:rPr>
                        <w:bCs/>
                        <w:sz w:val="22"/>
                        <w:szCs w:val="22"/>
                      </w:rPr>
                      <w:t xml:space="preserve">12. </w:t>
                    </w:r>
                    <w:r>
                      <w:rPr>
                        <w:b/>
                        <w:sz w:val="22"/>
                        <w:szCs w:val="22"/>
                      </w:rPr>
                      <w:t>Projektų atrankos kriterijai</w:t>
                    </w:r>
                  </w:p>
                </w:tc>
              </w:tr>
              <w:tr>
                <w:trPr>
                  <w:trHeight w:val="382"/>
                </w:trPr>
                <w:tc>
                  <w:tcPr>
                    <w:tcW w:w="15134" w:type="dxa"/>
                  </w:tcPr>
                  <w:p>
                    <w:pPr>
                      <w:jc w:val="both"/>
                      <w:rPr>
                        <w:sz w:val="22"/>
                        <w:szCs w:val="22"/>
                        <w:lang w:eastAsia="en-GB"/>
                      </w:rPr>
                    </w:pPr>
                    <w:r>
                      <w:rPr>
                        <w:color w:val="000000"/>
                        <w:sz w:val="22"/>
                        <w:szCs w:val="22"/>
                        <w:shd w:val="clear" w:color="auto" w:fill="FFFFFF"/>
                        <w:lang w:eastAsia="en-GB"/>
                      </w:rPr>
                      <w:t xml:space="preserve">12.1. Projekto atranka vykdoma planavimo būdu, todėl </w:t>
                    </w:r>
                    <w:r>
                      <w:rPr>
                        <w:sz w:val="22"/>
                        <w:szCs w:val="22"/>
                        <w:lang w:eastAsia="en-GB"/>
                      </w:rPr>
                      <w:t>specialieji ir prioritetiniai projektų atrankos kriterijai nėra nustatomi.</w:t>
                    </w:r>
                  </w:p>
                </w:tc>
              </w:tr>
              <w:tr>
                <w:trPr>
                  <w:trHeight w:val="309"/>
                </w:trPr>
                <w:tc>
                  <w:tcPr>
                    <w:tcW w:w="15134" w:type="dxa"/>
                  </w:tcPr>
                  <w:p>
                    <w:pPr>
                      <w:jc w:val="both"/>
                      <w:rPr>
                        <w:bCs/>
                        <w:i/>
                        <w:sz w:val="22"/>
                        <w:szCs w:val="22"/>
                      </w:rPr>
                    </w:pPr>
                    <w:r>
                      <w:rPr>
                        <w:b/>
                        <w:sz w:val="22"/>
                        <w:szCs w:val="22"/>
                      </w:rPr>
                      <w:t>13</w:t>
                    </w:r>
                    <w:r>
                      <w:rPr>
                        <w:bCs/>
                        <w:sz w:val="22"/>
                        <w:szCs w:val="22"/>
                      </w:rPr>
                      <w:t xml:space="preserve">. </w:t>
                    </w:r>
                    <w:r>
                      <w:rPr>
                        <w:b/>
                        <w:sz w:val="22"/>
                        <w:szCs w:val="22"/>
                      </w:rPr>
                      <w:t>Jungtinio projekto projektų atrankos kriterijai (</w:t>
                    </w:r>
                    <w:r>
                      <w:rPr>
                        <w:b/>
                        <w:i/>
                        <w:sz w:val="22"/>
                        <w:szCs w:val="22"/>
                      </w:rPr>
                      <w:t>pildoma tik jungtiniam projektui)</w:t>
                    </w:r>
                  </w:p>
                </w:tc>
              </w:tr>
              <w:tr>
                <w:trPr>
                  <w:trHeight w:val="287"/>
                </w:trPr>
                <w:tc>
                  <w:tcPr>
                    <w:tcW w:w="15134" w:type="dxa"/>
                  </w:tcPr>
                  <w:p>
                    <w:pPr>
                      <w:jc w:val="both"/>
                      <w:rPr>
                        <w:iCs/>
                        <w:sz w:val="22"/>
                        <w:szCs w:val="22"/>
                      </w:rPr>
                    </w:pPr>
                    <w:r>
                      <w:rPr>
                        <w:iCs/>
                        <w:sz w:val="22"/>
                        <w:szCs w:val="22"/>
                      </w:rPr>
                      <w:t>13.1. Netaikoma.</w:t>
                    </w:r>
                  </w:p>
                </w:tc>
              </w:tr>
              <w:tr>
                <w:tc>
                  <w:tcPr>
                    <w:tcW w:w="15134" w:type="dxa"/>
                  </w:tcPr>
                  <w:p>
                    <w:pPr>
                      <w:rPr>
                        <w:bCs/>
                        <w:sz w:val="22"/>
                        <w:szCs w:val="22"/>
                      </w:rPr>
                    </w:pPr>
                    <w:r>
                      <w:rPr>
                        <w:b/>
                        <w:sz w:val="22"/>
                        <w:szCs w:val="22"/>
                      </w:rPr>
                      <w:t>14</w:t>
                    </w:r>
                    <w:r>
                      <w:rPr>
                        <w:bCs/>
                        <w:sz w:val="22"/>
                        <w:szCs w:val="22"/>
                      </w:rPr>
                      <w:t xml:space="preserve">. </w:t>
                    </w:r>
                    <w:r>
                      <w:rPr>
                        <w:b/>
                        <w:sz w:val="22"/>
                        <w:szCs w:val="22"/>
                      </w:rPr>
                      <w:t>Reikalavimai įgyvendinus projektų veiklas</w:t>
                    </w:r>
                  </w:p>
                </w:tc>
              </w:tr>
              <w:tr>
                <w:trPr>
                  <w:trHeight w:val="323"/>
                </w:trPr>
                <w:tc>
                  <w:tcPr>
                    <w:tcW w:w="15134" w:type="dxa"/>
                  </w:tcPr>
                  <w:p>
                    <w:pPr>
                      <w:jc w:val="both"/>
                      <w:rPr>
                        <w:iCs/>
                        <w:sz w:val="22"/>
                        <w:szCs w:val="22"/>
                      </w:rPr>
                    </w:pPr>
                    <w:r>
                      <w:rPr>
                        <w:sz w:val="22"/>
                        <w:szCs w:val="22"/>
                      </w:rPr>
                      <w:t>14.1. Papildomi reikalavimai įgyvendinus projekto veiklas, kurie nenumatyti PAFT, nėra taikomi.</w:t>
                    </w:r>
                  </w:p>
                </w:tc>
              </w:tr>
              <w:tr>
                <w:tc>
                  <w:tcPr>
                    <w:tcW w:w="15134" w:type="dxa"/>
                  </w:tcPr>
                  <w:p>
                    <w:pPr>
                      <w:rPr>
                        <w:b/>
                        <w:sz w:val="22"/>
                        <w:szCs w:val="22"/>
                      </w:rPr>
                    </w:pPr>
                    <w:r>
                      <w:rPr>
                        <w:b/>
                        <w:sz w:val="22"/>
                        <w:szCs w:val="22"/>
                      </w:rPr>
                      <w:t>15. Kiti reikalavimai</w:t>
                    </w:r>
                  </w:p>
                </w:tc>
              </w:tr>
              <w:tr>
                <w:tc>
                  <w:tcPr>
                    <w:tcW w:w="15134" w:type="dxa"/>
                  </w:tcPr>
                  <w:p>
                    <w:pPr>
                      <w:tabs>
                        <w:tab w:val="left" w:pos="1134"/>
                      </w:tabs>
                      <w:jc w:val="both"/>
                      <w:rPr>
                        <w:iCs/>
                        <w:sz w:val="22"/>
                        <w:szCs w:val="22"/>
                      </w:rPr>
                    </w:pPr>
                    <w:r>
                      <w:rPr>
                        <w:iCs/>
                        <w:sz w:val="22"/>
                        <w:szCs w:val="22"/>
                      </w:rPr>
                      <w:t>15.1. Aprašas gali būti keičiamas PAFT nustatyta tvarka.</w:t>
                    </w:r>
                  </w:p>
                  <w:p>
                    <w:pPr>
                      <w:tabs>
                        <w:tab w:val="left" w:pos="1134"/>
                      </w:tabs>
                      <w:jc w:val="both"/>
                      <w:rPr>
                        <w:iCs/>
                        <w:sz w:val="22"/>
                        <w:szCs w:val="22"/>
                      </w:rPr>
                    </w:pPr>
                    <w:r>
                      <w:rPr>
                        <w:iCs/>
                        <w:sz w:val="22"/>
                        <w:szCs w:val="22"/>
                      </w:rPr>
                      <w:t>15.2. Jeigu projekto vertė viršija 10 000 000,00 Eur (dešimt milijonų eurų, 00 ct), Projekto vykdytojas, vadovaujantis PAFT 341.5 papunkčiu, turi surengti komunikacinį renginį ar veiklą, įtraukiant Europos Komisiją ir vadovaujančiąją instituciją, Lietuvos Respublikos ekonomikos ir inovacijų ministeriją ir Ministeriją. Projekto įgyvendinimo metu taip pat turi būti įgyvendintos privalomos projektų matomumo ir informavimo apie projektus priemonės pagal PAFT 341.1–341.4 papunkčius.</w:t>
                    </w:r>
                  </w:p>
                </w:tc>
              </w:tr>
            </w:tbl>
            <w:p>
              <w:pPr>
                <w:rPr>
                  <w:b/>
                  <w:szCs w:val="24"/>
                </w:rPr>
              </w:pPr>
            </w:p>
          </w:sdtContent>
        </w:sdt>
        <w:sdt>
          <w:sdtPr>
            <w:alias w:val="skyrius"/>
            <w:tag w:val="part_da77a924ca6f4fd18c96aeb66979d864"/>
            <w:lock w:val="sdtLocked"/>
            <w:richText/>
          </w:sdtPr>
          <w:sdtContent>
            <w:p>
              <w:pPr>
                <w:jc w:val="center"/>
                <w:rPr>
                  <w:b/>
                  <w:szCs w:val="24"/>
                </w:rPr>
              </w:pPr>
              <w:sdt>
                <w:sdtPr>
                  <w:alias w:val="Numeris"/>
                  <w:tag w:val="nr_da77a924ca6f4fd18c96aeb66979d864"/>
                  <w:lock w:val="sdtLocked"/>
                  <w:richText/>
                </w:sdtPr>
                <w:sdtContent>
                  <w:r>
                    <w:rPr>
                      <w:b/>
                      <w:szCs w:val="24"/>
                    </w:rPr>
                    <w:t>III</w:t>
                  </w:r>
                </w:sdtContent>
              </w:sdt>
              <w:r>
                <w:rPr>
                  <w:b/>
                  <w:szCs w:val="24"/>
                </w:rPr>
                <w:t xml:space="preserve"> SKYRIUS</w:t>
              </w:r>
            </w:p>
            <w:p>
              <w:pPr>
                <w:jc w:val="center"/>
                <w:rPr>
                  <w:b/>
                  <w:szCs w:val="24"/>
                </w:rPr>
              </w:pPr>
              <w:sdt>
                <w:sdtPr>
                  <w:alias w:val="Pavadinimas"/>
                  <w:tag w:val="title_da77a924ca6f4fd18c96aeb66979d864"/>
                  <w:lock w:val="sdtLocked"/>
                  <w:richText/>
                </w:sdtPr>
                <w:sdtContent>
                  <w:r>
                    <w:rPr>
                      <w:b/>
                      <w:szCs w:val="24"/>
                    </w:rPr>
                    <w:t>IŠLAIDŲ TINKAMUMO FINANSUOTI REIKALAVIMAI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jc w:val="both"/>
                      <w:rPr>
                        <w:bCs/>
                        <w:szCs w:val="24"/>
                      </w:rPr>
                    </w:pPr>
                    <w:r>
                      <w:rPr>
                        <w:b/>
                        <w:szCs w:val="24"/>
                      </w:rPr>
                      <w:t>16</w:t>
                    </w:r>
                    <w:r>
                      <w:rPr>
                        <w:bCs/>
                        <w:szCs w:val="24"/>
                      </w:rPr>
                      <w:t xml:space="preserve">. </w:t>
                    </w:r>
                    <w:r>
                      <w:rPr>
                        <w:b/>
                        <w:szCs w:val="24"/>
                      </w:rPr>
                      <w:t>Išlaidų tinkamumo finansuoti reikalavimai</w:t>
                    </w:r>
                  </w:p>
                </w:tc>
              </w:tr>
              <w:tr>
                <w:tc>
                  <w:tcPr>
                    <w:tcW w:w="15134" w:type="dxa"/>
                  </w:tcPr>
                  <w:p>
                    <w:pPr>
                      <w:tabs>
                        <w:tab w:val="left" w:pos="459"/>
                      </w:tabs>
                      <w:jc w:val="both"/>
                      <w:rPr>
                        <w:color w:val="000000"/>
                        <w:sz w:val="22"/>
                        <w:szCs w:val="22"/>
                      </w:rPr>
                    </w:pPr>
                    <w:r>
                      <w:rPr>
                        <w:color w:val="000000"/>
                        <w:sz w:val="22"/>
                        <w:szCs w:val="22"/>
                      </w:rPr>
                      <w:t>16.1. Planuojamos išlaidos turi atitikti PAFT VII skyriuje išdėstytus projektų išlaidoms taikomus reikalavimus.</w:t>
                    </w:r>
                  </w:p>
                  <w:p>
                    <w:pPr>
                      <w:tabs>
                        <w:tab w:val="left" w:pos="459"/>
                      </w:tabs>
                      <w:jc w:val="both"/>
                      <w:rPr>
                        <w:color w:val="000000"/>
                        <w:sz w:val="22"/>
                        <w:szCs w:val="22"/>
                      </w:rPr>
                    </w:pPr>
                    <w:r>
                      <w:rPr>
                        <w:color w:val="000000"/>
                        <w:sz w:val="22"/>
                        <w:szCs w:val="22"/>
                      </w:rPr>
                      <w:t>16.2. PĮP parengimo išlaidos nėra finansuojamos (išskyrus investicijų projekto parengimo išlaidas).</w:t>
                    </w:r>
                  </w:p>
                  <w:p>
                    <w:pPr>
                      <w:tabs>
                        <w:tab w:val="left" w:pos="459"/>
                      </w:tabs>
                      <w:jc w:val="both"/>
                      <w:rPr>
                        <w:color w:val="000000"/>
                        <w:sz w:val="22"/>
                        <w:szCs w:val="22"/>
                      </w:rPr>
                    </w:pPr>
                    <w:r>
                      <w:rPr>
                        <w:color w:val="000000"/>
                        <w:sz w:val="22"/>
                        <w:szCs w:val="22"/>
                      </w:rPr>
                      <w:t>16.3. PVM gali būti finansuojamas valstybės biudžeto lėšomis vadovaujantis PAFT VII skyriaus ketvirtajame skirsnyje nustatyta tvarka.</w:t>
                    </w:r>
                  </w:p>
                  <w:p>
                    <w:pPr>
                      <w:tabs>
                        <w:tab w:val="left" w:pos="459"/>
                      </w:tabs>
                      <w:jc w:val="both"/>
                      <w:rPr>
                        <w:color w:val="000000"/>
                        <w:sz w:val="22"/>
                        <w:szCs w:val="22"/>
                      </w:rPr>
                    </w:pPr>
                    <w:r>
                      <w:rPr>
                        <w:color w:val="000000"/>
                        <w:sz w:val="22"/>
                        <w:szCs w:val="22"/>
                      </w:rPr>
                      <w:t xml:space="preserve">16.4. Investicijų projekto parengimo išlaidos gali būti patirtos iki projekto sutarties pasirašymo, neprieštaraujant PAFT 294.2.1.1 papunkčio nuostatoms. </w:t>
                    </w:r>
                  </w:p>
                  <w:p>
                    <w:pPr>
                      <w:tabs>
                        <w:tab w:val="left" w:pos="459"/>
                      </w:tabs>
                      <w:jc w:val="both"/>
                      <w:rPr>
                        <w:color w:val="000000"/>
                        <w:sz w:val="22"/>
                        <w:szCs w:val="22"/>
                      </w:rPr>
                    </w:pPr>
                    <w:r>
                      <w:rPr>
                        <w:color w:val="000000"/>
                        <w:sz w:val="22"/>
                        <w:szCs w:val="22"/>
                      </w:rPr>
                      <w:t>16.5. Projekto vykdytojas ar partneriai savo iniciatyva ir savo ir (arba) kitų šaltinių lėšomis gali prisidėti prie projekto įgyvendinimo.</w:t>
                    </w:r>
                  </w:p>
                  <w:p>
                    <w:pPr>
                      <w:tabs>
                        <w:tab w:val="left" w:pos="459"/>
                      </w:tabs>
                      <w:jc w:val="both"/>
                      <w:rPr>
                        <w:color w:val="000000"/>
                        <w:sz w:val="22"/>
                        <w:szCs w:val="22"/>
                      </w:rPr>
                    </w:pPr>
                    <w:r>
                      <w:rPr>
                        <w:color w:val="000000"/>
                        <w:sz w:val="22"/>
                        <w:szCs w:val="22"/>
                      </w:rPr>
                      <w:t xml:space="preserve">16.6. Projekto tinkamų finansuoti išlaidų dalis, kurios nepadengia projektui skiriamo finansavimo lėšos, turi būti finansuojama iš projekto vykdytojo ar partnerių lėšų. </w:t>
                    </w:r>
                  </w:p>
                  <w:p>
                    <w:pPr>
                      <w:tabs>
                        <w:tab w:val="left" w:pos="459"/>
                      </w:tabs>
                      <w:jc w:val="both"/>
                      <w:rPr>
                        <w:color w:val="000000"/>
                        <w:sz w:val="22"/>
                        <w:szCs w:val="22"/>
                      </w:rPr>
                    </w:pPr>
                    <w:r>
                      <w:rPr>
                        <w:color w:val="000000"/>
                        <w:sz w:val="22"/>
                        <w:szCs w:val="22"/>
                      </w:rPr>
                      <w:t>16.7. Projekto vykdytojui gali būti mokamas avansas, vadovaujantis PAFT numatytomis avanso mokėjimo sąlygomis.</w:t>
                    </w:r>
                  </w:p>
                  <w:p>
                    <w:pPr>
                      <w:tabs>
                        <w:tab w:val="left" w:pos="459"/>
                      </w:tabs>
                      <w:jc w:val="both"/>
                      <w:rPr>
                        <w:color w:val="000000"/>
                        <w:sz w:val="22"/>
                        <w:szCs w:val="22"/>
                      </w:rPr>
                    </w:pPr>
                    <w:r>
                      <w:rPr>
                        <w:color w:val="000000"/>
                        <w:sz w:val="22"/>
                        <w:szCs w:val="22"/>
                      </w:rPr>
                      <w:t>16.8. Kryžminis finansavimas netaikomas.</w:t>
                    </w:r>
                  </w:p>
                  <w:p>
                    <w:pPr>
                      <w:tabs>
                        <w:tab w:val="left" w:pos="459"/>
                      </w:tabs>
                      <w:jc w:val="both"/>
                      <w:rPr>
                        <w:color w:val="000000"/>
                        <w:sz w:val="22"/>
                        <w:szCs w:val="22"/>
                      </w:rPr>
                    </w:pPr>
                    <w:r>
                      <w:rPr>
                        <w:color w:val="000000"/>
                        <w:sz w:val="22"/>
                        <w:szCs w:val="22"/>
                      </w:rPr>
                      <w:t>16.9. Pagal Aprašą tinkamos finansuoti išlaidos yra šios:</w:t>
                    </w:r>
                  </w:p>
                  <w:p>
                    <w:pPr>
                      <w:tabs>
                        <w:tab w:val="left" w:pos="459"/>
                      </w:tabs>
                      <w:jc w:val="both"/>
                      <w:rPr>
                        <w:color w:val="000000"/>
                        <w:sz w:val="22"/>
                        <w:szCs w:val="22"/>
                      </w:rPr>
                    </w:pPr>
                  </w:p>
                  <w:tbl>
                    <w:tblPr>
                      <w:tblW w:w="144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1"/>
                      <w:gridCol w:w="2254"/>
                      <w:gridCol w:w="11496"/>
                    </w:tblGrid>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Išlaidų grupės Nr.</w:t>
                          </w:r>
                          <w:r>
                            <w:rPr>
                              <w:szCs w:val="24"/>
                              <w:lang w:eastAsia="lt-LT"/>
                            </w:rPr>
                            <w:t>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Išlaidų grupės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Reikalavimai ir paaiškinimai</w:t>
                          </w:r>
                          <w:r>
                            <w:rPr>
                              <w:szCs w:val="24"/>
                              <w:lang w:eastAsia="lt-LT"/>
                            </w:rPr>
                            <w:t> </w:t>
                          </w: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1. 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Nekilnojamasis turtas.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Tinkama finansuoti.</w:t>
                          </w:r>
                        </w:p>
                        <w:p>
                          <w:pPr>
                            <w:jc w:val="both"/>
                            <w:textAlignment w:val="baseline"/>
                            <w:rPr>
                              <w:sz w:val="22"/>
                              <w:szCs w:val="22"/>
                              <w:lang w:eastAsia="lt-LT"/>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2. 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Statyba, rekonstravimas, remontas ir kiti darbai.</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Tinkama finansuoti.</w:t>
                          </w: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3. 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Paslaugos ir darbo užmokestis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ind w:left="164"/>
                            <w:jc w:val="both"/>
                            <w:textAlignment w:val="baseline"/>
                            <w:rPr>
                              <w:sz w:val="22"/>
                              <w:szCs w:val="22"/>
                            </w:rPr>
                          </w:pPr>
                          <w:r>
                            <w:rPr>
                              <w:sz w:val="22"/>
                              <w:szCs w:val="22"/>
                            </w:rPr>
                            <w:t>Tinkamomis finansuoti išlaidomis laikomos:</w:t>
                          </w:r>
                        </w:p>
                        <w:p>
                          <w:pPr>
                            <w:ind w:left="164"/>
                            <w:jc w:val="both"/>
                            <w:textAlignment w:val="baseline"/>
                            <w:rPr>
                              <w:sz w:val="22"/>
                              <w:szCs w:val="22"/>
                            </w:rPr>
                          </w:pPr>
                          <w:r>
                            <w:rPr>
                              <w:sz w:val="22"/>
                              <w:szCs w:val="22"/>
                            </w:rPr>
                            <w:t>1. projektą vykdančio personalo darbo užmokesčio ir atlygio projektą vykdantiems fiziniams asmenims pagal paslaugų (civilines), autorines ar kitas sutartis išlaidos, apskaičiuotos teisės aktų, reguliuojančių darbo užmokestį ir darbo santykius, nustatyta tvarka. Patirtos projektą vykdančio personalo darbo užmokesčio už kasmetines atostogas ir (arba) kompensacijos už nepanaudotas kasmetines atostogas ir papildomų poilsio dienų išmokos;</w:t>
                          </w:r>
                        </w:p>
                        <w:p>
                          <w:pPr>
                            <w:ind w:left="164"/>
                            <w:jc w:val="both"/>
                            <w:textAlignment w:val="baseline"/>
                            <w:rPr>
                              <w:sz w:val="22"/>
                              <w:szCs w:val="22"/>
                            </w:rPr>
                          </w:pPr>
                          <w:r>
                            <w:rPr>
                              <w:sz w:val="22"/>
                              <w:szCs w:val="22"/>
                            </w:rPr>
                            <w:t xml:space="preserve">2. veiklas vykdančio personalo (mokslininkų, kitų tyrėjų, doktorantų), studentų komandiruočių, stažuočių išlaidos. </w:t>
                          </w:r>
                          <w:r>
                            <w:rPr>
                              <w:sz w:val="22"/>
                              <w:szCs w:val="22"/>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r>
                            <w:rPr>
                              <w:sz w:val="22"/>
                              <w:szCs w:val="22"/>
                            </w:rPr>
                            <w:t>;</w:t>
                          </w:r>
                        </w:p>
                        <w:p>
                          <w:pPr>
                            <w:ind w:left="164"/>
                            <w:jc w:val="both"/>
                            <w:textAlignment w:val="baseline"/>
                            <w:rPr>
                              <w:sz w:val="22"/>
                              <w:szCs w:val="22"/>
                            </w:rPr>
                          </w:pPr>
                          <w:r>
                            <w:rPr>
                              <w:sz w:val="22"/>
                              <w:szCs w:val="22"/>
                            </w:rPr>
                            <w:t>3. medžiagų ir trumpalaikio turto, reikalingų įgyvendinti projekto veiklas, įsigijimo išlaidos;</w:t>
                          </w:r>
                        </w:p>
                        <w:p>
                          <w:pPr>
                            <w:ind w:left="164"/>
                            <w:jc w:val="both"/>
                            <w:textAlignment w:val="baseline"/>
                            <w:rPr>
                              <w:sz w:val="22"/>
                              <w:szCs w:val="22"/>
                            </w:rPr>
                          </w:pPr>
                          <w:r>
                            <w:rPr>
                              <w:sz w:val="22"/>
                              <w:szCs w:val="22"/>
                            </w:rPr>
                            <w:t>4. MTEP paslaugų įsigijimo išlaidos;</w:t>
                          </w:r>
                        </w:p>
                        <w:p>
                          <w:pPr>
                            <w:ind w:left="164"/>
                            <w:jc w:val="both"/>
                            <w:textAlignment w:val="baseline"/>
                            <w:rPr>
                              <w:sz w:val="22"/>
                              <w:szCs w:val="22"/>
                            </w:rPr>
                          </w:pPr>
                          <w:r>
                            <w:rPr>
                              <w:sz w:val="22"/>
                              <w:szCs w:val="22"/>
                            </w:rPr>
                            <w:t>5. projekto MTEP veikloms naudojamo turto (įrangos, prietaisų, įrankių, įrenginių, mašinų ir įrengimų pastatų ir (ar) patalpų) nusidėvėjimo sąnaudos, jeigu šiam turtui įsigyti nebuvo naudojamos viešosios (įskaitant ir kitų valstybių) lėšos, kai turtas įsigytas iki projekto veiklų pradžios; projektui įgyvendinti būtinų pastatų ar patalpų nuomos išlaidos.</w:t>
                          </w:r>
                        </w:p>
                        <w:p>
                          <w:pPr>
                            <w:ind w:left="164"/>
                            <w:jc w:val="both"/>
                            <w:textAlignment w:val="baseline"/>
                            <w:rPr>
                              <w:sz w:val="22"/>
                              <w:szCs w:val="22"/>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 w:val="22"/>
                              <w:szCs w:val="22"/>
                              <w:lang w:eastAsia="lt-LT"/>
                            </w:rPr>
                          </w:pPr>
                          <w:r>
                            <w:rPr>
                              <w:sz w:val="22"/>
                              <w:szCs w:val="22"/>
                              <w:lang w:eastAsia="lt-LT"/>
                            </w:rPr>
                            <w:t xml:space="preserve">4. </w:t>
                          </w:r>
                        </w:p>
                      </w:tc>
                      <w:tc>
                        <w:tcPr>
                          <w:tcW w:w="2254" w:type="dxa"/>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 w:val="22"/>
                              <w:szCs w:val="22"/>
                              <w:lang w:eastAsia="lt-LT"/>
                            </w:rPr>
                          </w:pPr>
                          <w:r>
                            <w:rPr>
                              <w:sz w:val="22"/>
                              <w:szCs w:val="22"/>
                              <w:lang w:eastAsia="lt-LT"/>
                            </w:rPr>
                            <w:t xml:space="preserve">Įranga, įrenginiai ir kitas turtas </w:t>
                          </w:r>
                        </w:p>
                      </w:tc>
                      <w:tc>
                        <w:tcPr>
                          <w:tcW w:w="11496" w:type="dxa"/>
                          <w:tcBorders>
                            <w:top w:val="single" w:sz="6" w:space="0" w:color="auto"/>
                            <w:left w:val="single" w:sz="6" w:space="0" w:color="auto"/>
                            <w:bottom w:val="single" w:sz="6" w:space="0" w:color="auto"/>
                            <w:right w:val="single" w:sz="6" w:space="0" w:color="auto"/>
                          </w:tcBorders>
                          <w:shd w:val="clear" w:color="auto" w:fill="auto"/>
                        </w:tcPr>
                        <w:p>
                          <w:pPr>
                            <w:ind w:left="164"/>
                            <w:jc w:val="both"/>
                            <w:textAlignment w:val="baseline"/>
                            <w:rPr>
                              <w:sz w:val="22"/>
                              <w:szCs w:val="22"/>
                            </w:rPr>
                          </w:pPr>
                          <w:r>
                            <w:rPr>
                              <w:sz w:val="22"/>
                              <w:szCs w:val="22"/>
                            </w:rPr>
                            <w:t xml:space="preserve">Tinkama finansuoti: </w:t>
                          </w:r>
                        </w:p>
                        <w:p>
                          <w:pPr>
                            <w:tabs>
                              <w:tab w:val="left" w:pos="237"/>
                            </w:tabs>
                            <w:ind w:left="164"/>
                            <w:jc w:val="both"/>
                            <w:textAlignment w:val="baseline"/>
                            <w:rPr>
                              <w:sz w:val="22"/>
                              <w:szCs w:val="22"/>
                            </w:rPr>
                          </w:pPr>
                          <w:r>
                            <w:rPr>
                              <w:sz w:val="22"/>
                              <w:szCs w:val="22"/>
                            </w:rPr>
                            <w:t>1. MTEP įrengimai, įranga, prietaisai, įrenginiai ir technologijos;</w:t>
                          </w:r>
                        </w:p>
                        <w:p>
                          <w:pPr>
                            <w:tabs>
                              <w:tab w:val="left" w:pos="237"/>
                            </w:tabs>
                            <w:ind w:left="164"/>
                            <w:jc w:val="both"/>
                            <w:textAlignment w:val="baseline"/>
                            <w:rPr>
                              <w:sz w:val="22"/>
                              <w:szCs w:val="22"/>
                            </w:rPr>
                          </w:pPr>
                          <w:r>
                            <w:rPr>
                              <w:sz w:val="22"/>
                              <w:szCs w:val="22"/>
                            </w:rPr>
                            <w:t>2. kompiuterinė technika ir programinė įranga (išskyrus esamos programinės įrangos atnaujinimą);</w:t>
                          </w:r>
                        </w:p>
                        <w:p>
                          <w:pPr>
                            <w:tabs>
                              <w:tab w:val="left" w:pos="237"/>
                            </w:tabs>
                            <w:ind w:left="164"/>
                            <w:jc w:val="both"/>
                            <w:textAlignment w:val="baseline"/>
                            <w:rPr>
                              <w:sz w:val="22"/>
                              <w:szCs w:val="22"/>
                            </w:rPr>
                          </w:pPr>
                          <w:r>
                            <w:rPr>
                              <w:sz w:val="22"/>
                              <w:szCs w:val="22"/>
                            </w:rPr>
                            <w:t>3. veiklai vykdyti būtini patentai ir licencijos.</w:t>
                          </w:r>
                        </w:p>
                        <w:p>
                          <w:pPr>
                            <w:tabs>
                              <w:tab w:val="left" w:pos="237"/>
                            </w:tabs>
                            <w:ind w:left="164"/>
                            <w:jc w:val="both"/>
                            <w:textAlignment w:val="baseline"/>
                            <w:rPr>
                              <w:sz w:val="22"/>
                              <w:szCs w:val="22"/>
                            </w:rPr>
                          </w:pPr>
                          <w:r>
                            <w:rPr>
                              <w:sz w:val="22"/>
                              <w:szCs w:val="22"/>
                            </w:rPr>
                            <w:t>Ilgalaikio turto įsigijimo ar lizingo (finansinės nuomos) išlaidos (lizingo (finansinės nuomos) laikotarpis negali būti ilgesnis už projekto įgyvendinimo trukmę, tai yra lizingo (finansinės nuomos) būdu įsigytas materialusis turtas iki projekto veiklų įgyvendinimo pabaigos turi tapti projekto veiklą vykdančio subjekto nuosavybe).</w:t>
                          </w:r>
                        </w:p>
                        <w:p>
                          <w:pPr>
                            <w:tabs>
                              <w:tab w:val="left" w:pos="237"/>
                            </w:tabs>
                            <w:ind w:left="164"/>
                            <w:jc w:val="both"/>
                            <w:textAlignment w:val="baseline"/>
                            <w:rPr>
                              <w:sz w:val="22"/>
                              <w:szCs w:val="22"/>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5. 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Informavimas apie projektą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ind w:left="164"/>
                            <w:jc w:val="both"/>
                            <w:textAlignment w:val="baseline"/>
                            <w:rPr>
                              <w:sz w:val="22"/>
                              <w:szCs w:val="22"/>
                            </w:rPr>
                          </w:pPr>
                          <w:r>
                            <w:rPr>
                              <w:sz w:val="22"/>
                              <w:szCs w:val="22"/>
                            </w:rPr>
                            <w:t xml:space="preserve">Tinkama finansuoti: </w:t>
                          </w:r>
                        </w:p>
                        <w:p>
                          <w:pPr>
                            <w:ind w:left="164"/>
                            <w:jc w:val="both"/>
                            <w:textAlignment w:val="baseline"/>
                            <w:rPr>
                              <w:sz w:val="22"/>
                              <w:szCs w:val="22"/>
                            </w:rPr>
                          </w:pPr>
                          <w:r>
                            <w:rPr>
                              <w:sz w:val="22"/>
                              <w:szCs w:val="22"/>
                            </w:rPr>
                            <w:t>1. privalomos projekto matomumo ir informavimo apie projektą priemonės;</w:t>
                          </w:r>
                        </w:p>
                        <w:p>
                          <w:pPr>
                            <w:ind w:left="164"/>
                            <w:jc w:val="both"/>
                            <w:textAlignment w:val="baseline"/>
                            <w:rPr>
                              <w:sz w:val="22"/>
                              <w:szCs w:val="22"/>
                            </w:rPr>
                          </w:pPr>
                          <w:r>
                            <w:rPr>
                              <w:sz w:val="22"/>
                              <w:szCs w:val="22"/>
                            </w:rPr>
                            <w:t>2. papildomos paraiškoje numatytos projekto veiklų sklaidos ir viešinimo priemonės.</w:t>
                          </w:r>
                        </w:p>
                        <w:p>
                          <w:pPr>
                            <w:jc w:val="both"/>
                            <w:textAlignment w:val="baseline"/>
                            <w:rPr>
                              <w:color w:val="000000"/>
                              <w:sz w:val="22"/>
                              <w:szCs w:val="22"/>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6. 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 w:val="22"/>
                              <w:szCs w:val="22"/>
                              <w:lang w:eastAsia="lt-LT"/>
                            </w:rPr>
                          </w:pPr>
                          <w:r>
                            <w:rPr>
                              <w:sz w:val="22"/>
                              <w:szCs w:val="22"/>
                              <w:lang w:eastAsia="lt-LT"/>
                            </w:rPr>
                            <w:t>Netiesioginės išlaidos ir kitos išlaidos pagal fiksuotąją projekto išlaidų normą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ind w:left="164"/>
                            <w:jc w:val="both"/>
                            <w:textAlignment w:val="baseline"/>
                            <w:rPr>
                              <w:sz w:val="22"/>
                              <w:szCs w:val="22"/>
                            </w:rPr>
                          </w:pPr>
                          <w:r>
                            <w:rPr>
                              <w:sz w:val="22"/>
                              <w:szCs w:val="22"/>
                              <w:lang w:eastAsia="lt-LT"/>
                            </w:rPr>
                            <w:t>Netiesioginės projekto išlaidos apmokamos taikant fiksuotąją normą (7 proc. nuo tinkamų finansuoti projekto tiesioginių išlaidų).</w:t>
                          </w:r>
                        </w:p>
                        <w:p>
                          <w:pPr>
                            <w:jc w:val="both"/>
                            <w:textAlignment w:val="baseline"/>
                            <w:rPr>
                              <w:color w:val="000000"/>
                              <w:sz w:val="22"/>
                              <w:szCs w:val="22"/>
                            </w:rPr>
                          </w:pPr>
                        </w:p>
                      </w:tc>
                    </w:tr>
                  </w:tbl>
                  <w:p>
                    <w:pPr>
                      <w:tabs>
                        <w:tab w:val="left" w:pos="459"/>
                      </w:tabs>
                      <w:jc w:val="both"/>
                      <w:rPr>
                        <w:color w:val="000000"/>
                        <w:sz w:val="22"/>
                        <w:szCs w:val="22"/>
                      </w:rPr>
                    </w:pPr>
                  </w:p>
                </w:tc>
              </w:tr>
            </w:tbl>
            <w:p>
              <w:pPr>
                <w:jc w:val="center"/>
                <w:rPr>
                  <w:b/>
                  <w:szCs w:val="24"/>
                </w:rPr>
              </w:pPr>
            </w:p>
          </w:sdtContent>
        </w:sdt>
        <w:sdt>
          <w:sdtPr>
            <w:alias w:val="skyrius"/>
            <w:tag w:val="part_df617b08e9c44d22aee3c82690af6cea"/>
            <w:lock w:val="sdtLocked"/>
            <w:richText/>
          </w:sdtPr>
          <w:sdtContent>
            <w:p>
              <w:pPr>
                <w:jc w:val="center"/>
                <w:rPr>
                  <w:b/>
                  <w:szCs w:val="24"/>
                </w:rPr>
              </w:pPr>
              <w:sdt>
                <w:sdtPr>
                  <w:alias w:val="Numeris"/>
                  <w:tag w:val="nr_df617b08e9c44d22aee3c82690af6cea"/>
                  <w:lock w:val="sdtLocked"/>
                  <w:richText/>
                </w:sdtPr>
                <w:sdtContent>
                  <w:r>
                    <w:rPr>
                      <w:b/>
                      <w:szCs w:val="24"/>
                    </w:rPr>
                    <w:t>IV</w:t>
                  </w:r>
                </w:sdtContent>
              </w:sdt>
              <w:r>
                <w:rPr>
                  <w:b/>
                  <w:szCs w:val="24"/>
                </w:rPr>
                <w:t xml:space="preserve"> SKYRIUS</w:t>
              </w:r>
            </w:p>
            <w:p>
              <w:pPr>
                <w:jc w:val="center"/>
                <w:rPr>
                  <w:b/>
                  <w:szCs w:val="24"/>
                </w:rPr>
              </w:pPr>
              <w:sdt>
                <w:sdtPr>
                  <w:alias w:val="Pavadinimas"/>
                  <w:tag w:val="title_df617b08e9c44d22aee3c82690af6cea"/>
                  <w:lock w:val="sdtLocked"/>
                  <w:richText/>
                </w:sdtPr>
                <w:sdtContent>
                  <w:r>
                    <w:rPr>
                      <w:b/>
                      <w:szCs w:val="24"/>
                    </w:rPr>
                    <w:t>SUPAPRASTINTAI APMOKAMŲ IŠLAIDŲ DYDŽIAI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rPr>
                  <w:trHeight w:val="349"/>
                </w:trPr>
                <w:tc>
                  <w:tcPr>
                    <w:tcW w:w="15134" w:type="dxa"/>
                  </w:tcPr>
                  <w:p>
                    <w:pPr>
                      <w:jc w:val="both"/>
                      <w:rPr>
                        <w:bCs/>
                        <w:szCs w:val="24"/>
                      </w:rPr>
                    </w:pPr>
                    <w:r>
                      <w:rPr>
                        <w:b/>
                        <w:szCs w:val="24"/>
                      </w:rPr>
                      <w:t>17. Projektų veiklų ir jungtinio projekto projektų įgyvendinimui taikomi supaprastintai apmokamų išlaidų dydžiai</w:t>
                    </w:r>
                  </w:p>
                </w:tc>
              </w:tr>
              <w:tr>
                <w:tc>
                  <w:tcPr>
                    <w:tcW w:w="15134" w:type="dxa"/>
                  </w:tcPr>
                  <w:p>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sz w:val="22"/>
                              <w:szCs w:val="22"/>
                            </w:rPr>
                            <w:t>Netiesioginės išlaidos sudaro iki 7 proc. tinkamų finansuoti tiesioginių projekto išlaidų.</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22"/>
                              <w:szCs w:val="22"/>
                            </w:rPr>
                          </w:pPr>
                        </w:p>
                        <w:p>
                          <w:pPr>
                            <w:jc w:val="both"/>
                            <w:rPr>
                              <w:sz w:val="22"/>
                              <w:szCs w:val="22"/>
                            </w:rPr>
                          </w:pPr>
                          <w:r>
                            <w:rPr>
                              <w:sz w:val="22"/>
                              <w:szCs w:val="22"/>
                            </w:rPr>
                            <w:t>Privalomos projektų matomumo ir informavimo apie projektus priemonės</w:t>
                          </w:r>
                        </w:p>
                        <w:p>
                          <w:pPr>
                            <w:rPr>
                              <w:sz w:val="22"/>
                              <w:szCs w:val="22"/>
                            </w:rPr>
                          </w:pP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22"/>
                              <w:szCs w:val="22"/>
                            </w:rPr>
                          </w:pPr>
                        </w:p>
                        <w:p>
                          <w:pPr>
                            <w:jc w:val="both"/>
                            <w:rPr>
                              <w:sz w:val="22"/>
                              <w:szCs w:val="22"/>
                            </w:rPr>
                          </w:pPr>
                          <w:r>
                            <w:rPr>
                              <w:sz w:val="22"/>
                              <w:szCs w:val="22"/>
                            </w:rPr>
                            <w:t>Privalomos projektų matomumo ir informavimo apie projektus priemonės</w:t>
                          </w:r>
                        </w:p>
                        <w:p>
                          <w:pPr>
                            <w:rPr>
                              <w:sz w:val="22"/>
                              <w:szCs w:val="22"/>
                            </w:rPr>
                          </w:pP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taikoma, kai priklauso 20 darbo dienų (toliau – d. d.) (jeigu dirbama 5 d. d. per savaitę) arba 24 d. d. (jeigu dirbama 6 d. d. per savaitę) kasmetinių atostogų</w:t>
                          </w:r>
                        </w:p>
                        <w:p>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bl>
                  <w:p>
                    <w:pPr>
                      <w:jc w:val="both"/>
                      <w:rPr>
                        <w:sz w:val="22"/>
                        <w:szCs w:val="22"/>
                      </w:rPr>
                    </w:pPr>
                  </w:p>
                </w:tc>
              </w:tr>
            </w:tbl>
            <w:p>
              <w:pPr>
                <w:tabs>
                  <w:tab w:val="center" w:pos="4986"/>
                  <w:tab w:val="right" w:pos="9972"/>
                </w:tabs>
                <w:jc w:val="cente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1134" w:left="1134" w:header="567" w:footer="567" w:gutter="0"/>
                  <w:pgNumType w:start="1"/>
                  <w:cols w:space="1296"/>
                  <w:titlePg/>
                  <w:docGrid w:linePitch="360"/>
                </w:sectPr>
              </w:pPr>
              <w:r>
                <w:rPr>
                  <w:rFonts w:eastAsia="Calibri"/>
                  <w:szCs w:val="24"/>
                </w:rPr>
                <w:t>____________</w:t>
              </w:r>
            </w:p>
            <w:p>
              <w:pPr>
                <w:tabs>
                  <w:tab w:val="center" w:pos="4819"/>
                  <w:tab w:val="right" w:pos="9638"/>
                </w:tabs>
              </w:pPr>
            </w:p>
            <w:p>
              <w:pPr>
                <w:tabs>
                  <w:tab w:val="center" w:pos="4819"/>
                  <w:tab w:val="right" w:pos="9638"/>
                </w:tabs>
                <w:rPr>
                  <w:b/>
                  <w:bCs/>
                  <w:sz w:val="22"/>
                  <w:szCs w:val="22"/>
                </w:rPr>
              </w:pPr>
            </w:p>
          </w:sdtContent>
        </w:sdt>
      </w:sdtContent>
    </w:sdt>
    <w:sdt>
      <w:sdtPr>
        <w:alias w:val="1 pr."/>
        <w:tag w:val="part_1b8f93eed0074d4eb11c41d125b0c8de"/>
        <w:lock w:val="sdtLocked"/>
        <w:richText/>
      </w:sdtPr>
      <w:sdtContent>
        <w:p>
          <w:pPr>
            <w:ind w:left="9639"/>
            <w:jc w:val="both"/>
            <w:rPr>
              <w:szCs w:val="24"/>
            </w:rPr>
          </w:pPr>
          <w:r>
            <w:rPr>
              <w:szCs w:val="24"/>
            </w:rPr>
            <w:t>4 priedo „2022–2030 m. plėtros programos valdytojos Lietuvos Respublikos švietimo, mokslo ir sporto ministerijos mokslo plėtros programos pažangos priemonės Nr. 12-001-01-02-01 „Stiprinti inovacijų ekosistemas mokslo centruose“ projektų finansavimo sąlygų aprašo Nr. 4“</w:t>
          </w:r>
        </w:p>
        <w:p>
          <w:pPr>
            <w:ind w:left="9639"/>
            <w:rPr>
              <w:szCs w:val="24"/>
            </w:rPr>
          </w:pPr>
          <w:sdt>
            <w:sdtPr>
              <w:alias w:val="Numeris"/>
              <w:tag w:val="nr_1b8f93eed0074d4eb11c41d125b0c8de"/>
              <w:lock w:val="sdtLocked"/>
              <w:richText/>
            </w:sdtPr>
            <w:sdtContent>
              <w:r>
                <w:rPr>
                  <w:szCs w:val="24"/>
                </w:rPr>
                <w:t>1</w:t>
              </w:r>
            </w:sdtContent>
          </w:sdt>
          <w:r>
            <w:rPr>
              <w:szCs w:val="24"/>
            </w:rPr>
            <w:t xml:space="preserve"> priedas</w:t>
          </w:r>
        </w:p>
        <w:p>
          <w:pPr>
            <w:rPr>
              <w:rFonts w:eastAsia="Calibri"/>
              <w:b/>
              <w:bCs/>
              <w:szCs w:val="24"/>
            </w:rPr>
          </w:pPr>
        </w:p>
        <w:p>
          <w:pPr>
            <w:jc w:val="center"/>
            <w:rPr>
              <w:rFonts w:eastAsia="Calibri"/>
              <w:b/>
              <w:bCs/>
              <w:szCs w:val="24"/>
            </w:rPr>
          </w:pPr>
          <w:sdt>
            <w:sdtPr>
              <w:alias w:val="Pavadinimas"/>
              <w:tag w:val="title_1b8f93eed0074d4eb11c41d125b0c8de"/>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sz w:val="22"/>
              <w:szCs w:val="22"/>
            </w:rPr>
          </w:pPr>
          <w:r>
            <w:rPr>
              <w:rFonts w:eastAsia="Calibri"/>
              <w:sz w:val="22"/>
              <w:szCs w:val="22"/>
            </w:rPr>
            <w:t>Finansavimo šaltinis, pagal kurį finansuojamas projektas (</w:t>
          </w:r>
          <w:r>
            <w:rPr>
              <w:rFonts w:eastAsia="Calibri"/>
              <w:i/>
              <w:iCs/>
              <w:sz w:val="22"/>
              <w:szCs w:val="22"/>
            </w:rPr>
            <w:t>pažymėkite tinkamą</w:t>
          </w:r>
          <w:r>
            <w:rPr>
              <w:rFonts w:eastAsia="Calibri"/>
              <w:sz w:val="22"/>
              <w:szCs w:val="22"/>
            </w:rPr>
            <w:t xml:space="preserve">): </w:t>
          </w:r>
        </w:p>
        <w:p>
          <w:pPr>
            <w:spacing w:line="276" w:lineRule="auto"/>
            <w:jc w:val="both"/>
            <w:rPr>
              <w:rFonts w:eastAsia="Calibri"/>
              <w:sz w:val="22"/>
              <w:szCs w:val="22"/>
            </w:rPr>
          </w:pPr>
          <w:r>
            <w:rPr>
              <w:rFonts w:ascii="Wingdings 2" w:eastAsia="Wingdings 2" w:hAnsi="Wingdings 2" w:cs="Wingdings 2"/>
              <w:sz w:val="22"/>
              <w:szCs w:val="22"/>
            </w:rPr>
            <w:t></w:t>
          </w:r>
          <w:r>
            <w:rPr>
              <w:rFonts w:eastAsia="Calibri"/>
              <w:sz w:val="22"/>
              <w:szCs w:val="22"/>
            </w:rPr>
            <w:t>Ekonomikos gaivinimo ir atsparumo didinimo priemonė (toliau – EGADP)</w:t>
          </w:r>
        </w:p>
        <w:p>
          <w:pPr>
            <w:spacing w:line="276" w:lineRule="auto"/>
            <w:jc w:val="both"/>
            <w:rPr>
              <w:rFonts w:eastAsia="Calibri"/>
              <w:sz w:val="22"/>
              <w:szCs w:val="22"/>
            </w:rPr>
          </w:pPr>
          <w:r>
            <w:rPr>
              <w:sz w:val="22"/>
              <w:szCs w:val="22"/>
            </w:rPr>
            <w:t>× Europos Sąjungos fondų i</w:t>
          </w:r>
          <w:r>
            <w:rPr>
              <w:rFonts w:eastAsia="Calibri"/>
              <w:sz w:val="22"/>
              <w:szCs w:val="22"/>
            </w:rPr>
            <w:t>nvesticijų programa (toliau – ESIP)</w:t>
          </w:r>
        </w:p>
        <w:p>
          <w:pPr>
            <w:spacing w:line="276" w:lineRule="auto"/>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 w:val="22"/>
                    <w:szCs w:val="22"/>
                  </w:rPr>
                </w:pPr>
                <w:r>
                  <w:rPr>
                    <w:rFonts w:eastAsia="Calibri"/>
                    <w:sz w:val="22"/>
                    <w:szCs w:val="22"/>
                  </w:rPr>
                  <w:t>1.</w:t>
                  <w:tab/>
                  <w:t>Klimato kaitos švelninimas</w:t>
                </w:r>
              </w:p>
            </w:tc>
            <w:tc>
              <w:tcPr>
                <w:tcW w:w="4633" w:type="dxa"/>
              </w:tcPr>
              <w:p>
                <w:pPr>
                  <w:spacing w:line="259" w:lineRule="auto"/>
                  <w:jc w:val="both"/>
                  <w:rPr>
                    <w:rFonts w:eastAsia="Calibri"/>
                    <w:bCs/>
                    <w:i/>
                    <w:sz w:val="22"/>
                    <w:szCs w:val="22"/>
                  </w:rPr>
                </w:pPr>
                <w:r>
                  <w:rPr>
                    <w:rFonts w:eastAsia="Calibri"/>
                    <w:bCs/>
                    <w:sz w:val="22"/>
                    <w:szCs w:val="22"/>
                  </w:rPr>
                  <w:t xml:space="preserve">Planuojamos įgyvendinti veiklos neturi jokio numatomo poveikio šiam aplinkos tikslui arba numatomas jų poveikis yra nereikšmingas, t. y. nedaro tiesioginio ir pirminio netiesioginio poveikio per visą gyvavimo ciklą, todėl laikoma, kad jos atitinka klimato kaitos švelninimo tikslą, </w:t>
                </w:r>
                <w:r>
                  <w:rPr>
                    <w:rFonts w:eastAsia="Calibri"/>
                    <w:bCs/>
                    <w:i/>
                    <w:sz w:val="22"/>
                    <w:szCs w:val="22"/>
                  </w:rPr>
                  <w:t xml:space="preserve">nes: </w:t>
                </w:r>
              </w:p>
              <w:p>
                <w:pPr>
                  <w:tabs>
                    <w:tab w:val="left" w:pos="366"/>
                  </w:tabs>
                  <w:jc w:val="both"/>
                  <w:rPr>
                    <w:rFonts w:eastAsia="Calibri"/>
                    <w:bCs/>
                    <w:i/>
                    <w:sz w:val="22"/>
                    <w:szCs w:val="22"/>
                  </w:rPr>
                </w:pPr>
                <w:r>
                  <w:rPr>
                    <w:rFonts w:eastAsia="Calibri"/>
                    <w:bCs/>
                    <w:sz w:val="22"/>
                    <w:szCs w:val="22"/>
                  </w:rPr>
                  <w:t>-</w:t>
                  <w:tab/>
                </w:r>
                <w:r>
                  <w:rPr>
                    <w:rFonts w:eastAsia="Calibri"/>
                    <w:bCs/>
                    <w:sz w:val="22"/>
                    <w:szCs w:val="22"/>
                  </w:rPr>
                  <w:t xml:space="preserve">planuojama įsigyti įranga privalės atitikti (tai bus numatoma atitinkamuose įrangos įsigijimo dokumentuose) efektyvumo, tvarumo, ilgaamžiškumo reikalavimus pagal 2009 m. spalio 21 d. Europos Parlamento ir Tarybos direktyvą </w:t>
                </w:r>
                <w:fldSimple w:instr="HYPERLINK http://eur-lex.europa.eu/legal-content/LIT/TXT/?uri=CELEX:32009L0125&amp;locale=lt \t _blank">
                  <w:r>
                    <w:rPr>
                      <w:rFonts w:eastAsia="Calibri"/>
                      <w:bCs/>
                      <w:sz w:val="22"/>
                      <w:szCs w:val="22"/>
                      <w:u w:val="single"/>
                      <w:color w:val="0000FF" w:themeColor="hyperlink"/>
                    </w:rPr>
                    <w:t>2009/125/EB</w:t>
                  </w:r>
                </w:fldSimple>
                <w:r>
                  <w:rPr>
                    <w:rFonts w:eastAsia="Calibri"/>
                    <w:bCs/>
                    <w:sz w:val="22"/>
                    <w:szCs w:val="22"/>
                  </w:rPr>
                  <w:t xml:space="preserve">, nustatančią ekologinio projektavimo reikalavimų su energija susijusiems gaminiams nustatymo sistemą (toliau – Direktyva </w:t>
                </w:r>
                <w:fldSimple w:instr="HYPERLINK http://eur-lex.europa.eu/legal-content/LIT/TXT/?uri=CELEX:32009L0125&amp;locale=lt \t _blank">
                  <w:r>
                    <w:rPr>
                      <w:rFonts w:eastAsia="Calibri"/>
                      <w:bCs/>
                      <w:sz w:val="22"/>
                      <w:szCs w:val="22"/>
                      <w:u w:val="single"/>
                      <w:color w:val="0000FF" w:themeColor="hyperlink"/>
                    </w:rPr>
                    <w:t>2009/125</w:t>
                  </w:r>
                </w:fldSimple>
                <w:r>
                  <w:rPr>
                    <w:rFonts w:eastAsia="Calibri"/>
                    <w:bCs/>
                    <w:sz w:val="22"/>
                    <w:szCs w:val="22"/>
                  </w:rPr>
                  <w:t xml:space="preserve">/EC) ir 2011 m. birželio 8 d. Europos Parlamento ir Tarybos direktyvą </w:t>
                </w:r>
                <w:fldSimple w:instr="HYPERLINK http://eur-lex.europa.eu/legal-content/LIT/TXT/?uri=CELEX:32011L0065&amp;locale=lt \t _blank">
                  <w:r>
                    <w:rPr>
                      <w:rFonts w:eastAsia="Calibri"/>
                      <w:bCs/>
                      <w:sz w:val="22"/>
                      <w:szCs w:val="22"/>
                      <w:u w:val="single"/>
                      <w:color w:val="0000FF" w:themeColor="hyperlink"/>
                    </w:rPr>
                    <w:t>2011/65/ES</w:t>
                  </w:r>
                </w:fldSimple>
                <w:r>
                  <w:rPr>
                    <w:rFonts w:eastAsia="Calibri"/>
                    <w:bCs/>
                    <w:sz w:val="22"/>
                    <w:szCs w:val="22"/>
                  </w:rPr>
                  <w:t xml:space="preserve"> dėl tam tikrų pavojingų medžiagų naudojimo elektros ir elektroninėje įrangoje apribojimo (toliau – Direktyva </w:t>
                </w:r>
                <w:fldSimple w:instr="HYPERLINK http://eur-lex.europa.eu/legal-content/LIT/TXT/?uri=CELEX:32011L0065&amp;locale=lt \t _blank">
                  <w:r>
                    <w:rPr>
                      <w:rFonts w:eastAsia="Calibri"/>
                      <w:bCs/>
                      <w:sz w:val="22"/>
                      <w:szCs w:val="22"/>
                      <w:u w:val="single"/>
                      <w:color w:val="0000FF" w:themeColor="hyperlink"/>
                    </w:rPr>
                    <w:t>2011/65</w:t>
                  </w:r>
                </w:fldSimple>
                <w:r>
                  <w:rPr>
                    <w:rFonts w:eastAsia="Calibri"/>
                    <w:bCs/>
                    <w:sz w:val="22"/>
                    <w:szCs w:val="22"/>
                  </w:rPr>
                  <w:t>/EU) (taikoma, jeigu vykdant veiklas, yra numatoma įsigyti IT ir kt. įrangą).</w:t>
                </w:r>
              </w:p>
            </w:tc>
            <w:tc>
              <w:tcPr>
                <w:tcW w:w="5331" w:type="dxa"/>
              </w:tcPr>
              <w:p>
                <w:pPr>
                  <w:tabs>
                    <w:tab w:val="left" w:pos="589"/>
                  </w:tabs>
                  <w:spacing w:line="259" w:lineRule="auto"/>
                  <w:jc w:val="both"/>
                  <w:rPr>
                    <w:rFonts w:eastAsia="Calibri"/>
                    <w:sz w:val="22"/>
                    <w:szCs w:val="22"/>
                  </w:rPr>
                </w:pPr>
                <w:r>
                  <w:rPr>
                    <w:rFonts w:eastAsia="Calibri"/>
                    <w:sz w:val="22"/>
                    <w:szCs w:val="22"/>
                  </w:rPr>
                  <w:t>Pirkimų dokumentacija, sutartis su rangovu, darbų atlikimo aktas ir pan.</w:t>
                </w:r>
              </w:p>
              <w:p>
                <w:pPr>
                  <w:tabs>
                    <w:tab w:val="left" w:pos="589"/>
                  </w:tabs>
                  <w:spacing w:line="259" w:lineRule="auto"/>
                  <w:jc w:val="both"/>
                  <w:rPr>
                    <w:rFonts w:eastAsia="Calibri"/>
                    <w:sz w:val="22"/>
                    <w:szCs w:val="22"/>
                  </w:rPr>
                </w:pPr>
              </w:p>
              <w:p>
                <w:pPr>
                  <w:tabs>
                    <w:tab w:val="left" w:pos="589"/>
                  </w:tabs>
                  <w:jc w:val="both"/>
                  <w:rPr>
                    <w:rFonts w:eastAsia="Calibri"/>
                    <w:sz w:val="22"/>
                    <w:szCs w:val="22"/>
                  </w:rPr>
                </w:pPr>
                <w:r>
                  <w:rPr>
                    <w:rFonts w:eastAsia="Calibri"/>
                    <w:sz w:val="22"/>
                    <w:szCs w:val="22"/>
                  </w:rPr>
                  <w:t>Įrangos įsigijimo dokumentai.</w:t>
                </w:r>
              </w:p>
              <w:p>
                <w:pPr>
                  <w:tabs>
                    <w:tab w:val="left" w:pos="589"/>
                  </w:tabs>
                  <w:jc w:val="both"/>
                  <w:rPr>
                    <w:rFonts w:eastAsia="Calibri"/>
                    <w:sz w:val="22"/>
                    <w:szCs w:val="22"/>
                  </w:rPr>
                </w:pPr>
                <w:r>
                  <w:rPr>
                    <w:rFonts w:eastAsia="Calibri"/>
                    <w:sz w:val="22"/>
                    <w:szCs w:val="22"/>
                  </w:rPr>
                  <w:t>Projekto vykdytojo deklaracija.</w:t>
                </w:r>
              </w:p>
              <w:p>
                <w:pPr>
                  <w:tabs>
                    <w:tab w:val="left" w:pos="589"/>
                  </w:tabs>
                  <w:jc w:val="both"/>
                  <w:rPr>
                    <w:rFonts w:eastAsia="Calibri"/>
                    <w:i/>
                    <w:sz w:val="22"/>
                    <w:szCs w:val="22"/>
                  </w:rPr>
                </w:pPr>
              </w:p>
            </w:tc>
          </w:tr>
          <w:tr>
            <w:tc>
              <w:tcPr>
                <w:tcW w:w="4885" w:type="dxa"/>
              </w:tcPr>
              <w:p>
                <w:pPr>
                  <w:tabs>
                    <w:tab w:val="left" w:pos="289"/>
                  </w:tabs>
                  <w:jc w:val="both"/>
                  <w:rPr>
                    <w:rFonts w:eastAsia="Calibri"/>
                    <w:sz w:val="22"/>
                    <w:szCs w:val="22"/>
                  </w:rPr>
                </w:pPr>
                <w:r>
                  <w:rPr>
                    <w:rFonts w:eastAsia="Calibri"/>
                    <w:sz w:val="22"/>
                    <w:szCs w:val="22"/>
                  </w:rPr>
                  <w:t>2.</w:t>
                  <w:tab/>
                  <w:t>Prisitaikymas prie klimato kaitos</w:t>
                </w:r>
              </w:p>
            </w:tc>
            <w:tc>
              <w:tcPr>
                <w:tcW w:w="4633" w:type="dxa"/>
              </w:tcPr>
              <w:p>
                <w:pPr>
                  <w:jc w:val="both"/>
                  <w:rPr>
                    <w:rFonts w:eastAsia="Calibri"/>
                    <w:bCs/>
                    <w:sz w:val="22"/>
                    <w:szCs w:val="22"/>
                  </w:rPr>
                </w:pPr>
                <w:r>
                  <w:rPr>
                    <w:rFonts w:eastAsia="Calibri"/>
                    <w:bCs/>
                    <w:sz w:val="22"/>
                    <w:szCs w:val="22"/>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(kondesavimo) poreikius ir kt.</w:t>
                </w:r>
              </w:p>
            </w:tc>
            <w:tc>
              <w:tcPr>
                <w:tcW w:w="5331" w:type="dxa"/>
              </w:tcPr>
              <w:p>
                <w:pPr>
                  <w:tabs>
                    <w:tab w:val="left" w:pos="31"/>
                  </w:tabs>
                  <w:jc w:val="both"/>
                  <w:rPr>
                    <w:rFonts w:eastAsia="Calibri"/>
                    <w:sz w:val="22"/>
                    <w:szCs w:val="22"/>
                  </w:rPr>
                </w:pPr>
                <w:r>
                  <w:rPr>
                    <w:rFonts w:eastAsia="Calibri"/>
                    <w:sz w:val="22"/>
                    <w:szCs w:val="22"/>
                  </w:rPr>
                  <w:t>Pirkimų dokumentacija, sutartis su rangovu, darbų atlikimo aktas ir pan.</w:t>
                </w:r>
              </w:p>
              <w:p>
                <w:pPr>
                  <w:rPr>
                    <w:sz w:val="22"/>
                    <w:szCs w:val="22"/>
                  </w:rPr>
                </w:pPr>
              </w:p>
              <w:p>
                <w:pPr>
                  <w:jc w:val="both"/>
                  <w:rPr>
                    <w:rFonts w:eastAsia="Calibri"/>
                    <w:sz w:val="22"/>
                    <w:szCs w:val="22"/>
                  </w:rPr>
                </w:pPr>
                <w:r>
                  <w:rPr>
                    <w:rFonts w:eastAsia="Calibri"/>
                    <w:sz w:val="22"/>
                    <w:szCs w:val="22"/>
                  </w:rPr>
                  <w:t>Įrangos įsigijimo dokumentai.</w:t>
                </w:r>
              </w:p>
              <w:p>
                <w:pPr>
                  <w:jc w:val="both"/>
                  <w:rPr>
                    <w:rFonts w:eastAsia="Calibri"/>
                    <w:b/>
                    <w:sz w:val="22"/>
                    <w:szCs w:val="22"/>
                  </w:rPr>
                </w:pPr>
                <w:r>
                  <w:rPr>
                    <w:rFonts w:eastAsia="Calibri"/>
                    <w:sz w:val="22"/>
                    <w:szCs w:val="22"/>
                  </w:rPr>
                  <w:t>Projekto vykdytojo deklaracija.</w:t>
                </w:r>
              </w:p>
            </w:tc>
          </w:tr>
          <w:tr>
            <w:tc>
              <w:tcPr>
                <w:tcW w:w="4885" w:type="dxa"/>
              </w:tcPr>
              <w:p>
                <w:pPr>
                  <w:tabs>
                    <w:tab w:val="left" w:pos="289"/>
                  </w:tabs>
                  <w:jc w:val="both"/>
                  <w:rPr>
                    <w:rFonts w:eastAsia="Calibri"/>
                    <w:sz w:val="22"/>
                    <w:szCs w:val="22"/>
                  </w:rPr>
                </w:pPr>
                <w:r>
                  <w:rPr>
                    <w:rFonts w:eastAsia="Calibri"/>
                    <w:sz w:val="22"/>
                    <w:szCs w:val="22"/>
                  </w:rPr>
                  <w:t>3.</w:t>
                  <w:tab/>
                  <w:t>Tausus vandens ir jūrų išteklių naudojimas ir apsauga</w:t>
                </w:r>
              </w:p>
            </w:tc>
            <w:tc>
              <w:tcPr>
                <w:tcW w:w="4633" w:type="dxa"/>
              </w:tcPr>
              <w:p>
                <w:pPr>
                  <w:jc w:val="both"/>
                  <w:rPr>
                    <w:rFonts w:eastAsia="Calibri"/>
                    <w:b/>
                    <w:sz w:val="22"/>
                    <w:szCs w:val="22"/>
                  </w:rPr>
                </w:pPr>
                <w:r>
                  <w:rPr>
                    <w:rFonts w:eastAsia="Calibri"/>
                    <w:sz w:val="22"/>
                    <w:szCs w:val="22"/>
                  </w:rPr>
                  <w:t>Planuojamos įgyvendinti veiklos neturi jokio numatomo poveikio šiam aplinkos tikslui arba numatomas jų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pPr>
                  <w:jc w:val="both"/>
                  <w:rPr>
                    <w:rFonts w:eastAsia="Calibri"/>
                    <w:bCs/>
                    <w:sz w:val="22"/>
                    <w:szCs w:val="22"/>
                  </w:rPr>
                </w:pPr>
                <w:r>
                  <w:rPr>
                    <w:rFonts w:eastAsia="Calibri"/>
                    <w:bCs/>
                    <w:sz w:val="22"/>
                    <w:szCs w:val="22"/>
                  </w:rPr>
                  <w:t>Pirkimų dokumentacija, sutartis su rangovu, darbų atlikimo aktas ir pan.</w:t>
                </w:r>
              </w:p>
              <w:p>
                <w:pPr>
                  <w:rPr>
                    <w:sz w:val="22"/>
                    <w:szCs w:val="22"/>
                  </w:rPr>
                </w:pPr>
              </w:p>
              <w:p>
                <w:pPr>
                  <w:jc w:val="both"/>
                  <w:rPr>
                    <w:rFonts w:eastAsia="Calibri"/>
                    <w:bCs/>
                    <w:sz w:val="22"/>
                    <w:szCs w:val="22"/>
                  </w:rPr>
                </w:pPr>
                <w:r>
                  <w:rPr>
                    <w:rFonts w:eastAsia="Calibri"/>
                    <w:bCs/>
                    <w:sz w:val="22"/>
                    <w:szCs w:val="22"/>
                  </w:rPr>
                  <w:t>Įrangos įsigijimo dokumentai.</w:t>
                </w:r>
              </w:p>
              <w:p>
                <w:pPr>
                  <w:jc w:val="both"/>
                  <w:rPr>
                    <w:rFonts w:eastAsia="Calibri"/>
                    <w:bCs/>
                    <w:sz w:val="22"/>
                    <w:szCs w:val="22"/>
                  </w:rPr>
                </w:pPr>
                <w:r>
                  <w:rPr>
                    <w:rFonts w:eastAsia="Calibri"/>
                    <w:bCs/>
                    <w:sz w:val="22"/>
                    <w:szCs w:val="22"/>
                  </w:rPr>
                  <w:t>Projekto vykdytojo deklaracija.</w:t>
                </w:r>
              </w:p>
            </w:tc>
          </w:tr>
          <w:tr>
            <w:tc>
              <w:tcPr>
                <w:tcW w:w="4885" w:type="dxa"/>
              </w:tcPr>
              <w:p>
                <w:pPr>
                  <w:tabs>
                    <w:tab w:val="left" w:pos="289"/>
                  </w:tabs>
                  <w:jc w:val="both"/>
                  <w:rPr>
                    <w:rFonts w:eastAsia="Calibri"/>
                    <w:sz w:val="22"/>
                    <w:szCs w:val="22"/>
                  </w:rPr>
                </w:pPr>
                <w:r>
                  <w:rPr>
                    <w:rFonts w:eastAsia="Calibri"/>
                    <w:sz w:val="22"/>
                    <w:szCs w:val="22"/>
                  </w:rPr>
                  <w:t>4.</w:t>
                  <w:tab/>
                  <w:t>Perėjimas prie žiedinės ekonomikos, įskaitant atliekų prevenciją ir perdirbimą</w:t>
                </w:r>
              </w:p>
            </w:tc>
            <w:tc>
              <w:tcPr>
                <w:tcW w:w="4633" w:type="dxa"/>
              </w:tcPr>
              <w:p>
                <w:pPr>
                  <w:spacing w:line="259" w:lineRule="auto"/>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pPr>
                  <w:jc w:val="both"/>
                  <w:rPr>
                    <w:sz w:val="22"/>
                    <w:szCs w:val="22"/>
                  </w:rPr>
                </w:pPr>
              </w:p>
              <w:p>
                <w:pPr>
                  <w:spacing w:line="259" w:lineRule="auto"/>
                  <w:jc w:val="both"/>
                  <w:rPr>
                    <w:rFonts w:eastAsia="Calibri"/>
                    <w:bCs/>
                    <w:sz w:val="22"/>
                    <w:szCs w:val="22"/>
                  </w:rPr>
                </w:pPr>
                <w:r>
                  <w:rPr>
                    <w:rFonts w:eastAsia="Calibri"/>
                    <w:bCs/>
                    <w:sz w:val="22"/>
                    <w:szCs w:val="22"/>
                  </w:rPr>
                  <w:t xml:space="preserve">Planuojama įsigyti  įranga privalės atitikti (tai bus numatoma atitinkamuose  įrangos įsigijimo dokumentuose) efektyvumo, tvarumo, ilgaamžiškumo reikalavimus pagal Direktyvą </w:t>
                </w:r>
                <w:fldSimple w:instr="HYPERLINK http://eur-lex.europa.eu/legal-content/LIT/TXT/?uri=CELEX:32009L0125&amp;locale=lt \t _blank">
                  <w:r>
                    <w:rPr>
                      <w:rFonts w:eastAsia="Calibri"/>
                      <w:bCs/>
                      <w:sz w:val="22"/>
                      <w:szCs w:val="22"/>
                      <w:u w:val="single"/>
                      <w:color w:val="0000FF" w:themeColor="hyperlink"/>
                    </w:rPr>
                    <w:t>2009/125</w:t>
                  </w:r>
                </w:fldSimple>
                <w:r>
                  <w:rPr>
                    <w:rFonts w:eastAsia="Calibri"/>
                    <w:bCs/>
                    <w:sz w:val="22"/>
                    <w:szCs w:val="22"/>
                  </w:rPr>
                  <w:t xml:space="preserve">/EC (serveriams ir duomenims saugoti, kompiuteriams ir kompiuterių serveriams ar elektroniniams ekranams) ir Direktyvą </w:t>
                </w:r>
                <w:fldSimple w:instr="HYPERLINK http://eur-lex.europa.eu/legal-content/LIT/TXT/?uri=CELEX:32011L0065&amp;locale=lt \t _blank">
                  <w:r>
                    <w:rPr>
                      <w:rFonts w:eastAsia="Calibri"/>
                      <w:bCs/>
                      <w:sz w:val="22"/>
                      <w:szCs w:val="22"/>
                      <w:u w:val="single"/>
                      <w:color w:val="0000FF" w:themeColor="hyperlink"/>
                    </w:rPr>
                    <w:t>2011/65</w:t>
                  </w:r>
                </w:fldSimple>
                <w:r>
                  <w:rPr>
                    <w:rFonts w:eastAsia="Calibri"/>
                    <w:bCs/>
                    <w:sz w:val="22"/>
                    <w:szCs w:val="22"/>
                  </w:rPr>
                  <w:t>/EU.</w:t>
                </w:r>
              </w:p>
              <w:p>
                <w:pPr>
                  <w:spacing w:line="259" w:lineRule="auto"/>
                  <w:jc w:val="both"/>
                  <w:rPr>
                    <w:rFonts w:eastAsia="Calibri"/>
                    <w:bCs/>
                    <w:sz w:val="22"/>
                    <w:szCs w:val="22"/>
                  </w:rPr>
                </w:pPr>
              </w:p>
              <w:p>
                <w:pPr>
                  <w:jc w:val="both"/>
                  <w:rPr>
                    <w:rFonts w:eastAsia="Calibri"/>
                    <w:bCs/>
                    <w:sz w:val="22"/>
                    <w:szCs w:val="22"/>
                  </w:rPr>
                </w:pPr>
                <w:r>
                  <w:rPr>
                    <w:rFonts w:eastAsia="Calibri"/>
                    <w:bCs/>
                    <w:sz w:val="22"/>
                    <w:szCs w:val="22"/>
                  </w:rPr>
                  <w:t xml:space="preserve">Pasibaigus įsigytos įrangos naudingo tarnavimo laikui, įrangos tiekėjai (pardavėjai) privalės (tai bus numatoma atitinkamuose įrangos įsigijimo dokumentuose). Įrangos atliekas sutvarkyti vadovaudamiesi Direktyvos </w:t>
                </w:r>
                <w:fldSimple w:instr="HYPERLINK http://eur-lex.europa.eu/legal-content/LIT/TXT/?uri=CELEX:32012L0019&amp;locale=lt \t _blank">
                  <w:r>
                    <w:rPr>
                      <w:rFonts w:eastAsia="Calibri"/>
                      <w:bCs/>
                      <w:sz w:val="22"/>
                      <w:szCs w:val="22"/>
                      <w:u w:val="single"/>
                      <w:color w:val="0000FF" w:themeColor="hyperlink"/>
                    </w:rPr>
                    <w:t>2012/19</w:t>
                  </w:r>
                </w:fldSimple>
                <w:r>
                  <w:rPr>
                    <w:rFonts w:eastAsia="Calibri"/>
                    <w:bCs/>
                    <w:sz w:val="22"/>
                    <w:szCs w:val="22"/>
                  </w:rPr>
                  <w:t>/EU reikalavimais ir Lietuvos Respublikos teisės aktais, reglamentuojančiais atliekų tvarkymą, bei Valstybinio atliekų prevencijos ir tvarkymo plano nuostatomis.</w:t>
                </w:r>
              </w:p>
            </w:tc>
            <w:tc>
              <w:tcPr>
                <w:tcW w:w="5331" w:type="dxa"/>
              </w:tcPr>
              <w:p>
                <w:pPr>
                  <w:jc w:val="both"/>
                  <w:rPr>
                    <w:rFonts w:eastAsia="Calibri"/>
                    <w:sz w:val="22"/>
                    <w:szCs w:val="22"/>
                  </w:rPr>
                </w:pPr>
                <w:r>
                  <w:rPr>
                    <w:rFonts w:eastAsia="Calibri"/>
                    <w:sz w:val="22"/>
                    <w:szCs w:val="22"/>
                  </w:rPr>
                  <w:t>Pirkimų dokumentacija, sutartis su rangovu, darbų atlikimo aktas ir pan.</w:t>
                </w:r>
              </w:p>
              <w:p>
                <w:pPr>
                  <w:rPr>
                    <w:sz w:val="22"/>
                    <w:szCs w:val="22"/>
                  </w:rPr>
                </w:pPr>
              </w:p>
              <w:p>
                <w:pPr>
                  <w:jc w:val="both"/>
                  <w:rPr>
                    <w:rFonts w:eastAsia="Calibri"/>
                    <w:sz w:val="22"/>
                    <w:szCs w:val="22"/>
                  </w:rPr>
                </w:pPr>
                <w:r>
                  <w:rPr>
                    <w:rFonts w:eastAsia="Calibri"/>
                    <w:sz w:val="22"/>
                    <w:szCs w:val="22"/>
                  </w:rPr>
                  <w:t>IT įrangos įsigijimo dokumentai.</w:t>
                </w:r>
              </w:p>
              <w:p>
                <w:pPr>
                  <w:jc w:val="both"/>
                  <w:rPr>
                    <w:rFonts w:eastAsia="Calibri"/>
                    <w:sz w:val="22"/>
                    <w:szCs w:val="22"/>
                  </w:rPr>
                </w:pPr>
                <w:r>
                  <w:rPr>
                    <w:rFonts w:eastAsia="Calibri"/>
                    <w:sz w:val="22"/>
                    <w:szCs w:val="22"/>
                  </w:rPr>
                  <w:t>Projekto vykdytojo deklaracija.</w:t>
                </w:r>
              </w:p>
            </w:tc>
          </w:tr>
          <w:tr>
            <w:tc>
              <w:tcPr>
                <w:tcW w:w="4885" w:type="dxa"/>
              </w:tcPr>
              <w:p>
                <w:pPr>
                  <w:tabs>
                    <w:tab w:val="left" w:pos="289"/>
                  </w:tabs>
                  <w:jc w:val="both"/>
                  <w:rPr>
                    <w:rFonts w:eastAsia="Calibri"/>
                    <w:sz w:val="22"/>
                    <w:szCs w:val="22"/>
                  </w:rPr>
                </w:pPr>
                <w:r>
                  <w:rPr>
                    <w:rFonts w:eastAsia="Calibri"/>
                    <w:sz w:val="22"/>
                    <w:szCs w:val="22"/>
                  </w:rPr>
                  <w:t>5.</w:t>
                  <w:tab/>
                </w:r>
                <w:r>
                  <w:rPr>
                    <w:rFonts w:eastAsia="Calibri"/>
                    <w:bCs/>
                    <w:sz w:val="22"/>
                    <w:szCs w:val="22"/>
                  </w:rPr>
                  <w:t>Oro, vandens ar žemės taršos prevencija ir kontrolė</w:t>
                </w:r>
              </w:p>
            </w:tc>
            <w:tc>
              <w:tcPr>
                <w:tcW w:w="4633" w:type="dxa"/>
              </w:tcPr>
              <w:p>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 jų poveikis yra nereikšmingas, t. y. nedaro tiesioginio ir pirminio netiesioginio poveikio per visą gyvavimo ciklą, todėl laikoma, kad reformos atitinka oro, vandens ar žemės taršos prevencijos ir kontrolės tikslą.</w:t>
                </w:r>
              </w:p>
              <w:p>
                <w:pPr>
                  <w:jc w:val="both"/>
                  <w:rPr>
                    <w:sz w:val="22"/>
                    <w:szCs w:val="22"/>
                  </w:rPr>
                </w:pPr>
              </w:p>
              <w:p>
                <w:pPr>
                  <w:spacing w:line="259" w:lineRule="auto"/>
                  <w:jc w:val="both"/>
                  <w:rPr>
                    <w:rFonts w:eastAsia="Calibri"/>
                    <w:sz w:val="22"/>
                    <w:szCs w:val="22"/>
                  </w:rPr>
                </w:pPr>
                <w:r>
                  <w:rPr>
                    <w:rFonts w:eastAsia="Calibri"/>
                    <w:sz w:val="22"/>
                    <w:szCs w:val="22"/>
                  </w:rPr>
                  <w:t>Nenumatoma, kad įgyvendinant reformą ar investiciją padidės teršalų išmetimas į orą, vandenį ar žemę, kadangi:</w:t>
                </w:r>
              </w:p>
              <w:p>
                <w:pPr>
                  <w:jc w:val="both"/>
                  <w:rPr>
                    <w:rFonts w:eastAsia="Calibri"/>
                    <w:sz w:val="22"/>
                    <w:szCs w:val="22"/>
                  </w:rPr>
                </w:pPr>
                <w:r>
                  <w:rPr>
                    <w:rFonts w:eastAsia="Calibri"/>
                    <w:sz w:val="22"/>
                    <w:szCs w:val="22"/>
                  </w:rPr>
                  <w:t xml:space="preserve">* statybose naudojamose statybinėse dalyse ir medžiagose nėra asbesto ir labai didelį susirūpinimą keliančių medžiagų, nustatytų remiantis medžiagų, kurioms reikalingas leidimas, sąrašu, nurodytu Europos Parlamento reglamento </w:t>
                </w:r>
                <w:fldSimple w:instr="HYPERLINK http://eur-lex.europa.eu/legal-content/LIT/TXT/?uri=CELEX:32006R1907&amp;locale=lt \t _blank">
                  <w:r>
                    <w:rPr>
                      <w:rFonts w:eastAsia="Calibri"/>
                      <w:sz w:val="22"/>
                      <w:szCs w:val="22"/>
                      <w:u w:val="single"/>
                      <w:color w:val="0000FF" w:themeColor="hyperlink"/>
                    </w:rPr>
                    <w:t>(EB) Nr. 1907/2006</w:t>
                  </w:r>
                </w:fldSimple>
                <w:r>
                  <w:rPr>
                    <w:rFonts w:eastAsia="Calibri"/>
                    <w:sz w:val="22"/>
                    <w:szCs w:val="22"/>
                  </w:rPr>
                  <w:t xml:space="preserve"> XIV priede ir Tarybos;</w:t>
                </w:r>
              </w:p>
              <w:p>
                <w:pPr>
                  <w:jc w:val="both"/>
                  <w:rPr>
                    <w:rFonts w:eastAsia="Calibri"/>
                    <w:sz w:val="22"/>
                    <w:szCs w:val="22"/>
                  </w:rPr>
                </w:pPr>
                <w:r>
                  <w:rPr>
                    <w:rFonts w:eastAsia="Calibri"/>
                    <w:sz w:val="22"/>
                    <w:szCs w:val="22"/>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pPr>
                  <w:spacing w:line="259" w:lineRule="auto"/>
                  <w:jc w:val="both"/>
                  <w:rPr>
                    <w:rFonts w:eastAsia="Calibri"/>
                    <w:sz w:val="22"/>
                    <w:szCs w:val="22"/>
                  </w:rPr>
                </w:pPr>
                <w:r>
                  <w:rPr>
                    <w:rFonts w:eastAsia="Calibri"/>
                    <w:sz w:val="22"/>
                    <w:szCs w:val="22"/>
                  </w:rPr>
                  <w:t>* imamasi priemonių sumažinti triukšmą, dulkes ir teršalus išmetant statybos ar priežiūros darbus.</w:t>
                </w:r>
              </w:p>
              <w:p>
                <w:pPr>
                  <w:jc w:val="both"/>
                  <w:rPr>
                    <w:sz w:val="22"/>
                    <w:szCs w:val="22"/>
                  </w:rPr>
                </w:pPr>
              </w:p>
              <w:p>
                <w:pPr>
                  <w:spacing w:line="259" w:lineRule="auto"/>
                  <w:jc w:val="both"/>
                  <w:rPr>
                    <w:rFonts w:eastAsia="Calibri"/>
                    <w:sz w:val="22"/>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pPr>
                  <w:jc w:val="both"/>
                  <w:rPr>
                    <w:sz w:val="22"/>
                    <w:szCs w:val="22"/>
                  </w:rPr>
                </w:pPr>
              </w:p>
              <w:p>
                <w:pPr>
                  <w:jc w:val="both"/>
                  <w:rPr>
                    <w:rFonts w:eastAsia="Calibri"/>
                    <w:b/>
                    <w:sz w:val="22"/>
                    <w:szCs w:val="22"/>
                  </w:rPr>
                </w:pPr>
                <w:r>
                  <w:rPr>
                    <w:rFonts w:eastAsia="Calibri"/>
                    <w:sz w:val="22"/>
                    <w:szCs w:val="22"/>
                  </w:rPr>
                  <w:t xml:space="preserve">Veikla įgyvendinama vadovaujantis 2018 m. gruodžio 11 d. Europos Parlamento ir Tarybos Direktyva </w:t>
                </w:r>
                <w:fldSimple w:instr="HYPERLINK http://eur-lex.europa.eu/legal-content/LIT/TXT/?uri=CELEX:32018L2001&amp;locale=lt \t _blank">
                  <w:r>
                    <w:rPr>
                      <w:rFonts w:eastAsia="Calibri"/>
                      <w:sz w:val="22"/>
                      <w:szCs w:val="22"/>
                      <w:u w:val="single"/>
                      <w:color w:val="0000FF" w:themeColor="hyperlink"/>
                    </w:rPr>
                    <w:t>(ES) 2018/2001</w:t>
                  </w:r>
                </w:fldSimple>
                <w:r>
                  <w:rPr>
                    <w:rFonts w:eastAsia="Calibri"/>
                    <w:sz w:val="22"/>
                    <w:szCs w:val="22"/>
                  </w:rPr>
                  <w:t xml:space="preserve">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pPr>
                  <w:jc w:val="both"/>
                  <w:rPr>
                    <w:rFonts w:eastAsia="Calibri"/>
                    <w:sz w:val="22"/>
                    <w:szCs w:val="22"/>
                  </w:rPr>
                </w:pPr>
                <w:r>
                  <w:rPr>
                    <w:rFonts w:eastAsia="Calibri"/>
                    <w:sz w:val="22"/>
                    <w:szCs w:val="22"/>
                  </w:rPr>
                  <w:t>Pirkimų dokumentacija, sutartis su rangovu, darbų atlikimo aktas ir pan.</w:t>
                </w:r>
              </w:p>
              <w:p>
                <w:pPr>
                  <w:rPr>
                    <w:sz w:val="22"/>
                    <w:szCs w:val="22"/>
                  </w:rPr>
                </w:pPr>
              </w:p>
              <w:p>
                <w:pPr>
                  <w:jc w:val="both"/>
                  <w:rPr>
                    <w:rFonts w:eastAsia="Calibri"/>
                    <w:sz w:val="22"/>
                    <w:szCs w:val="22"/>
                  </w:rPr>
                </w:pPr>
                <w:r>
                  <w:rPr>
                    <w:rFonts w:eastAsia="Calibri"/>
                    <w:sz w:val="22"/>
                    <w:szCs w:val="22"/>
                  </w:rPr>
                  <w:t>Įrangos įsigijimo dokumentai.</w:t>
                </w:r>
              </w:p>
              <w:p>
                <w:pPr>
                  <w:jc w:val="both"/>
                  <w:rPr>
                    <w:rFonts w:eastAsia="Calibri"/>
                    <w:sz w:val="22"/>
                    <w:szCs w:val="22"/>
                  </w:rPr>
                </w:pPr>
                <w:r>
                  <w:rPr>
                    <w:rFonts w:eastAsia="Calibri"/>
                    <w:sz w:val="22"/>
                    <w:szCs w:val="22"/>
                  </w:rPr>
                  <w:t>Projekto vykdytojo deklaracija.</w:t>
                </w:r>
              </w:p>
            </w:tc>
          </w:tr>
          <w:tr>
            <w:tc>
              <w:tcPr>
                <w:tcW w:w="4885" w:type="dxa"/>
              </w:tcPr>
              <w:p>
                <w:pPr>
                  <w:tabs>
                    <w:tab w:val="left" w:pos="289"/>
                  </w:tabs>
                  <w:jc w:val="both"/>
                  <w:rPr>
                    <w:rFonts w:eastAsia="Calibri"/>
                    <w:sz w:val="22"/>
                    <w:szCs w:val="22"/>
                  </w:rPr>
                </w:pPr>
                <w:r>
                  <w:rPr>
                    <w:rFonts w:eastAsia="Calibri"/>
                    <w:sz w:val="22"/>
                    <w:szCs w:val="22"/>
                  </w:rPr>
                  <w:t>6.</w:t>
                  <w:tab/>
                  <w:t>Biologinės įvairovės ir ekosistemų apsauga ir atkūrimas</w:t>
                </w:r>
              </w:p>
            </w:tc>
            <w:tc>
              <w:tcPr>
                <w:tcW w:w="4633" w:type="dxa"/>
              </w:tcPr>
              <w:p>
                <w:pPr>
                  <w:spacing w:line="259" w:lineRule="auto"/>
                  <w:jc w:val="both"/>
                  <w:rPr>
                    <w:rFonts w:eastAsia="Calibri"/>
                    <w:sz w:val="22"/>
                    <w:szCs w:val="22"/>
                  </w:rPr>
                </w:pPr>
                <w:r>
                  <w:rPr>
                    <w:rFonts w:eastAsia="Calibri"/>
                    <w:sz w:val="22"/>
                    <w:szCs w:val="22"/>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pPr>
                  <w:jc w:val="both"/>
                  <w:rPr>
                    <w:sz w:val="22"/>
                    <w:szCs w:val="22"/>
                  </w:rPr>
                </w:pPr>
              </w:p>
              <w:p>
                <w:pPr>
                  <w:jc w:val="both"/>
                  <w:rPr>
                    <w:rFonts w:eastAsia="Calibri"/>
                    <w:b/>
                    <w:sz w:val="22"/>
                    <w:szCs w:val="22"/>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pPr>
                  <w:jc w:val="both"/>
                  <w:rPr>
                    <w:rFonts w:eastAsia="Calibri"/>
                    <w:sz w:val="22"/>
                    <w:szCs w:val="22"/>
                  </w:rPr>
                </w:pPr>
                <w:r>
                  <w:rPr>
                    <w:rFonts w:eastAsia="Calibri"/>
                    <w:sz w:val="22"/>
                    <w:szCs w:val="22"/>
                  </w:rPr>
                  <w:t>Projekto vykdytojo deklaracija.</w:t>
                </w:r>
              </w:p>
            </w:tc>
          </w:tr>
        </w:tbl>
        <w:sdt>
          <w:sdtPr>
            <w:alias w:val="pabaiga"/>
            <w:tag w:val="part_f9d6b0bc8ca04d879dc155e399b026c3"/>
            <w:lock w:val="sdtLocked"/>
            <w:richText/>
          </w:sdtPr>
          <w:sdtContent>
            <w:p>
              <w:pPr>
                <w:jc w:val="center"/>
                <w:rPr>
                  <w:sz w:val="22"/>
                  <w:szCs w:val="22"/>
                </w:rPr>
                <w:sectPr>
                  <w:pgSz w:w="16838" w:h="11906" w:orient="landscape"/>
                  <w:pgMar w:top="1701" w:right="567" w:bottom="1134" w:left="1134" w:header="567" w:footer="567" w:gutter="0"/>
                  <w:pgNumType w:start="1"/>
                  <w:cols w:space="1296"/>
                  <w:titlePg/>
                  <w:docGrid w:linePitch="360"/>
                </w:sectPr>
              </w:pPr>
              <w:r>
                <w:rPr>
                  <w:rFonts w:eastAsia="Calibri"/>
                  <w:sz w:val="22"/>
                  <w:szCs w:val="22"/>
                </w:rPr>
                <w:t>________________</w:t>
              </w:r>
            </w:p>
            <w:p>
              <w:pPr>
                <w:tabs>
                  <w:tab w:val="center" w:pos="4819"/>
                  <w:tab w:val="right" w:pos="9638"/>
                </w:tabs>
              </w:pPr>
            </w:p>
          </w:sdtContent>
        </w:sdt>
      </w:sdtContent>
    </w:sdt>
    <w:sdt>
      <w:sdtPr>
        <w:alias w:val="2 pr."/>
        <w:tag w:val="part_c7982b57ec6c4d88a0bd6fc7dec4f392"/>
        <w:lock w:val="sdtLocked"/>
        <w:richText/>
      </w:sdtPr>
      <w:sdtContent>
        <w:p>
          <w:pPr>
            <w:ind w:left="10206"/>
            <w:jc w:val="both"/>
            <w:rPr>
              <w:szCs w:val="24"/>
            </w:rPr>
          </w:pPr>
          <w:r>
            <w:rPr>
              <w:szCs w:val="24"/>
            </w:rPr>
            <w:t>4 priedo „2022–2030 m. plėtros programos valdytojos Lietuvos Respublikos švietimo, mokslo ir sporto ministerijos mokslo plėtros programos pažangos priemonės Nr. 12-001-01-02-01 „Stiprinti inovacijų ekosistemas mokslo centruose“ projektų finansavimo sąlygų aprašo Nr. 4“</w:t>
          </w:r>
        </w:p>
        <w:p>
          <w:pPr>
            <w:ind w:left="10206"/>
            <w:jc w:val="both"/>
            <w:rPr>
              <w:szCs w:val="24"/>
            </w:rPr>
          </w:pPr>
          <w:sdt>
            <w:sdtPr>
              <w:alias w:val="Numeris"/>
              <w:tag w:val="nr_c7982b57ec6c4d88a0bd6fc7dec4f392"/>
              <w:lock w:val="sdtLocked"/>
              <w:richText/>
            </w:sdtPr>
            <w:sdtContent>
              <w:r>
                <w:rPr>
                  <w:szCs w:val="24"/>
                </w:rPr>
                <w:t>2</w:t>
              </w:r>
            </w:sdtContent>
          </w:sdt>
          <w:r>
            <w:rPr>
              <w:szCs w:val="24"/>
            </w:rPr>
            <w:t xml:space="preserve"> priedas</w:t>
          </w:r>
        </w:p>
        <w:p>
          <w:pPr>
            <w:ind w:left="10206"/>
            <w:jc w:val="both"/>
            <w:rPr>
              <w:szCs w:val="24"/>
            </w:rPr>
          </w:pPr>
        </w:p>
        <w:p>
          <w:pPr>
            <w:ind w:right="567"/>
            <w:jc w:val="center"/>
            <w:rPr>
              <w:bCs/>
              <w:i/>
              <w:iCs/>
              <w:szCs w:val="24"/>
              <w:lang w:eastAsia="lt-LT"/>
            </w:rPr>
          </w:pPr>
          <w:r>
            <w:rPr>
              <w:bCs/>
              <w:i/>
              <w:iCs/>
              <w:szCs w:val="24"/>
              <w:lang w:eastAsia="lt-LT"/>
            </w:rPr>
            <w:t>(Informacijos, reikalingos projekto atitikčiai sumaniosios specializacijos koncepcijai įvertinti, forma)</w:t>
          </w:r>
        </w:p>
        <w:p>
          <w:pPr>
            <w:ind w:left="10206"/>
            <w:jc w:val="both"/>
            <w:rPr>
              <w:szCs w:val="24"/>
            </w:rPr>
          </w:pPr>
        </w:p>
        <w:p>
          <w:pPr>
            <w:ind w:right="567"/>
            <w:jc w:val="both"/>
            <w:rPr>
              <w:b/>
              <w:szCs w:val="24"/>
              <w:lang w:eastAsia="lt-LT"/>
            </w:rPr>
          </w:pPr>
        </w:p>
        <w:sdt>
          <w:sdtPr>
            <w:alias w:val="skirsnis"/>
            <w:tag w:val="part_f5bb5a7c0c334902822d2d23be7509b6"/>
            <w:lock w:val="sdtLocked"/>
            <w:richText/>
          </w:sdtPr>
          <w:sdtContent>
            <w:p>
              <w:pPr>
                <w:ind w:right="567"/>
                <w:jc w:val="both"/>
                <w:rPr>
                  <w:b/>
                  <w:szCs w:val="24"/>
                  <w:lang w:eastAsia="lt-LT"/>
                </w:rPr>
              </w:pPr>
              <w:sdt>
                <w:sdtPr>
                  <w:alias w:val="Pavadinimas"/>
                  <w:tag w:val="title_f5bb5a7c0c334902822d2d23be7509b6"/>
                  <w:lock w:val="sdtLocked"/>
                  <w:richText/>
                </w:sdtPr>
                <w:sdtContent>
                  <w:r>
                    <w:rPr>
                      <w:b/>
                      <w:szCs w:val="24"/>
                      <w:lang w:eastAsia="lt-LT"/>
                    </w:rPr>
                    <w:t>INFORMACIJA, REIKALINGA PROJEKTO ATITIKČIAI SUMANIOSIOS SPECIALIZACIJOS KONCEPCIJAI ĮVERTINTI</w:t>
                  </w:r>
                </w:sdtContent>
              </w:sdt>
            </w:p>
            <w:p>
              <w:pPr>
                <w:ind w:right="567"/>
                <w:jc w:val="both"/>
                <w:rPr>
                  <w:b/>
                  <w:szCs w:val="24"/>
                  <w:lang w:eastAsia="lt-LT"/>
                </w:rPr>
              </w:pPr>
            </w:p>
            <w:p>
              <w:pPr>
                <w:ind w:right="567"/>
                <w:jc w:val="both"/>
                <w:rPr>
                  <w:b/>
                  <w:szCs w:val="24"/>
                  <w:lang w:eastAsia="lt-LT"/>
                </w:rPr>
              </w:pPr>
            </w:p>
            <w:sdt>
              <w:sdtPr>
                <w:alias w:val="2 pr. 1 p."/>
                <w:tag w:val="part_23d4071317b74d1fb4983221506fd1aa"/>
                <w:lock w:val="sdtLocked"/>
                <w:richText/>
              </w:sdtPr>
              <w:sdtContent>
                <w:p>
                  <w:pPr>
                    <w:ind w:right="567"/>
                    <w:jc w:val="both"/>
                    <w:rPr>
                      <w:b/>
                      <w:szCs w:val="24"/>
                      <w:lang w:eastAsia="lt-LT"/>
                    </w:rPr>
                  </w:pPr>
                  <w:sdt>
                    <w:sdtPr>
                      <w:alias w:val="Numeris"/>
                      <w:tag w:val="nr_23d4071317b74d1fb4983221506fd1aa"/>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1.1.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 w:val="22"/>
                            <w:szCs w:val="22"/>
                            <w:lang w:eastAsia="lt-LT"/>
                          </w:rPr>
                        </w:pPr>
                        <w:r>
                          <w:rPr>
                            <w:sz w:val="22"/>
                            <w:szCs w:val="22"/>
                          </w:rPr>
                          <w:t>1.1.1.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 w:val="22"/>
                            <w:szCs w:val="22"/>
                            <w:lang w:eastAsia="lt-LT"/>
                          </w:rPr>
                        </w:pPr>
                        <w:r>
                          <w:rPr>
                            <w:sz w:val="22"/>
                            <w:szCs w:val="22"/>
                          </w:rPr>
                          <w:t>1.1.2.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 w:val="22"/>
                            <w:szCs w:val="22"/>
                            <w:lang w:eastAsia="lt-LT"/>
                          </w:rPr>
                        </w:pPr>
                        <w:r>
                          <w:rPr>
                            <w:sz w:val="22"/>
                            <w:szCs w:val="22"/>
                          </w:rPr>
                          <w:t>1.1.3.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rPr>
                        </w:pPr>
                        <w:r>
                          <w:rPr>
                            <w:sz w:val="22"/>
                            <w:szCs w:val="22"/>
                          </w:rPr>
                          <w:t>1.1.4.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 w:val="22"/>
                            <w:szCs w:val="22"/>
                            <w:lang w:eastAsia="lt-LT"/>
                          </w:rPr>
                        </w:pPr>
                        <w:r>
                          <w:rPr>
                            <w:sz w:val="22"/>
                            <w:szCs w:val="22"/>
                            <w:lang w:eastAsia="lt-LT"/>
                          </w:rPr>
                          <w:t>1.2.1. F</w:t>
                        </w:r>
                        <w:r>
                          <w:rPr>
                            <w:sz w:val="22"/>
                            <w:szCs w:val="22"/>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 w:val="22"/>
                            <w:szCs w:val="22"/>
                            <w:lang w:eastAsia="lt-LT"/>
                          </w:rPr>
                        </w:pPr>
                        <w:r>
                          <w:rPr>
                            <w:sz w:val="22"/>
                            <w:szCs w:val="22"/>
                            <w:lang w:eastAsia="lt-LT"/>
                          </w:rPr>
                          <w:t>1.2.2. P</w:t>
                        </w:r>
                        <w:r>
                          <w:rPr>
                            <w:sz w:val="22"/>
                            <w:szCs w:val="22"/>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lang w:eastAsia="lt-LT"/>
                          </w:rPr>
                        </w:pPr>
                        <w:r>
                          <w:rPr>
                            <w:sz w:val="22"/>
                            <w:szCs w:val="22"/>
                            <w:lang w:eastAsia="lt-LT"/>
                          </w:rPr>
                          <w:t xml:space="preserve">1.2.3. </w:t>
                        </w:r>
                        <w:r>
                          <w:rPr>
                            <w:sz w:val="22"/>
                            <w:szCs w:val="22"/>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lang w:eastAsia="lt-LT"/>
                          </w:rPr>
                        </w:pPr>
                        <w:r>
                          <w:rPr>
                            <w:sz w:val="22"/>
                            <w:szCs w:val="22"/>
                            <w:lang w:eastAsia="lt-LT"/>
                          </w:rPr>
                          <w:t>1.2.4.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lang w:eastAsia="lt-LT"/>
                          </w:rPr>
                        </w:pPr>
                        <w:r>
                          <w:rPr>
                            <w:sz w:val="22"/>
                            <w:szCs w:val="22"/>
                            <w:lang w:eastAsia="lt-LT"/>
                          </w:rPr>
                          <w:t>1.2.5.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 w:val="22"/>
                            <w:szCs w:val="22"/>
                            <w:lang w:eastAsia="lt-LT"/>
                          </w:rPr>
                        </w:pPr>
                        <w:r>
                          <w:rPr>
                            <w:sz w:val="22"/>
                            <w:szCs w:val="22"/>
                            <w:lang w:eastAsia="lt-LT"/>
                          </w:rPr>
                          <w:t>1.3.1.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 w:val="22"/>
                            <w:szCs w:val="22"/>
                            <w:lang w:eastAsia="lt-LT"/>
                          </w:rPr>
                        </w:pPr>
                        <w:r>
                          <w:rPr>
                            <w:sz w:val="22"/>
                            <w:szCs w:val="22"/>
                            <w:lang w:eastAsia="lt-LT"/>
                          </w:rPr>
                          <w:t>1.3.2. D</w:t>
                        </w:r>
                        <w:r>
                          <w:rPr>
                            <w:sz w:val="22"/>
                            <w:szCs w:val="22"/>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 w:val="22"/>
                            <w:szCs w:val="22"/>
                            <w:lang w:eastAsia="lt-LT"/>
                          </w:rPr>
                        </w:pPr>
                        <w:r>
                          <w:rPr>
                            <w:sz w:val="22"/>
                            <w:szCs w:val="22"/>
                            <w:lang w:eastAsia="lt-LT"/>
                          </w:rPr>
                          <w:t>1.3.3. K</w:t>
                        </w:r>
                        <w:r>
                          <w:rPr>
                            <w:sz w:val="22"/>
                            <w:szCs w:val="22"/>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 w:val="22"/>
                            <w:szCs w:val="22"/>
                            <w:lang w:eastAsia="lt-LT"/>
                          </w:rPr>
                        </w:pPr>
                        <w:r>
                          <w:rPr>
                            <w:sz w:val="22"/>
                            <w:szCs w:val="22"/>
                            <w:lang w:eastAsia="lt-LT"/>
                          </w:rPr>
                          <w:t xml:space="preserve">1.3.4. </w:t>
                        </w:r>
                        <w:r>
                          <w:rPr>
                            <w:sz w:val="22"/>
                            <w:szCs w:val="22"/>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lang w:eastAsia="lt-LT"/>
                          </w:rPr>
                        </w:pPr>
                        <w:r>
                          <w:rPr>
                            <w:sz w:val="22"/>
                            <w:szCs w:val="22"/>
                            <w:lang w:eastAsia="lt-LT"/>
                          </w:rPr>
                          <w:t>1.3.5.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 w:val="22"/>
                            <w:szCs w:val="22"/>
                            <w:lang w:eastAsia="lt-LT"/>
                          </w:rPr>
                        </w:pPr>
                        <w:r>
                          <w:rPr>
                            <w:sz w:val="22"/>
                            <w:szCs w:val="22"/>
                            <w:lang w:eastAsia="lt-LT"/>
                          </w:rPr>
                          <w:t>1.3.6. Išmaniosios transporto sistemos</w:t>
                        </w:r>
                      </w:p>
                    </w:tc>
                    <w:tc>
                      <w:tcPr>
                        <w:tcW w:w="4961" w:type="dxa"/>
                      </w:tcPr>
                      <w:p>
                        <w:pPr>
                          <w:jc w:val="both"/>
                          <w:rPr>
                            <w:sz w:val="36"/>
                            <w:szCs w:val="36"/>
                          </w:rPr>
                        </w:pPr>
                        <w:r>
                          <w:rPr>
                            <w:sz w:val="36"/>
                            <w:szCs w:val="36"/>
                          </w:rPr>
                          <w:t>□</w:t>
                        </w:r>
                      </w:p>
                    </w:tc>
                  </w:tr>
                </w:tbl>
                <w:p>
                  <w:pPr>
                    <w:spacing w:line="276" w:lineRule="auto"/>
                    <w:rPr>
                      <w:szCs w:val="24"/>
                    </w:rPr>
                  </w:pPr>
                </w:p>
              </w:sdtContent>
            </w:sdt>
            <w:sdt>
              <w:sdtPr>
                <w:alias w:val="2 pr. 2 p."/>
                <w:tag w:val="part_cf849a2553e9426dac0ec3bf14998c46"/>
                <w:lock w:val="sdtLocked"/>
                <w:richText/>
              </w:sdtPr>
              <w:sdtContent>
                <w:p>
                  <w:pPr>
                    <w:spacing w:line="276" w:lineRule="auto"/>
                    <w:rPr>
                      <w:b/>
                      <w:szCs w:val="24"/>
                    </w:rPr>
                  </w:pPr>
                  <w:sdt>
                    <w:sdtPr>
                      <w:alias w:val="Numeris"/>
                      <w:tag w:val="nr_cf849a2553e9426dac0ec3bf14998c46"/>
                      <w:lock w:val="sdtLocked"/>
                      <w:richText/>
                    </w:sdt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c>
                      <w:tcPr>
                        <w:tcW w:w="15127" w:type="dxa"/>
                      </w:tcPr>
                      <w:p>
                        <w:pPr>
                          <w:spacing w:line="276" w:lineRule="auto"/>
                          <w:rPr>
                            <w:szCs w:val="24"/>
                          </w:rPr>
                        </w:pPr>
                      </w:p>
                    </w:tc>
                  </w:tr>
                </w:tbl>
                <w:p>
                  <w:pPr>
                    <w:spacing w:line="276" w:lineRule="auto"/>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___________________________________</w:t>
                  </w:r>
                </w:p>
                <w:p>
                  <w:pPr>
                    <w:tabs>
                      <w:tab w:val="center" w:pos="4819"/>
                      <w:tab w:val="right" w:pos="9638"/>
                    </w:tabs>
                    <w:jc w:val="center"/>
                  </w:pPr>
                </w:p>
                <w:p>
                  <w:pPr>
                    <w:tabs>
                      <w:tab w:val="center" w:pos="4986"/>
                      <w:tab w:val="right" w:pos="9972"/>
                    </w:tabs>
                  </w:pPr>
                </w:p>
              </w:sdtContent>
            </w:sdt>
          </w:sdtContent>
        </w:sdt>
      </w:sdtContent>
    </w:sdt>
    <w:sdt>
      <w:sdtPr>
        <w:alias w:val="3 pr."/>
        <w:tag w:val="part_62f1a59ad98f46039f47b91ebd5f3357"/>
        <w:lock w:val="sdtLocked"/>
        <w:richText/>
      </w:sdtPr>
      <w:sdtContent>
        <w:p>
          <w:pPr>
            <w:ind w:left="8789"/>
            <w:jc w:val="both"/>
            <w:rPr>
              <w:rFonts w:eastAsia="Calibri"/>
              <w:szCs w:val="24"/>
            </w:rPr>
          </w:pPr>
          <w:r>
            <w:rPr>
              <w:rFonts w:eastAsia="Calibri"/>
              <w:szCs w:val="24"/>
            </w:rPr>
            <w:t>4 priedo „2022–2030 m. plėtros programos valdytojos Lietuvos Respublikos švietimo, mokslo ir sporto ministerijos mokslo plėtros programos pažangos priemonės Nr. 12-001-01-02-01 „Stiprinti inovacijų ekosistemas mokslo centruose“ projektų finansavimo sąlygų aprašo Nr. 4“</w:t>
          </w:r>
        </w:p>
        <w:p>
          <w:pPr>
            <w:ind w:left="8080" w:firstLine="709"/>
            <w:jc w:val="both"/>
            <w:rPr>
              <w:rFonts w:eastAsia="Calibri"/>
              <w:szCs w:val="24"/>
            </w:rPr>
          </w:pPr>
          <w:sdt>
            <w:sdtPr>
              <w:alias w:val="Numeris"/>
              <w:tag w:val="nr_62f1a59ad98f46039f47b91ebd5f3357"/>
              <w:lock w:val="sdtLocked"/>
              <w:richText/>
            </w:sdtPr>
            <w:sdtContent>
              <w:r>
                <w:rPr>
                  <w:rFonts w:eastAsia="Calibri"/>
                  <w:szCs w:val="24"/>
                </w:rPr>
                <w:t>3</w:t>
              </w:r>
            </w:sdtContent>
          </w:sdt>
          <w:r>
            <w:rPr>
              <w:rFonts w:eastAsia="Calibri"/>
              <w:szCs w:val="24"/>
            </w:rPr>
            <w:t xml:space="preserve"> priedas</w:t>
          </w:r>
        </w:p>
        <w:p>
          <w:pPr>
            <w:spacing w:line="276" w:lineRule="auto"/>
            <w:jc w:val="center"/>
            <w:rPr>
              <w:rFonts w:eastAsia="Calibri"/>
              <w:b/>
              <w:i/>
              <w:iCs/>
              <w:szCs w:val="24"/>
            </w:rPr>
          </w:pPr>
        </w:p>
        <w:p>
          <w:pPr>
            <w:spacing w:line="276" w:lineRule="auto"/>
            <w:jc w:val="center"/>
            <w:rPr>
              <w:rFonts w:eastAsia="Calibri"/>
              <w:bCs/>
              <w:i/>
              <w:iCs/>
              <w:szCs w:val="24"/>
            </w:rPr>
          </w:pPr>
          <w:r>
            <w:rPr>
              <w:rFonts w:eastAsia="Calibri"/>
              <w:bCs/>
              <w:i/>
              <w:iCs/>
              <w:szCs w:val="24"/>
            </w:rPr>
            <w:t>(Patikros lapo dėl valstybės pagalbos ir de minimis pagalbos buvimo ar nebuvimo forma)</w:t>
          </w:r>
        </w:p>
        <w:p>
          <w:pPr>
            <w:spacing w:line="276" w:lineRule="auto"/>
            <w:jc w:val="center"/>
            <w:rPr>
              <w:rFonts w:eastAsia="Calibri"/>
              <w:b/>
              <w:szCs w:val="24"/>
            </w:rPr>
          </w:pPr>
        </w:p>
        <w:sdt>
          <w:sdtPr>
            <w:alias w:val="skirsnis"/>
            <w:tag w:val="part_1c37e83c58634f3eb5df6a88519bb52a"/>
            <w:lock w:val="sdtLocked"/>
            <w:richText/>
          </w:sdtPr>
          <w:sdtContent>
            <w:p>
              <w:pPr>
                <w:spacing w:line="276" w:lineRule="auto"/>
                <w:jc w:val="center"/>
                <w:rPr>
                  <w:rFonts w:eastAsia="Calibri"/>
                  <w:b/>
                  <w:szCs w:val="24"/>
                </w:rPr>
              </w:pPr>
              <w:sdt>
                <w:sdtPr>
                  <w:alias w:val="Pavadinimas"/>
                  <w:tag w:val="title_1c37e83c58634f3eb5df6a88519bb52a"/>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67"/>
                <w:gridCol w:w="1912"/>
                <w:gridCol w:w="1894"/>
                <w:gridCol w:w="3388"/>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spacing w:line="276" w:lineRule="auto"/>
                      <w:jc w:val="both"/>
                      <w:rPr>
                        <w:rFonts w:eastAsia="Calibri"/>
                        <w:sz w:val="22"/>
                        <w:szCs w:val="22"/>
                      </w:rPr>
                    </w:pPr>
                  </w:p>
                  <w:p>
                    <w:pPr>
                      <w:spacing w:line="276" w:lineRule="auto"/>
                      <w:jc w:val="both"/>
                      <w:rPr>
                        <w:rFonts w:eastAsia="Calibri"/>
                        <w:sz w:val="22"/>
                        <w:szCs w:val="22"/>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jc w:val="center"/>
                <w:rPr>
                  <w:rFonts w:eastAsia="Calibri"/>
                  <w:szCs w:val="24"/>
                </w:rPr>
              </w:pPr>
              <w:r>
                <w:rPr>
                  <w:rFonts w:eastAsia="Calibri"/>
                  <w:szCs w:val="24"/>
                </w:rPr>
                <w:t xml:space="preserve">_____________________________________   </w:t>
                <w:tab/>
                <w:t>____________________</w:t>
              </w:r>
            </w:p>
            <w:p>
              <w:pPr>
                <w:tabs>
                  <w:tab w:val="left" w:pos="426"/>
                  <w:tab w:val="left" w:pos="7797"/>
                </w:tabs>
                <w:spacing w:line="276" w:lineRule="auto"/>
                <w:jc w:val="center"/>
                <w:rPr>
                  <w:szCs w:val="24"/>
                </w:rPr>
              </w:pPr>
              <w:r>
                <w:rPr>
                  <w:rFonts w:eastAsia="Calibri"/>
                  <w:szCs w:val="24"/>
                </w:rPr>
                <w:t xml:space="preserve">(vertintojo pareigos, vardas, pavardė) </w:t>
                <w:tab/>
                <w:t>(parašas)</w:t>
              </w:r>
            </w:p>
            <w:p>
              <w:pPr>
                <w:spacing w:line="276" w:lineRule="auto"/>
                <w:jc w:val="center"/>
                <w:rPr>
                  <w:szCs w:val="24"/>
                </w:rPr>
              </w:pPr>
            </w:p>
            <w:p>
              <w:pPr>
                <w:ind w:left="5954" w:firstLine="283"/>
                <w:jc w:val="both"/>
                <w:rPr>
                  <w:szCs w:val="24"/>
                </w:rPr>
              </w:pPr>
              <w:r>
                <w:rPr>
                  <w:szCs w:val="24"/>
                </w:rPr>
                <w:t>_____________________</w:t>
              </w:r>
            </w:p>
          </w:sdtContent>
        </w:sdt>
      </w:sdtContent>
    </w:sdt>
    <w:sectPr>
      <w:headerReference w:type="first" r:id="rId17"/>
      <w:pgSz w:w="16838" w:h="11906" w:orient="landscape"/>
      <w:pgMar w:top="1701" w:right="567" w:bottom="1134" w:left="1134"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7E15A95" w16cex:dateUtc="2025-05-26T13:17:00Z"/>
  <w16cex:commentExtensible w16cex:durableId="2F4FD70B" w16cex:dateUtc="2025-05-27T11:40:00Z"/>
  <w16cex:commentExtensible w16cex:durableId="770C10D9" w16cex:dateUtc="2025-05-26T13:15:00Z"/>
  <w16cex:commentExtensible w16cex:durableId="44BB7D9A" w16cex:dateUtc="2025-05-27T11:4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882E98E" w16cid:durableId="67E15A95"/>
  <w16cid:commentId w16cid:paraId="75B8C75B" w16cid:durableId="2F4FD70B"/>
  <w16cid:commentId w16cid:paraId="7E193324" w16cid:durableId="770C10D9"/>
  <w16cid:commentId w16cid:paraId="3A9CA053" w16cid:durableId="44BB7D9A"/>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pPr>
        <w:jc w:val="both"/>
        <w:rPr>
          <w:rFonts w:eastAsia="Calibri"/>
          <w:sz w:val="20"/>
        </w:rPr>
      </w:pPr>
      <w:r>
        <w:rPr>
          <w:rFonts w:eastAsia="Calibri"/>
          <w:sz w:val="20"/>
          <w:vertAlign w:val="superscript"/>
          <w:lang w:val="en-US"/>
        </w:rPr>
        <w:footnoteRef/>
      </w:r>
      <w:r>
        <w:rPr>
          <w:rFonts w:eastAsia="Calibri"/>
          <w:sz w:val="20"/>
          <w:lang w:val="es-ES"/>
        </w:rPr>
        <w:t xml:space="preserve"> Plačiau galima susipažinti Europos S</w:t>
      </w:r>
      <w:r>
        <w:rPr>
          <w:rFonts w:eastAsia="Calibri"/>
          <w:sz w:val="20"/>
        </w:rPr>
        <w:t>ą</w:t>
      </w:r>
      <w:r>
        <w:rPr>
          <w:rFonts w:eastAsia="Calibri"/>
          <w:sz w:val="20"/>
          <w:lang w:val="es-ES"/>
        </w:rPr>
        <w:t xml:space="preserve">jungos Teisingumo Teismo 2003 m. liepos 24 d. sprendime </w:t>
      </w:r>
      <w:r>
        <w:rPr>
          <w:rFonts w:eastAsia="Calibri"/>
          <w:i/>
          <w:iCs/>
          <w:sz w:val="20"/>
          <w:lang w:val="es-ES"/>
        </w:rPr>
        <w:t>Altmark</w:t>
      </w:r>
      <w:r>
        <w:rPr>
          <w:rFonts w:eastAsia="Calibri"/>
          <w:sz w:val="20"/>
          <w:lang w:val="es-ES"/>
        </w:rPr>
        <w:t xml:space="preserve">, C‑280/00, EU:C:2003:415.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48541932">
      <w:bodyDiv w:val="1"/>
      <w:marLeft w:val="0"/>
      <w:marRight w:val="0"/>
      <w:marTop w:val="0"/>
      <w:marBottom w:val="0"/>
      <w:divBdr>
        <w:top w:val="none" w:sz="0" w:space="0" w:color="auto"/>
        <w:left w:val="none" w:sz="0" w:space="0" w:color="auto"/>
        <w:bottom w:val="none" w:sz="0" w:space="0" w:color="auto"/>
        <w:right w:val="none" w:sz="0" w:space="0" w:color="auto"/>
      </w:divBdr>
    </w:div>
    <w:div w:id="307590010">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1965477">
      <w:bodyDiv w:val="1"/>
      <w:marLeft w:val="0"/>
      <w:marRight w:val="0"/>
      <w:marTop w:val="0"/>
      <w:marBottom w:val="0"/>
      <w:divBdr>
        <w:top w:val="none" w:sz="0" w:space="0" w:color="auto"/>
        <w:left w:val="none" w:sz="0" w:space="0" w:color="auto"/>
        <w:bottom w:val="none" w:sz="0" w:space="0" w:color="auto"/>
        <w:right w:val="none" w:sz="0" w:space="0" w:color="auto"/>
      </w:divBdr>
    </w:div>
    <w:div w:id="1567911046">
      <w:bodyDiv w:val="1"/>
      <w:marLeft w:val="0"/>
      <w:marRight w:val="0"/>
      <w:marTop w:val="0"/>
      <w:marBottom w:val="0"/>
      <w:divBdr>
        <w:top w:val="none" w:sz="0" w:space="0" w:color="auto"/>
        <w:left w:val="none" w:sz="0" w:space="0" w:color="auto"/>
        <w:bottom w:val="none" w:sz="0" w:space="0" w:color="auto"/>
        <w:right w:val="none" w:sz="0" w:space="0" w:color="auto"/>
      </w:divBdr>
    </w:div>
    <w:div w:id="167268075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1" Type="http://schemas.microsoft.com/office/2016/09/relationships/commentsIds" Target="commentsIds.xml"/>
  <Relationship Id="rId22" Type="http://schemas.microsoft.com/office/2018/08/relationships/commentsExtensible" Target="commentsExtensible.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 Abbr="4 pr." Title="2022–2030 M. PLĖTROS PROGRAMOS VALDYTOJOS LIETUVOS RESPUBLIKOS ŠVIETIMO, MOKSLO IR SPORTO MINISTERIJOS MOKSLO PLĖTROS PROGRAMOS PAŽANGOS PRIEMONĖS NR. 12-001-01-02-01 „STIPRINTI INOVACIJŲ EKOSISTEMAS MOKSLO CENTRUOSE“ PROJEKTŲ FINANSAVIMO SĄLYGŲ APRAŠAS NR. 4" DocPartId="87fea09352a64d9dbbf567033d16466a" PartId="e4895189793842ed946c910a503f20bc">
    <Part Type="skyrius" Nr="1" Title="VEIKLOS AR POVEIKLĖS, KURIOMS NUSTATOMOS PROJEKTŲ FINANSAVIMO SĄLYGOS" DocPartId="405199ff954e468db70d594a957c81d7" PartId="7641b4c8d1164ad7a36c9cc0f15f38bd"/>
    <Part Type="skyrius" Nr="2" Title="SPECIALIEJI FINANSAVIMO REIKALAVIMAI" DocPartId="4912fdb9eb0346e4acf8fc5e225cd512" PartId="66f6d4b0acea4411a4f64d189d9dd1f1"/>
    <Part Type="skyrius" Nr="3" Title="IŠLAIDŲ TINKAMUMO FINANSUOTI REIKALAVIMAI" DocPartId="4a2e3d42ab974f2aa5bc59e78f6b9b5a" PartId="da77a924ca6f4fd18c96aeb66979d864"/>
    <Part Type="skyrius" Nr="4" Title="SUPAPRASTINTAI APMOKAMŲ IŠLAIDŲ DYDŽIAI" DocPartId="37c5e40a90594a59952fde38bddc41cc" PartId="df617b08e9c44d22aee3c82690af6cea"/>
  </Part>
  <Part Type="priedas" Nr="1" Abbr="1 pr." Title="PROJEKTO (ĮSKAITANT JUNGTINĮ PROJEKTĄ) ATITIKTIES REIKŠMINGOS ŽALOS NEDARYMO HORIZONTALIAJAM PRINCIPUI VERTINIMO REIKALAVIMŲ APRAŠAS" DocPartId="5a7540525003468997ae50d5fa20e48f" PartId="1b8f93eed0074d4eb11c41d125b0c8de">
    <Part Type="pabaiga" DocPartId="245e742793ea4a87a85941f3f2e93db5" PartId="f9d6b0bc8ca04d879dc155e399b026c3"/>
  </Part>
  <Part Type="priedas" Nr="2" Abbr="2 pr." DocPartId="1e3715b0463e4f24a6bcf1a154955c88" PartId="c7982b57ec6c4d88a0bd6fc7dec4f392">
    <Part Type="skirsnis" Title="INFORMACIJA, REIKALINGA PROJEKTO ATITIKČIAI SUMANIOSIOS SPECIALIZACIJOS KONCEPCIJAI ĮVERTINTI" DocPartId="7fba4cd332914a60b8934b50379c4024" PartId="f5bb5a7c0c334902822d2d23be7509b6">
      <Part Type="punktas" Nr="1" Abbr="2 pr. 1 p." DocPartId="95941e79da864a94bf145705e28ce9a3" PartId="23d4071317b74d1fb4983221506fd1aa"/>
      <Part Type="punktas" Nr="2" Abbr="2 pr. 2 p." DocPartId="b5e09640ab06443c819335374ebf6597" PartId="cf849a2553e9426dac0ec3bf14998c46"/>
    </Part>
  </Part>
  <Part Type="priedas" Nr="3" Abbr="3 pr." DocPartId="4d659a664c7a46ddb4d57b9872a06118" PartId="62f1a59ad98f46039f47b91ebd5f3357">
    <Part Type="skirsnis" Title="PATIKROS LAPAS DĖL VALSTYBĖS PAGALBOS IR DE MINIMIS PAGALBOS BUVIMO AR NEBUVIMO" DocPartId="662d928fb14a488ab38fc54ff26de043" PartId="1c37e83c58634f3eb5df6a88519bb52a"/>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EF43BA1-DEAC-4503-9525-FAC0FB1247D5}">
  <ds:schemaRefs>
    <ds:schemaRef ds:uri="http://schemas.openxmlformats.org/officeDocument/2006/bibliography"/>
  </ds:schemaRefs>
</ds:datastoreItem>
</file>

<file path=customXml/itemProps5.xml><?xml version="1.0" encoding="utf-8"?>
<ds:datastoreItem xmlns:ds="http://schemas.openxmlformats.org/officeDocument/2006/customXml" ds:itemID="{4D295021-BF4B-4B6A-BBF8-072EEAD9FCCD}">
  <ds:schemaRefs>
    <ds:schemaRef ds:uri="http://schemas.openxmlformats.org/officeDocument/2006/bibliography"/>
  </ds:schemaRefs>
</ds:datastoreItem>
</file>

<file path=customXml/itemProps6.xml><?xml version="1.0" encoding="utf-8"?>
<ds:datastoreItem xmlns:ds="http://schemas.openxmlformats.org/officeDocument/2006/customXml" ds:itemID="{E7CF87FD-CC15-4B06-BDC8-A0C10452B7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6058</Words>
  <Characters>42530</Characters>
  <Application>Microsoft Office Word</Application>
  <DocSecurity>4</DocSecurity>
  <Lines>1288</Lines>
  <Paragraphs>506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48082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2025-05-29T11:27:00Z</dcterms:created>
  <dc:creator>Virginija Levinskienė</dc:creator>
  <lastModifiedBy>adlibuser</lastModifiedBy>
  <dcterms:modified xsi:type="dcterms:W3CDTF">2025-05-29T11:27:00Z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