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2d9095f5368942e2b0ff7470d00ba9d1"/>
        <w:id w:val="-76596748"/>
        <w:lock w:val="sdtLocked"/>
        <w:placeholder>
          <w:docPart w:val="DefaultPlaceholder_-1854013440"/>
        </w:placeholder>
      </w:sdtPr>
      <w:sdtEndPr>
        <w:rPr>
          <w:rFonts w:eastAsia="Calibri"/>
          <w:sz w:val="22"/>
          <w:szCs w:val="22"/>
        </w:rPr>
      </w:sdtEndPr>
      <w:sdtContent>
        <w:p w:rsidR="005E51E3" w:rsidRDefault="005E51E3">
          <w:pPr>
            <w:tabs>
              <w:tab w:val="center" w:pos="4819"/>
              <w:tab w:val="right" w:pos="9638"/>
            </w:tabs>
          </w:pPr>
        </w:p>
        <w:p w:rsidR="005E51E3" w:rsidRDefault="00A47E9A">
          <w:pPr>
            <w:ind w:left="9214" w:right="111"/>
            <w:jc w:val="both"/>
            <w:rPr>
              <w:bCs/>
              <w:szCs w:val="24"/>
            </w:rPr>
          </w:pPr>
          <w:r>
            <w:rPr>
              <w:bCs/>
              <w:szCs w:val="24"/>
            </w:rPr>
            <w:t xml:space="preserve">2021–2030 m. plėtros programos valdytojos Lietuvos Respublikos švietimo, mokslo ir sporto ministerijos švietimo plėtros programos pažangos priemonės </w:t>
          </w:r>
          <w:r>
            <w:rPr>
              <w:bCs/>
              <w:color w:val="000000"/>
              <w:szCs w:val="24"/>
            </w:rPr>
            <w:t xml:space="preserve">Nr. 12-003-03-01-04 „Užtikrinti </w:t>
          </w:r>
          <w:r>
            <w:rPr>
              <w:bCs/>
              <w:color w:val="000000"/>
              <w:szCs w:val="24"/>
            </w:rPr>
            <w:t>visiems prieinamą ankstyvąjį ugdymą“</w:t>
          </w:r>
          <w:r>
            <w:rPr>
              <w:bCs/>
              <w:color w:val="FF0000"/>
              <w:szCs w:val="24"/>
            </w:rPr>
            <w:t xml:space="preserve"> </w:t>
          </w:r>
          <w:r>
            <w:rPr>
              <w:bCs/>
              <w:szCs w:val="24"/>
            </w:rPr>
            <w:t xml:space="preserve">aprašo </w:t>
          </w:r>
          <w:sdt>
            <w:sdtPr>
              <w:alias w:val="Numeris"/>
              <w:tag w:val="nr_2d9095f5368942e2b0ff7470d00ba9d1"/>
              <w:id w:val="376832398"/>
              <w:lock w:val="sdtLocked"/>
            </w:sdtPr>
            <w:sdtEndPr/>
            <w:sdtContent>
              <w:r>
                <w:rPr>
                  <w:bCs/>
                  <w:szCs w:val="24"/>
                </w:rPr>
                <w:t>3</w:t>
              </w:r>
            </w:sdtContent>
          </w:sdt>
          <w:r>
            <w:rPr>
              <w:bCs/>
              <w:szCs w:val="24"/>
            </w:rPr>
            <w:t> priedas</w:t>
          </w:r>
        </w:p>
        <w:p w:rsidR="005E51E3" w:rsidRDefault="005E51E3">
          <w:pPr>
            <w:jc w:val="center"/>
            <w:rPr>
              <w:iCs/>
              <w:szCs w:val="24"/>
            </w:rPr>
          </w:pPr>
        </w:p>
        <w:p w:rsidR="005E51E3" w:rsidRDefault="005E51E3">
          <w:pPr>
            <w:jc w:val="center"/>
            <w:rPr>
              <w:i/>
              <w:szCs w:val="24"/>
            </w:rPr>
          </w:pPr>
        </w:p>
        <w:p w:rsidR="005E51E3" w:rsidRDefault="00A47E9A">
          <w:pPr>
            <w:jc w:val="center"/>
            <w:rPr>
              <w:b/>
              <w:bCs/>
              <w:color w:val="000000"/>
              <w:szCs w:val="24"/>
            </w:rPr>
          </w:pPr>
          <w:sdt>
            <w:sdtPr>
              <w:alias w:val="Pavadinimas"/>
              <w:tag w:val="title_2d9095f5368942e2b0ff7470d00ba9d1"/>
              <w:id w:val="14271283"/>
              <w:lock w:val="sdtLocked"/>
            </w:sdtPr>
            <w:sdtEndPr/>
            <w:sdtContent>
              <w:r>
                <w:rPr>
                  <w:b/>
                  <w:bCs/>
                  <w:szCs w:val="24"/>
                </w:rPr>
                <w:t xml:space="preserve">2021–2030 M. PLĖTROS PROGRAMOS VALDYTOJOS LIETUVOS RESPUBLIKOS ŠVIETIMO, MOKSLO IR SPORTO MINISTERIJOS ŠVIETIMO PLĖTROS PROGRAMOS PAŽANGOS PRIEMONĖS </w:t>
              </w:r>
              <w:r>
                <w:rPr>
                  <w:b/>
                  <w:bCs/>
                  <w:color w:val="000000"/>
                  <w:shd w:val="clear" w:color="auto" w:fill="FFFFFF"/>
                </w:rPr>
                <w:t>NR. 12-003-03-01-04 „</w:t>
              </w:r>
              <w:r>
                <w:rPr>
                  <w:b/>
                  <w:bCs/>
                  <w:caps/>
                  <w:color w:val="000000"/>
                  <w:shd w:val="clear" w:color="auto" w:fill="FFFFFF"/>
                </w:rPr>
                <w:t>UŽTIKRINTI VISIEMS PRIEINAMĄ</w:t>
              </w:r>
              <w:r>
                <w:rPr>
                  <w:b/>
                  <w:bCs/>
                  <w:caps/>
                  <w:color w:val="000000"/>
                  <w:shd w:val="clear" w:color="auto" w:fill="FFFFFF"/>
                </w:rPr>
                <w:t xml:space="preserve"> ANKSTYVĄJĮ UGDYMĄ</w:t>
              </w:r>
              <w:r>
                <w:rPr>
                  <w:b/>
                  <w:bCs/>
                  <w:color w:val="000000"/>
                  <w:shd w:val="clear" w:color="auto" w:fill="FFFFFF"/>
                </w:rPr>
                <w:t xml:space="preserve">“ </w:t>
              </w:r>
              <w:r>
                <w:rPr>
                  <w:b/>
                  <w:bCs/>
                  <w:szCs w:val="24"/>
                </w:rPr>
                <w:t>PROJEKTŲ FINANSAVIMO SĄLYGŲ APRAŠAS NR. 3</w:t>
              </w:r>
            </w:sdtContent>
          </w:sdt>
        </w:p>
        <w:p w:rsidR="005E51E3" w:rsidRDefault="005E51E3">
          <w:pPr>
            <w:jc w:val="center"/>
            <w:rPr>
              <w:szCs w:val="24"/>
            </w:rPr>
          </w:pPr>
        </w:p>
        <w:p w:rsidR="005E51E3" w:rsidRDefault="00A47E9A">
          <w:pPr>
            <w:jc w:val="center"/>
            <w:rPr>
              <w:b/>
              <w:bCs/>
              <w:iCs/>
              <w:szCs w:val="24"/>
            </w:rPr>
          </w:pPr>
          <w:r>
            <w:rPr>
              <w:b/>
              <w:bCs/>
              <w:iCs/>
              <w:szCs w:val="24"/>
            </w:rPr>
            <w:t>I</w:t>
          </w:r>
          <w:r>
            <w:rPr>
              <w:b/>
              <w:bCs/>
              <w:iCs/>
              <w:szCs w:val="24"/>
            </w:rPr>
            <w:t xml:space="preserve"> SKYRIUS</w:t>
          </w:r>
        </w:p>
        <w:p w:rsidR="005E51E3" w:rsidRDefault="00A47E9A">
          <w:pPr>
            <w:spacing w:line="259" w:lineRule="auto"/>
            <w:jc w:val="center"/>
            <w:rPr>
              <w:b/>
              <w:szCs w:val="24"/>
            </w:rPr>
          </w:pPr>
          <w:r>
            <w:rPr>
              <w:b/>
              <w:szCs w:val="24"/>
            </w:rPr>
            <w:t>VEIKLOS AR POVEIKLĖS, KURIOMS NUSTATOMOS PROJEKTŲ FINANSAVIMO SĄLYGOS</w:t>
          </w:r>
        </w:p>
        <w:p w:rsidR="005E51E3" w:rsidRDefault="005E51E3">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446"/>
            <w:gridCol w:w="851"/>
            <w:gridCol w:w="850"/>
            <w:gridCol w:w="1276"/>
            <w:gridCol w:w="1276"/>
            <w:gridCol w:w="1134"/>
            <w:gridCol w:w="1134"/>
            <w:gridCol w:w="1275"/>
          </w:tblGrid>
          <w:tr w:rsidR="005E51E3">
            <w:tc>
              <w:tcPr>
                <w:tcW w:w="14737" w:type="dxa"/>
                <w:gridSpan w:val="13"/>
                <w:vAlign w:val="center"/>
              </w:tcPr>
              <w:p w:rsidR="005E51E3" w:rsidRDefault="00A47E9A">
                <w:pPr>
                  <w:rPr>
                    <w:b/>
                    <w:sz w:val="22"/>
                    <w:szCs w:val="22"/>
                  </w:rPr>
                </w:pPr>
                <w:r>
                  <w:rPr>
                    <w:b/>
                    <w:sz w:val="22"/>
                    <w:szCs w:val="22"/>
                  </w:rPr>
                  <w:t xml:space="preserve">1. Veiklos ar </w:t>
                </w:r>
                <w:proofErr w:type="spellStart"/>
                <w:r>
                  <w:rPr>
                    <w:b/>
                    <w:sz w:val="22"/>
                    <w:szCs w:val="22"/>
                  </w:rPr>
                  <w:t>poveiklės</w:t>
                </w:r>
                <w:proofErr w:type="spellEnd"/>
                <w:r>
                  <w:rPr>
                    <w:b/>
                    <w:sz w:val="22"/>
                    <w:szCs w:val="22"/>
                  </w:rPr>
                  <w:t>, kurioms nustatomos projektų finansavimo sąlygos</w:t>
                </w:r>
              </w:p>
            </w:tc>
          </w:tr>
          <w:tr w:rsidR="005E51E3">
            <w:tc>
              <w:tcPr>
                <w:tcW w:w="1110" w:type="dxa"/>
                <w:vAlign w:val="center"/>
              </w:tcPr>
              <w:p w:rsidR="005E51E3" w:rsidRDefault="00A47E9A">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rsidR="005E51E3" w:rsidRDefault="00A47E9A">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5E51E3" w:rsidRDefault="00A47E9A">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5E51E3" w:rsidRDefault="00A47E9A">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5E51E3" w:rsidRDefault="00A47E9A">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46" w:type="dxa"/>
                <w:vAlign w:val="center"/>
              </w:tcPr>
              <w:p w:rsidR="005E51E3" w:rsidRDefault="00A47E9A">
                <w:pPr>
                  <w:jc w:val="center"/>
                  <w:rPr>
                    <w:b/>
                    <w:sz w:val="20"/>
                    <w:szCs w:val="22"/>
                  </w:rPr>
                </w:pPr>
                <w:r>
                  <w:rPr>
                    <w:b/>
                    <w:sz w:val="20"/>
                    <w:szCs w:val="22"/>
                  </w:rPr>
                  <w:t>Intervencinės priemonės kodas</w:t>
                </w:r>
              </w:p>
            </w:tc>
            <w:tc>
              <w:tcPr>
                <w:tcW w:w="851" w:type="dxa"/>
                <w:vAlign w:val="center"/>
              </w:tcPr>
              <w:p w:rsidR="005E51E3" w:rsidRDefault="00A47E9A">
                <w:pPr>
                  <w:jc w:val="center"/>
                  <w:rPr>
                    <w:b/>
                    <w:bCs/>
                    <w:sz w:val="20"/>
                    <w:szCs w:val="22"/>
                  </w:rPr>
                </w:pPr>
                <w:r>
                  <w:rPr>
                    <w:b/>
                    <w:sz w:val="20"/>
                  </w:rPr>
                  <w:t>Regio-</w:t>
                </w:r>
                <w:proofErr w:type="spellStart"/>
                <w:r>
                  <w:rPr>
                    <w:b/>
                    <w:sz w:val="20"/>
                  </w:rPr>
                  <w:t>nas</w:t>
                </w:r>
                <w:proofErr w:type="spellEnd"/>
                <w:r>
                  <w:rPr>
                    <w:b/>
                    <w:sz w:val="20"/>
                  </w:rPr>
                  <w:t xml:space="preserve">, kuriam </w:t>
                </w:r>
                <w:proofErr w:type="spellStart"/>
                <w:r>
                  <w:rPr>
                    <w:b/>
                    <w:sz w:val="20"/>
                  </w:rPr>
                  <w:t>priski-riama</w:t>
                </w:r>
                <w:proofErr w:type="spellEnd"/>
                <w:r>
                  <w:rPr>
                    <w:b/>
                    <w:sz w:val="20"/>
                  </w:rPr>
                  <w:t xml:space="preserve"> veikla ar </w:t>
                </w:r>
                <w:proofErr w:type="spellStart"/>
                <w:r>
                  <w:rPr>
                    <w:b/>
                    <w:sz w:val="20"/>
                  </w:rPr>
                  <w:t>poveik-lė</w:t>
                </w:r>
                <w:proofErr w:type="spellEnd"/>
              </w:p>
            </w:tc>
            <w:tc>
              <w:tcPr>
                <w:tcW w:w="850" w:type="dxa"/>
                <w:vAlign w:val="center"/>
              </w:tcPr>
              <w:p w:rsidR="005E51E3" w:rsidRDefault="00A47E9A">
                <w:pPr>
                  <w:jc w:val="center"/>
                  <w:rPr>
                    <w:b/>
                    <w:sz w:val="20"/>
                    <w:szCs w:val="22"/>
                  </w:rPr>
                </w:pPr>
                <w:r>
                  <w:rPr>
                    <w:b/>
                    <w:bCs/>
                    <w:sz w:val="20"/>
                    <w:szCs w:val="22"/>
                  </w:rPr>
                  <w:t>Para-mos formos kodas</w:t>
                </w:r>
              </w:p>
            </w:tc>
            <w:tc>
              <w:tcPr>
                <w:tcW w:w="1276" w:type="dxa"/>
                <w:vAlign w:val="center"/>
              </w:tcPr>
              <w:p w:rsidR="005E51E3" w:rsidRDefault="00A47E9A">
                <w:pPr>
                  <w:jc w:val="center"/>
                  <w:rPr>
                    <w:b/>
                    <w:sz w:val="20"/>
                    <w:szCs w:val="22"/>
                  </w:rPr>
                </w:pPr>
                <w:r>
                  <w:rPr>
                    <w:b/>
                    <w:bCs/>
                    <w:sz w:val="20"/>
                    <w:szCs w:val="22"/>
                  </w:rPr>
                  <w:t>Pagrindinės teritorinės srities kodas (-ai)</w:t>
                </w:r>
              </w:p>
            </w:tc>
            <w:tc>
              <w:tcPr>
                <w:tcW w:w="1276" w:type="dxa"/>
                <w:vAlign w:val="center"/>
              </w:tcPr>
              <w:p w:rsidR="005E51E3" w:rsidRDefault="00A47E9A">
                <w:pPr>
                  <w:jc w:val="center"/>
                  <w:rPr>
                    <w:b/>
                    <w:sz w:val="20"/>
                    <w:szCs w:val="22"/>
                  </w:rPr>
                </w:pPr>
                <w:r>
                  <w:rPr>
                    <w:b/>
                    <w:bCs/>
                    <w:sz w:val="20"/>
                    <w:szCs w:val="22"/>
                  </w:rPr>
                  <w:t>Ekonominės vei</w:t>
                </w:r>
                <w:r>
                  <w:rPr>
                    <w:b/>
                    <w:bCs/>
                    <w:sz w:val="20"/>
                    <w:szCs w:val="22"/>
                  </w:rPr>
                  <w:t>klos kodas (-ai)</w:t>
                </w:r>
              </w:p>
            </w:tc>
            <w:tc>
              <w:tcPr>
                <w:tcW w:w="1134" w:type="dxa"/>
                <w:vAlign w:val="center"/>
              </w:tcPr>
              <w:p w:rsidR="005E51E3" w:rsidRDefault="00A47E9A">
                <w:pPr>
                  <w:jc w:val="center"/>
                  <w:rPr>
                    <w:b/>
                    <w:bCs/>
                    <w:sz w:val="20"/>
                    <w:szCs w:val="22"/>
                  </w:rPr>
                </w:pPr>
                <w:r>
                  <w:rPr>
                    <w:b/>
                    <w:bCs/>
                    <w:sz w:val="20"/>
                    <w:szCs w:val="22"/>
                  </w:rPr>
                  <w:t>„Europos socialinio fondo +“ (toliau – ESF+) antrinių temų kodai</w:t>
                </w:r>
              </w:p>
            </w:tc>
            <w:tc>
              <w:tcPr>
                <w:tcW w:w="1134" w:type="dxa"/>
                <w:vAlign w:val="center"/>
              </w:tcPr>
              <w:p w:rsidR="005E51E3" w:rsidRDefault="00A47E9A">
                <w:pPr>
                  <w:jc w:val="center"/>
                  <w:rPr>
                    <w:b/>
                    <w:bCs/>
                    <w:sz w:val="20"/>
                    <w:szCs w:val="22"/>
                  </w:rPr>
                </w:pPr>
                <w:r>
                  <w:rPr>
                    <w:b/>
                    <w:bCs/>
                    <w:sz w:val="20"/>
                    <w:szCs w:val="22"/>
                  </w:rPr>
                  <w:t>Lyčių lygybės matmens kodas</w:t>
                </w:r>
              </w:p>
            </w:tc>
            <w:tc>
              <w:tcPr>
                <w:tcW w:w="1275" w:type="dxa"/>
              </w:tcPr>
              <w:p w:rsidR="005E51E3" w:rsidRDefault="00A47E9A">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5E51E3" w:rsidRDefault="00A47E9A">
                <w:pPr>
                  <w:jc w:val="center"/>
                  <w:rPr>
                    <w:b/>
                    <w:bCs/>
                    <w:sz w:val="20"/>
                    <w:szCs w:val="22"/>
                  </w:rPr>
                </w:pPr>
                <w:r>
                  <w:rPr>
                    <w:b/>
                    <w:sz w:val="20"/>
                  </w:rPr>
                  <w:t>(Taip / Ne)</w:t>
                </w:r>
              </w:p>
            </w:tc>
          </w:tr>
          <w:tr w:rsidR="005E51E3">
            <w:trPr>
              <w:trHeight w:val="278"/>
            </w:trPr>
            <w:tc>
              <w:tcPr>
                <w:tcW w:w="1110" w:type="dxa"/>
                <w:tcMar>
                  <w:left w:w="28" w:type="dxa"/>
                  <w:right w:w="28" w:type="dxa"/>
                </w:tcMar>
              </w:tcPr>
              <w:p w:rsidR="005E51E3" w:rsidRDefault="00A47E9A">
                <w:pPr>
                  <w:jc w:val="center"/>
                  <w:rPr>
                    <w:b/>
                    <w:i/>
                    <w:sz w:val="20"/>
                  </w:rPr>
                </w:pPr>
                <w:r>
                  <w:rPr>
                    <w:color w:val="000000"/>
                    <w:sz w:val="18"/>
                    <w:szCs w:val="18"/>
                  </w:rPr>
                  <w:t xml:space="preserve">3. Sukurti įstaigų, vykdančių ikimokyklinio ugdymo </w:t>
                </w:r>
                <w:r>
                  <w:rPr>
                    <w:color w:val="000000"/>
                    <w:sz w:val="18"/>
                    <w:szCs w:val="18"/>
                  </w:rPr>
                  <w:t xml:space="preserve">programas, stiprinimo paketą, apimantį mokymąsi vieniems iš kitų (angl. </w:t>
                </w:r>
                <w:proofErr w:type="spellStart"/>
                <w:r>
                  <w:rPr>
                    <w:color w:val="000000"/>
                    <w:sz w:val="18"/>
                    <w:szCs w:val="18"/>
                  </w:rPr>
                  <w:t>peer-</w:t>
                </w:r>
                <w:r>
                  <w:rPr>
                    <w:color w:val="000000"/>
                    <w:sz w:val="18"/>
                    <w:szCs w:val="18"/>
                  </w:rPr>
                  <w:lastRenderedPageBreak/>
                  <w:t>learning</w:t>
                </w:r>
                <w:proofErr w:type="spellEnd"/>
                <w:r>
                  <w:rPr>
                    <w:color w:val="000000"/>
                    <w:sz w:val="18"/>
                    <w:szCs w:val="18"/>
                  </w:rPr>
                  <w:t>), ikimokyklinio ugdymo mokytojų kompetencijų atnaujinimą ir stiprinimą, aprūpinimą moderniomis darbo vietomis</w:t>
                </w:r>
              </w:p>
            </w:tc>
            <w:tc>
              <w:tcPr>
                <w:tcW w:w="1023" w:type="dxa"/>
                <w:tcMar>
                  <w:left w:w="28" w:type="dxa"/>
                  <w:right w:w="28" w:type="dxa"/>
                </w:tcMar>
              </w:tcPr>
              <w:p w:rsidR="005E51E3" w:rsidRDefault="00A47E9A">
                <w:pPr>
                  <w:ind w:firstLine="53"/>
                  <w:jc w:val="center"/>
                  <w:rPr>
                    <w:sz w:val="20"/>
                  </w:rPr>
                </w:pPr>
                <w:r>
                  <w:rPr>
                    <w:sz w:val="18"/>
                    <w:szCs w:val="18"/>
                  </w:rPr>
                  <w:lastRenderedPageBreak/>
                  <w:t>Europos Sąjungos (toliau – ES) fondų lėšos ir bendrojo finan</w:t>
                </w:r>
                <w:r>
                  <w:rPr>
                    <w:sz w:val="18"/>
                    <w:szCs w:val="18"/>
                  </w:rPr>
                  <w:t>savimo lėšos</w:t>
                </w:r>
              </w:p>
            </w:tc>
            <w:tc>
              <w:tcPr>
                <w:tcW w:w="1236" w:type="dxa"/>
                <w:tcMar>
                  <w:left w:w="28" w:type="dxa"/>
                  <w:right w:w="28" w:type="dxa"/>
                </w:tcMar>
              </w:tcPr>
              <w:p w:rsidR="005E51E3" w:rsidRDefault="00A47E9A">
                <w:pPr>
                  <w:jc w:val="center"/>
                  <w:rPr>
                    <w:b/>
                    <w:sz w:val="20"/>
                  </w:rPr>
                </w:pPr>
                <w:r>
                  <w:rPr>
                    <w:sz w:val="18"/>
                    <w:szCs w:val="18"/>
                  </w:rPr>
                  <w:t>4</w:t>
                </w:r>
              </w:p>
            </w:tc>
            <w:tc>
              <w:tcPr>
                <w:tcW w:w="1134" w:type="dxa"/>
                <w:tcMar>
                  <w:left w:w="28" w:type="dxa"/>
                  <w:right w:w="28" w:type="dxa"/>
                </w:tcMar>
              </w:tcPr>
              <w:p w:rsidR="005E51E3" w:rsidRDefault="00A47E9A">
                <w:pPr>
                  <w:jc w:val="center"/>
                  <w:rPr>
                    <w:b/>
                    <w:sz w:val="20"/>
                  </w:rPr>
                </w:pPr>
                <w:r>
                  <w:rPr>
                    <w:sz w:val="18"/>
                    <w:szCs w:val="18"/>
                  </w:rPr>
                  <w:t>4.3</w:t>
                </w:r>
              </w:p>
            </w:tc>
            <w:tc>
              <w:tcPr>
                <w:tcW w:w="992" w:type="dxa"/>
                <w:tcMar>
                  <w:left w:w="28" w:type="dxa"/>
                  <w:right w:w="28" w:type="dxa"/>
                </w:tcMar>
              </w:tcPr>
              <w:p w:rsidR="005E51E3" w:rsidRDefault="00A47E9A">
                <w:pPr>
                  <w:jc w:val="center"/>
                  <w:rPr>
                    <w:b/>
                    <w:sz w:val="20"/>
                  </w:rPr>
                </w:pPr>
                <w:r>
                  <w:rPr>
                    <w:sz w:val="18"/>
                    <w:szCs w:val="18"/>
                  </w:rPr>
                  <w:t xml:space="preserve">4.3.2. Užtikrinant vienodas starto švietime galimybes, padidinti </w:t>
                </w:r>
                <w:proofErr w:type="spellStart"/>
                <w:r>
                  <w:rPr>
                    <w:sz w:val="18"/>
                    <w:szCs w:val="18"/>
                  </w:rPr>
                  <w:t>ikimokykli-nio</w:t>
                </w:r>
                <w:proofErr w:type="spellEnd"/>
                <w:r>
                  <w:rPr>
                    <w:sz w:val="18"/>
                    <w:szCs w:val="18"/>
                  </w:rPr>
                  <w:t xml:space="preserve"> ugdymo ir visos dienos mokyklos prieinamas </w:t>
                </w:r>
                <w:r>
                  <w:rPr>
                    <w:sz w:val="18"/>
                    <w:szCs w:val="18"/>
                  </w:rPr>
                  <w:lastRenderedPageBreak/>
                  <w:t xml:space="preserve">paslaugas asmenims, </w:t>
                </w:r>
                <w:proofErr w:type="spellStart"/>
                <w:r>
                  <w:rPr>
                    <w:sz w:val="18"/>
                    <w:szCs w:val="18"/>
                  </w:rPr>
                  <w:t>patirian</w:t>
                </w:r>
                <w:proofErr w:type="spellEnd"/>
                <w:r>
                  <w:rPr>
                    <w:sz w:val="18"/>
                    <w:szCs w:val="18"/>
                  </w:rPr>
                  <w:t>-tiems atskirtį ar socialines rizikas, dėl kurių kyla grėsmė patirti socialinę atskirt</w:t>
                </w:r>
                <w:r>
                  <w:rPr>
                    <w:sz w:val="18"/>
                    <w:szCs w:val="18"/>
                  </w:rPr>
                  <w:t>į</w:t>
                </w:r>
              </w:p>
            </w:tc>
            <w:tc>
              <w:tcPr>
                <w:tcW w:w="1446" w:type="dxa"/>
                <w:tcMar>
                  <w:left w:w="28" w:type="dxa"/>
                  <w:right w:w="28" w:type="dxa"/>
                </w:tcMar>
              </w:tcPr>
              <w:p w:rsidR="005E51E3" w:rsidRDefault="00A47E9A">
                <w:pPr>
                  <w:jc w:val="center"/>
                  <w:rPr>
                    <w:i/>
                    <w:sz w:val="20"/>
                  </w:rPr>
                </w:pPr>
                <w:r>
                  <w:rPr>
                    <w:sz w:val="18"/>
                    <w:szCs w:val="18"/>
                  </w:rPr>
                  <w:lastRenderedPageBreak/>
                  <w:t>148</w:t>
                </w:r>
              </w:p>
            </w:tc>
            <w:tc>
              <w:tcPr>
                <w:tcW w:w="851" w:type="dxa"/>
                <w:tcMar>
                  <w:left w:w="28" w:type="dxa"/>
                  <w:right w:w="28" w:type="dxa"/>
                </w:tcMar>
              </w:tcPr>
              <w:p w:rsidR="005E51E3" w:rsidRDefault="00A47E9A">
                <w:pPr>
                  <w:jc w:val="center"/>
                  <w:rPr>
                    <w:iCs/>
                    <w:sz w:val="18"/>
                    <w:szCs w:val="18"/>
                  </w:rPr>
                </w:pPr>
                <w:r>
                  <w:rPr>
                    <w:iCs/>
                    <w:sz w:val="18"/>
                    <w:szCs w:val="18"/>
                  </w:rPr>
                  <w:t>Vidurio ir vakarų Lietuvos</w:t>
                </w:r>
              </w:p>
              <w:p w:rsidR="005E51E3" w:rsidRDefault="00A47E9A">
                <w:pPr>
                  <w:jc w:val="center"/>
                  <w:rPr>
                    <w:iCs/>
                    <w:sz w:val="20"/>
                  </w:rPr>
                </w:pPr>
                <w:r>
                  <w:rPr>
                    <w:iCs/>
                    <w:sz w:val="18"/>
                    <w:szCs w:val="18"/>
                  </w:rPr>
                  <w:t>regionas</w:t>
                </w:r>
              </w:p>
            </w:tc>
            <w:tc>
              <w:tcPr>
                <w:tcW w:w="850" w:type="dxa"/>
                <w:tcMar>
                  <w:left w:w="28" w:type="dxa"/>
                  <w:right w:w="28" w:type="dxa"/>
                </w:tcMar>
              </w:tcPr>
              <w:p w:rsidR="005E51E3" w:rsidRDefault="00A47E9A">
                <w:pPr>
                  <w:jc w:val="center"/>
                  <w:rPr>
                    <w:b/>
                    <w:i/>
                    <w:sz w:val="20"/>
                  </w:rPr>
                </w:pPr>
                <w:r>
                  <w:rPr>
                    <w:sz w:val="18"/>
                    <w:szCs w:val="22"/>
                  </w:rPr>
                  <w:t xml:space="preserve">01 </w:t>
                </w:r>
                <w:r>
                  <w:rPr>
                    <w:iCs/>
                    <w:sz w:val="18"/>
                    <w:szCs w:val="22"/>
                  </w:rPr>
                  <w:t>–</w:t>
                </w:r>
                <w:r>
                  <w:rPr>
                    <w:sz w:val="18"/>
                    <w:szCs w:val="22"/>
                  </w:rPr>
                  <w:t xml:space="preserve"> dotacija</w:t>
                </w:r>
              </w:p>
            </w:tc>
            <w:tc>
              <w:tcPr>
                <w:tcW w:w="1276" w:type="dxa"/>
                <w:tcMar>
                  <w:left w:w="28" w:type="dxa"/>
                  <w:right w:w="28" w:type="dxa"/>
                </w:tcMar>
              </w:tcPr>
              <w:p w:rsidR="005E51E3" w:rsidRDefault="00A47E9A">
                <w:pPr>
                  <w:jc w:val="center"/>
                  <w:rPr>
                    <w:sz w:val="18"/>
                    <w:szCs w:val="18"/>
                  </w:rPr>
                </w:pPr>
                <w:r>
                  <w:rPr>
                    <w:sz w:val="18"/>
                    <w:szCs w:val="18"/>
                  </w:rPr>
                  <w:t xml:space="preserve">33 </w:t>
                </w:r>
                <w:r>
                  <w:rPr>
                    <w:iCs/>
                    <w:sz w:val="18"/>
                    <w:szCs w:val="22"/>
                  </w:rPr>
                  <w:t>–</w:t>
                </w:r>
              </w:p>
              <w:p w:rsidR="005E51E3" w:rsidRDefault="00A47E9A">
                <w:pPr>
                  <w:jc w:val="center"/>
                  <w:rPr>
                    <w:b/>
                    <w:sz w:val="20"/>
                  </w:rPr>
                </w:pPr>
                <w:r>
                  <w:rPr>
                    <w:sz w:val="18"/>
                    <w:szCs w:val="18"/>
                  </w:rPr>
                  <w:t xml:space="preserve">nesiorientuojant į </w:t>
                </w:r>
                <w:proofErr w:type="spellStart"/>
                <w:r>
                  <w:rPr>
                    <w:sz w:val="18"/>
                    <w:szCs w:val="18"/>
                  </w:rPr>
                  <w:t>teritoriškumą</w:t>
                </w:r>
                <w:proofErr w:type="spellEnd"/>
                <w:r>
                  <w:rPr>
                    <w:sz w:val="18"/>
                    <w:szCs w:val="18"/>
                  </w:rPr>
                  <w:t xml:space="preserve"> </w:t>
                </w:r>
              </w:p>
            </w:tc>
            <w:tc>
              <w:tcPr>
                <w:tcW w:w="1276" w:type="dxa"/>
                <w:tcMar>
                  <w:left w:w="28" w:type="dxa"/>
                  <w:right w:w="28" w:type="dxa"/>
                </w:tcMar>
              </w:tcPr>
              <w:p w:rsidR="005E51E3" w:rsidRDefault="00A47E9A">
                <w:pPr>
                  <w:jc w:val="center"/>
                  <w:rPr>
                    <w:b/>
                    <w:sz w:val="20"/>
                  </w:rPr>
                </w:pPr>
                <w:r>
                  <w:rPr>
                    <w:iCs/>
                    <w:sz w:val="18"/>
                  </w:rPr>
                  <w:t xml:space="preserve">21 </w:t>
                </w:r>
                <w:r>
                  <w:rPr>
                    <w:iCs/>
                    <w:sz w:val="18"/>
                    <w:szCs w:val="22"/>
                  </w:rPr>
                  <w:t>–</w:t>
                </w:r>
                <w:r>
                  <w:rPr>
                    <w:iCs/>
                    <w:sz w:val="18"/>
                  </w:rPr>
                  <w:t xml:space="preserve"> švietimas</w:t>
                </w:r>
              </w:p>
            </w:tc>
            <w:tc>
              <w:tcPr>
                <w:tcW w:w="1134" w:type="dxa"/>
                <w:tcMar>
                  <w:left w:w="28" w:type="dxa"/>
                  <w:right w:w="28" w:type="dxa"/>
                </w:tcMar>
              </w:tcPr>
              <w:p w:rsidR="005E51E3" w:rsidRDefault="00A47E9A">
                <w:pPr>
                  <w:jc w:val="center"/>
                  <w:rPr>
                    <w:i/>
                    <w:iCs/>
                    <w:sz w:val="20"/>
                  </w:rPr>
                </w:pPr>
                <w:r>
                  <w:rPr>
                    <w:iCs/>
                    <w:sz w:val="18"/>
                  </w:rPr>
                  <w:t xml:space="preserve">09 </w:t>
                </w:r>
                <w:r>
                  <w:rPr>
                    <w:iCs/>
                    <w:sz w:val="18"/>
                    <w:szCs w:val="22"/>
                  </w:rPr>
                  <w:t>–</w:t>
                </w:r>
                <w:r>
                  <w:rPr>
                    <w:iCs/>
                    <w:sz w:val="18"/>
                  </w:rPr>
                  <w:t xml:space="preserve"> netaikoma</w:t>
                </w:r>
              </w:p>
            </w:tc>
            <w:tc>
              <w:tcPr>
                <w:tcW w:w="1134" w:type="dxa"/>
                <w:tcMar>
                  <w:left w:w="28" w:type="dxa"/>
                  <w:right w:w="28" w:type="dxa"/>
                </w:tcMar>
              </w:tcPr>
              <w:p w:rsidR="005E51E3" w:rsidRDefault="00A47E9A">
                <w:pPr>
                  <w:jc w:val="center"/>
                  <w:rPr>
                    <w:i/>
                    <w:iCs/>
                    <w:sz w:val="20"/>
                  </w:rPr>
                </w:pPr>
                <w:r>
                  <w:rPr>
                    <w:sz w:val="18"/>
                    <w:szCs w:val="18"/>
                  </w:rPr>
                  <w:t>02 – lyčių aspekto integravimas</w:t>
                </w:r>
              </w:p>
            </w:tc>
            <w:tc>
              <w:tcPr>
                <w:tcW w:w="1275" w:type="dxa"/>
              </w:tcPr>
              <w:p w:rsidR="005E51E3" w:rsidRDefault="00A47E9A">
                <w:pPr>
                  <w:jc w:val="center"/>
                  <w:rPr>
                    <w:sz w:val="20"/>
                    <w:shd w:val="clear" w:color="auto" w:fill="FFFFFF"/>
                  </w:rPr>
                </w:pPr>
                <w:r>
                  <w:rPr>
                    <w:sz w:val="18"/>
                    <w:szCs w:val="18"/>
                  </w:rPr>
                  <w:t>Ne</w:t>
                </w:r>
              </w:p>
            </w:tc>
          </w:tr>
        </w:tbl>
        <w:p w:rsidR="005E51E3" w:rsidRDefault="005E51E3">
          <w:pPr>
            <w:ind w:firstLine="567"/>
            <w:jc w:val="both"/>
            <w:rPr>
              <w:b/>
              <w:i/>
              <w:iCs/>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5E51E3">
            <w:trPr>
              <w:trHeight w:val="405"/>
            </w:trPr>
            <w:tc>
              <w:tcPr>
                <w:tcW w:w="14752" w:type="dxa"/>
                <w:gridSpan w:val="4"/>
                <w:shd w:val="clear" w:color="auto" w:fill="auto"/>
                <w:vAlign w:val="center"/>
              </w:tcPr>
              <w:p w:rsidR="005E51E3" w:rsidRDefault="00A47E9A">
                <w:pPr>
                  <w:rPr>
                    <w:b/>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5E51E3">
            <w:trPr>
              <w:trHeight w:val="405"/>
            </w:trPr>
            <w:tc>
              <w:tcPr>
                <w:tcW w:w="3688" w:type="dxa"/>
                <w:shd w:val="clear" w:color="auto" w:fill="auto"/>
                <w:vAlign w:val="center"/>
              </w:tcPr>
              <w:p w:rsidR="005E51E3" w:rsidRDefault="00A47E9A">
                <w:pPr>
                  <w:jc w:val="center"/>
                  <w:rPr>
                    <w:sz w:val="18"/>
                    <w:szCs w:val="18"/>
                  </w:rPr>
                </w:pPr>
                <w:r>
                  <w:rPr>
                    <w:sz w:val="22"/>
                    <w:szCs w:val="22"/>
                  </w:rPr>
                  <w:t>Rodiklio pavadinimas</w:t>
                </w:r>
              </w:p>
            </w:tc>
            <w:tc>
              <w:tcPr>
                <w:tcW w:w="3688" w:type="dxa"/>
                <w:shd w:val="clear" w:color="auto" w:fill="auto"/>
                <w:vAlign w:val="center"/>
              </w:tcPr>
              <w:p w:rsidR="005E51E3" w:rsidRDefault="00A47E9A">
                <w:pPr>
                  <w:jc w:val="center"/>
                  <w:rPr>
                    <w:sz w:val="18"/>
                    <w:szCs w:val="18"/>
                  </w:rPr>
                </w:pPr>
                <w:r>
                  <w:rPr>
                    <w:sz w:val="22"/>
                    <w:szCs w:val="22"/>
                  </w:rPr>
                  <w:t>Rodiklio kodas</w:t>
                </w:r>
              </w:p>
            </w:tc>
            <w:tc>
              <w:tcPr>
                <w:tcW w:w="3688" w:type="dxa"/>
                <w:shd w:val="clear" w:color="auto" w:fill="auto"/>
                <w:vAlign w:val="center"/>
              </w:tcPr>
              <w:p w:rsidR="005E51E3" w:rsidRDefault="00A47E9A">
                <w:pPr>
                  <w:jc w:val="center"/>
                  <w:rPr>
                    <w:sz w:val="18"/>
                    <w:szCs w:val="18"/>
                  </w:rPr>
                </w:pPr>
                <w:r>
                  <w:rPr>
                    <w:sz w:val="22"/>
                    <w:szCs w:val="22"/>
                  </w:rPr>
                  <w:t>Matavimo vienetai</w:t>
                </w:r>
              </w:p>
            </w:tc>
            <w:tc>
              <w:tcPr>
                <w:tcW w:w="3688" w:type="dxa"/>
                <w:shd w:val="clear" w:color="auto" w:fill="auto"/>
                <w:vAlign w:val="center"/>
              </w:tcPr>
              <w:p w:rsidR="005E51E3" w:rsidRDefault="00A47E9A">
                <w:pPr>
                  <w:jc w:val="center"/>
                  <w:rPr>
                    <w:sz w:val="18"/>
                    <w:szCs w:val="18"/>
                  </w:rPr>
                </w:pPr>
                <w:r>
                  <w:rPr>
                    <w:sz w:val="22"/>
                    <w:szCs w:val="22"/>
                  </w:rPr>
                  <w:t>Siektina reikšmė ir pasiekimo data</w:t>
                </w:r>
              </w:p>
            </w:tc>
          </w:tr>
          <w:tr w:rsidR="005E51E3">
            <w:trPr>
              <w:trHeight w:val="725"/>
            </w:trPr>
            <w:tc>
              <w:tcPr>
                <w:tcW w:w="3688" w:type="dxa"/>
                <w:vAlign w:val="center"/>
              </w:tcPr>
              <w:p w:rsidR="005E51E3" w:rsidRDefault="00A47E9A">
                <w:pPr>
                  <w:jc w:val="center"/>
                  <w:rPr>
                    <w:iCs/>
                    <w:sz w:val="22"/>
                    <w:szCs w:val="22"/>
                  </w:rPr>
                </w:pPr>
                <w:r>
                  <w:rPr>
                    <w:szCs w:val="24"/>
                  </w:rPr>
                  <w:t>Asmenų, kurie dalyvavę mokymuose įgijo kompetenciją, dalis</w:t>
                </w:r>
              </w:p>
            </w:tc>
            <w:tc>
              <w:tcPr>
                <w:tcW w:w="3688" w:type="dxa"/>
                <w:vAlign w:val="center"/>
              </w:tcPr>
              <w:p w:rsidR="005E51E3" w:rsidRDefault="00A47E9A">
                <w:pPr>
                  <w:jc w:val="center"/>
                  <w:rPr>
                    <w:szCs w:val="24"/>
                  </w:rPr>
                </w:pPr>
                <w:r>
                  <w:rPr>
                    <w:szCs w:val="24"/>
                  </w:rPr>
                  <w:t>R-12-003-03-01-04-05</w:t>
                </w:r>
              </w:p>
              <w:p w:rsidR="005E51E3" w:rsidRDefault="00A47E9A">
                <w:pPr>
                  <w:jc w:val="center"/>
                  <w:rPr>
                    <w:iCs/>
                    <w:sz w:val="22"/>
                    <w:szCs w:val="22"/>
                  </w:rPr>
                </w:pPr>
                <w:r>
                  <w:rPr>
                    <w:color w:val="000000"/>
                    <w:szCs w:val="24"/>
                    <w:lang w:eastAsia="lt-LT"/>
                  </w:rPr>
                  <w:t>R.S.2.3512</w:t>
                </w:r>
              </w:p>
            </w:tc>
            <w:tc>
              <w:tcPr>
                <w:tcW w:w="3688" w:type="dxa"/>
                <w:vAlign w:val="center"/>
              </w:tcPr>
              <w:p w:rsidR="005E51E3" w:rsidRDefault="00A47E9A">
                <w:pPr>
                  <w:jc w:val="center"/>
                  <w:rPr>
                    <w:iCs/>
                    <w:sz w:val="22"/>
                    <w:szCs w:val="22"/>
                  </w:rPr>
                </w:pPr>
                <w:r>
                  <w:rPr>
                    <w:szCs w:val="24"/>
                  </w:rPr>
                  <w:t>Procentas</w:t>
                </w:r>
              </w:p>
            </w:tc>
            <w:tc>
              <w:tcPr>
                <w:tcW w:w="3688" w:type="dxa"/>
                <w:vAlign w:val="center"/>
              </w:tcPr>
              <w:p w:rsidR="005E51E3" w:rsidRDefault="00A47E9A">
                <w:pPr>
                  <w:jc w:val="center"/>
                  <w:rPr>
                    <w:iCs/>
                    <w:sz w:val="22"/>
                    <w:szCs w:val="22"/>
                  </w:rPr>
                </w:pPr>
                <w:r>
                  <w:rPr>
                    <w:szCs w:val="24"/>
                  </w:rPr>
                  <w:t>80</w:t>
                </w:r>
              </w:p>
            </w:tc>
          </w:tr>
          <w:tr w:rsidR="005E51E3">
            <w:trPr>
              <w:trHeight w:val="725"/>
            </w:trPr>
            <w:tc>
              <w:tcPr>
                <w:tcW w:w="3688" w:type="dxa"/>
                <w:vAlign w:val="center"/>
              </w:tcPr>
              <w:p w:rsidR="005E51E3" w:rsidRDefault="00A47E9A">
                <w:pPr>
                  <w:jc w:val="center"/>
                  <w:rPr>
                    <w:iCs/>
                    <w:sz w:val="22"/>
                    <w:szCs w:val="22"/>
                  </w:rPr>
                </w:pPr>
                <w:r>
                  <w:rPr>
                    <w:szCs w:val="24"/>
                  </w:rPr>
                  <w:t>Asmenys, turintys tretinį (ISCED 5–8 kodai) išsilavinimą</w:t>
                </w:r>
              </w:p>
            </w:tc>
            <w:tc>
              <w:tcPr>
                <w:tcW w:w="3688" w:type="dxa"/>
                <w:vAlign w:val="center"/>
              </w:tcPr>
              <w:p w:rsidR="005E51E3" w:rsidRDefault="00A47E9A">
                <w:pPr>
                  <w:jc w:val="center"/>
                  <w:rPr>
                    <w:szCs w:val="24"/>
                  </w:rPr>
                </w:pPr>
                <w:r>
                  <w:rPr>
                    <w:szCs w:val="24"/>
                  </w:rPr>
                  <w:t>P-12-003-03-01-04-02</w:t>
                </w:r>
              </w:p>
              <w:p w:rsidR="005E51E3" w:rsidRDefault="00A47E9A">
                <w:pPr>
                  <w:jc w:val="center"/>
                  <w:rPr>
                    <w:sz w:val="22"/>
                    <w:szCs w:val="22"/>
                  </w:rPr>
                </w:pPr>
                <w:r>
                  <w:rPr>
                    <w:color w:val="000000"/>
                    <w:szCs w:val="24"/>
                    <w:lang w:eastAsia="lt-LT"/>
                  </w:rPr>
                  <w:t>P.B.2.0511</w:t>
                </w:r>
              </w:p>
            </w:tc>
            <w:tc>
              <w:tcPr>
                <w:tcW w:w="3688" w:type="dxa"/>
                <w:vAlign w:val="center"/>
              </w:tcPr>
              <w:p w:rsidR="005E51E3" w:rsidRDefault="00A47E9A">
                <w:pPr>
                  <w:jc w:val="center"/>
                  <w:rPr>
                    <w:iCs/>
                    <w:sz w:val="22"/>
                    <w:szCs w:val="22"/>
                  </w:rPr>
                </w:pPr>
                <w:r>
                  <w:rPr>
                    <w:szCs w:val="24"/>
                  </w:rPr>
                  <w:t>Asmenys</w:t>
                </w:r>
              </w:p>
            </w:tc>
            <w:tc>
              <w:tcPr>
                <w:tcW w:w="3688" w:type="dxa"/>
                <w:vAlign w:val="center"/>
              </w:tcPr>
              <w:p w:rsidR="005E51E3" w:rsidRDefault="00A47E9A">
                <w:pPr>
                  <w:jc w:val="center"/>
                  <w:rPr>
                    <w:iCs/>
                    <w:sz w:val="22"/>
                    <w:szCs w:val="22"/>
                  </w:rPr>
                </w:pPr>
                <w:r>
                  <w:rPr>
                    <w:szCs w:val="24"/>
                  </w:rPr>
                  <w:t>1 370</w:t>
                </w:r>
              </w:p>
            </w:tc>
          </w:tr>
        </w:tbl>
        <w:p w:rsidR="005E51E3" w:rsidRDefault="005E51E3">
          <w:pPr>
            <w:rPr>
              <w:color w:val="000000"/>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5E51E3">
            <w:trPr>
              <w:trHeight w:val="298"/>
            </w:trPr>
            <w:tc>
              <w:tcPr>
                <w:tcW w:w="14737" w:type="dxa"/>
                <w:tcBorders>
                  <w:top w:val="single" w:sz="4" w:space="0" w:color="auto"/>
                  <w:left w:val="single" w:sz="4" w:space="0" w:color="auto"/>
                  <w:bottom w:val="single" w:sz="4" w:space="0" w:color="auto"/>
                  <w:right w:val="single" w:sz="4" w:space="0" w:color="auto"/>
                </w:tcBorders>
                <w:hideMark/>
              </w:tcPr>
              <w:p w:rsidR="005E51E3" w:rsidRDefault="00A47E9A">
                <w:pPr>
                  <w:tabs>
                    <w:tab w:val="left" w:pos="306"/>
                  </w:tabs>
                  <w:rPr>
                    <w:b/>
                    <w:bCs/>
                    <w:color w:val="000000"/>
                    <w:sz w:val="22"/>
                    <w:szCs w:val="22"/>
                  </w:rPr>
                </w:pPr>
                <w:r>
                  <w:rPr>
                    <w:b/>
                    <w:bCs/>
                    <w:color w:val="000000"/>
                    <w:sz w:val="22"/>
                    <w:szCs w:val="22"/>
                  </w:rPr>
                  <w:t xml:space="preserve">3. </w:t>
                </w:r>
                <w:r>
                  <w:rPr>
                    <w:b/>
                    <w:bCs/>
                    <w:color w:val="000000"/>
                    <w:sz w:val="22"/>
                    <w:szCs w:val="22"/>
                  </w:rPr>
                  <w:t>Lietuvos Respublikos švietimo, mokslo ir sporto ministerijos (toliau – Ministerija) stebėsenos rodiklių aprašymo kortelės</w:t>
                </w:r>
              </w:p>
            </w:tc>
          </w:tr>
          <w:tr w:rsidR="005E51E3">
            <w:trPr>
              <w:trHeight w:val="854"/>
            </w:trPr>
            <w:tc>
              <w:tcPr>
                <w:tcW w:w="14737" w:type="dxa"/>
                <w:tcBorders>
                  <w:top w:val="single" w:sz="4" w:space="0" w:color="auto"/>
                  <w:left w:val="single" w:sz="4" w:space="0" w:color="auto"/>
                  <w:bottom w:val="single" w:sz="4" w:space="0" w:color="auto"/>
                  <w:right w:val="single" w:sz="4" w:space="0" w:color="auto"/>
                </w:tcBorders>
                <w:hideMark/>
              </w:tcPr>
              <w:p w:rsidR="005E51E3" w:rsidRDefault="00A47E9A">
                <w:pPr>
                  <w:tabs>
                    <w:tab w:val="left" w:pos="457"/>
                  </w:tabs>
                  <w:ind w:left="32" w:firstLine="1"/>
                  <w:jc w:val="both"/>
                  <w:rPr>
                    <w:iCs/>
                    <w:sz w:val="22"/>
                    <w:szCs w:val="22"/>
                  </w:rPr>
                </w:pPr>
                <w:r>
                  <w:rPr>
                    <w:iCs/>
                    <w:sz w:val="22"/>
                    <w:szCs w:val="22"/>
                  </w:rPr>
                  <w:t>3.1.</w:t>
                </w:r>
                <w:r>
                  <w:rPr>
                    <w:iCs/>
                    <w:sz w:val="22"/>
                    <w:szCs w:val="22"/>
                  </w:rPr>
                  <w:tab/>
                  <w:t xml:space="preserve">Ministerijos stebėsenos rodiklių aprašymo kortelės pateiktos šiuo Lietuvos Respublikos švietimo, mokslo ir sporto ministro </w:t>
                </w:r>
                <w:r>
                  <w:rPr>
                    <w:iCs/>
                    <w:sz w:val="22"/>
                    <w:szCs w:val="22"/>
                  </w:rPr>
                  <w:t>įsakymu patvirtinto 2021–2030 m. plėtros programos valdytojos Lietuvos Respublikos švietimo, mokslo ir sporto ministerijos švietimo plėtros programos pažangos priemonės Nr. 12-003-03-01-04 „Užtikrinti visiems prieinamą ankstyvąjį ugdymą“ aprašo 4 priede.</w:t>
                </w:r>
              </w:p>
            </w:tc>
          </w:tr>
        </w:tbl>
        <w:p w:rsidR="005E51E3" w:rsidRDefault="005E51E3">
          <w:pPr>
            <w:jc w:val="both"/>
            <w:rPr>
              <w:i/>
              <w:iCs/>
              <w:szCs w:val="24"/>
            </w:rPr>
          </w:pPr>
        </w:p>
        <w:p w:rsidR="005E51E3" w:rsidRDefault="00A47E9A">
          <w:pPr>
            <w:jc w:val="center"/>
            <w:rPr>
              <w:b/>
              <w:bCs/>
              <w:szCs w:val="24"/>
            </w:rPr>
          </w:pPr>
          <w:r>
            <w:rPr>
              <w:b/>
              <w:bCs/>
              <w:szCs w:val="24"/>
            </w:rPr>
            <w:t>II</w:t>
          </w:r>
          <w:r>
            <w:rPr>
              <w:b/>
              <w:bCs/>
              <w:szCs w:val="24"/>
            </w:rPr>
            <w:t xml:space="preserve"> SKYRIUS</w:t>
          </w:r>
        </w:p>
        <w:p w:rsidR="005E51E3" w:rsidRDefault="00A47E9A">
          <w:pPr>
            <w:jc w:val="center"/>
            <w:rPr>
              <w:b/>
              <w:szCs w:val="24"/>
            </w:rPr>
          </w:pPr>
          <w:r>
            <w:rPr>
              <w:b/>
              <w:szCs w:val="24"/>
            </w:rPr>
            <w:t>SPECIALIEJI FINANSAVIMO REIKALAVIMAI</w:t>
          </w:r>
        </w:p>
        <w:p w:rsidR="005E51E3" w:rsidRDefault="005E51E3">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5E51E3">
            <w:tc>
              <w:tcPr>
                <w:tcW w:w="14709" w:type="dxa"/>
              </w:tcPr>
              <w:p w:rsidR="005E51E3" w:rsidRDefault="00A47E9A">
                <w:pPr>
                  <w:rPr>
                    <w:b/>
                    <w:sz w:val="22"/>
                    <w:szCs w:val="22"/>
                  </w:rPr>
                </w:pPr>
                <w:r>
                  <w:rPr>
                    <w:b/>
                    <w:bCs/>
                    <w:sz w:val="22"/>
                    <w:szCs w:val="22"/>
                  </w:rPr>
                  <w:t xml:space="preserve">4. Taikomi teisės aktai </w:t>
                </w:r>
                <w:r>
                  <w:rPr>
                    <w:b/>
                    <w:bCs/>
                    <w:szCs w:val="24"/>
                  </w:rPr>
                  <w:t>ir, jei taikoma, Apraše vartojamos sąvokos</w:t>
                </w:r>
              </w:p>
            </w:tc>
          </w:tr>
          <w:tr w:rsidR="005E51E3">
            <w:tc>
              <w:tcPr>
                <w:tcW w:w="14709" w:type="dxa"/>
              </w:tcPr>
              <w:p w:rsidR="005E51E3" w:rsidRDefault="00A47E9A">
                <w:pPr>
                  <w:tabs>
                    <w:tab w:val="left" w:pos="883"/>
                  </w:tabs>
                  <w:jc w:val="both"/>
                  <w:rPr>
                    <w:iCs/>
                    <w:sz w:val="22"/>
                    <w:szCs w:val="22"/>
                  </w:rPr>
                </w:pPr>
                <w:r>
                  <w:rPr>
                    <w:iCs/>
                    <w:sz w:val="22"/>
                    <w:szCs w:val="22"/>
                  </w:rPr>
                  <w:t xml:space="preserve">4.1. Teisės aktai, kuriais vadovaujamasi rengiant, teikiant ir vertinant projektų įgyvendinimo planą (toliau – PĮP), priimant </w:t>
                </w:r>
                <w:r>
                  <w:rPr>
                    <w:iCs/>
                    <w:sz w:val="22"/>
                    <w:szCs w:val="22"/>
                  </w:rPr>
                  <w:t xml:space="preserve">sprendimą dėl projektų finansavimo, sudarant projektų sutartį ir įgyvendinant projektą, finansuojamą pagal 2021–2030 m. plėtros programos valdytojos Lietuvos Respublikos švietimo, mokslo ir sporto ministerijos švietimo plėtros programos pažangos priemonės </w:t>
                </w:r>
                <w:r>
                  <w:rPr>
                    <w:iCs/>
                    <w:sz w:val="22"/>
                    <w:szCs w:val="22"/>
                  </w:rPr>
                  <w:t>Nr. 12-003-03-01-04 „Užtikrinti visiems prieinamą ankstyvąjį ugdymą“ projektų finansavimo sąlygų aprašą Nr. 3 (toliau – Aprašas):</w:t>
                </w:r>
              </w:p>
              <w:p w:rsidR="005E51E3" w:rsidRDefault="00A47E9A">
                <w:pPr>
                  <w:tabs>
                    <w:tab w:val="left" w:pos="883"/>
                  </w:tabs>
                  <w:jc w:val="both"/>
                  <w:rPr>
                    <w:iCs/>
                    <w:sz w:val="22"/>
                    <w:szCs w:val="22"/>
                  </w:rPr>
                </w:pPr>
                <w:r>
                  <w:rPr>
                    <w:iCs/>
                    <w:sz w:val="22"/>
                    <w:szCs w:val="22"/>
                  </w:rPr>
                  <w:t>4.1.1. Lietuvos Respublikos švietimo įstatymas;</w:t>
                </w:r>
              </w:p>
              <w:p w:rsidR="005E51E3" w:rsidRDefault="00A47E9A">
                <w:pPr>
                  <w:tabs>
                    <w:tab w:val="left" w:pos="883"/>
                  </w:tabs>
                  <w:jc w:val="both"/>
                  <w:rPr>
                    <w:iCs/>
                    <w:sz w:val="22"/>
                    <w:szCs w:val="22"/>
                  </w:rPr>
                </w:pPr>
                <w:r>
                  <w:rPr>
                    <w:iCs/>
                    <w:sz w:val="22"/>
                    <w:szCs w:val="22"/>
                  </w:rPr>
                  <w:t>4.1.2. Strateginio valdymo metodika, patvirtinta Lietuvos Respublikos Vyriausy</w:t>
                </w:r>
                <w:r>
                  <w:rPr>
                    <w:iCs/>
                    <w:sz w:val="22"/>
                    <w:szCs w:val="22"/>
                  </w:rPr>
                  <w:t>bės 2021 m. balandžio 28 d. nutarimu Nr. 292 „Dėl Strateginio valdymo metodikos patvirtinimo“;</w:t>
                </w:r>
              </w:p>
              <w:p w:rsidR="005E51E3" w:rsidRDefault="00A47E9A">
                <w:pPr>
                  <w:tabs>
                    <w:tab w:val="left" w:pos="883"/>
                  </w:tabs>
                  <w:jc w:val="both"/>
                  <w:rPr>
                    <w:iCs/>
                    <w:sz w:val="22"/>
                    <w:szCs w:val="22"/>
                  </w:rPr>
                </w:pPr>
                <w:r>
                  <w:rPr>
                    <w:iCs/>
                    <w:sz w:val="22"/>
                    <w:szCs w:val="22"/>
                  </w:rPr>
                  <w:lastRenderedPageBreak/>
                  <w:t>4.1.3. 2021–2030 m. plėtros programos valdytojos Lietuvos Respublikos švietimo, mokslo ir sporto ministerijos švietimo plėtros programa, patvirtinta Lietuvos Res</w:t>
                </w:r>
                <w:r>
                  <w:rPr>
                    <w:iCs/>
                    <w:sz w:val="22"/>
                    <w:szCs w:val="22"/>
                  </w:rPr>
                  <w:t>publikos Vyriausybės 2021 m. gruodžio 1 d. nutarimu Nr. 1016 „Dėl 2021–2030 m. plėtros programos valdytojos Lietuvos Respublikos švietimo, mokslo ir sporto ministerijos švietimo plėtros programos patvirtinimo“;</w:t>
                </w:r>
              </w:p>
              <w:p w:rsidR="005E51E3" w:rsidRDefault="00A47E9A">
                <w:pPr>
                  <w:tabs>
                    <w:tab w:val="left" w:pos="883"/>
                  </w:tabs>
                  <w:jc w:val="both"/>
                  <w:rPr>
                    <w:iCs/>
                    <w:sz w:val="22"/>
                    <w:szCs w:val="22"/>
                  </w:rPr>
                </w:pPr>
                <w:r>
                  <w:rPr>
                    <w:iCs/>
                    <w:sz w:val="22"/>
                    <w:szCs w:val="22"/>
                  </w:rPr>
                  <w:t>4.1.4. Projektų administravimo ir finansavimo</w:t>
                </w:r>
                <w:r>
                  <w:rPr>
                    <w:iCs/>
                    <w:sz w:val="22"/>
                    <w:szCs w:val="22"/>
                  </w:rPr>
                  <w:t xml:space="preserve"> taisyklės, patvirtintos Lietuvos Respublikos finansų ministro 2022 m. birželio 22 d. įsakymu Nr. 1K-237 „Dėl 2021–2027 metų Europos Sąjungos fondų investicijų programos ir Ekonomikos gaivinimo ir atsparumo didinimo plano „Naujos kartos Lietuva“ įgyvendini</w:t>
                </w:r>
                <w:r>
                  <w:rPr>
                    <w:iCs/>
                    <w:sz w:val="22"/>
                    <w:szCs w:val="22"/>
                  </w:rPr>
                  <w:t>mo“ (toliau – PAFT);</w:t>
                </w:r>
              </w:p>
              <w:p w:rsidR="005E51E3" w:rsidRDefault="00A47E9A">
                <w:pPr>
                  <w:tabs>
                    <w:tab w:val="left" w:pos="883"/>
                  </w:tabs>
                  <w:jc w:val="both"/>
                  <w:rPr>
                    <w:iCs/>
                    <w:sz w:val="22"/>
                    <w:szCs w:val="22"/>
                  </w:rPr>
                </w:pPr>
                <w:r>
                  <w:rPr>
                    <w:iCs/>
                    <w:sz w:val="22"/>
                    <w:szCs w:val="22"/>
                  </w:rPr>
                  <w:t>4.1.5. 2021–2030 metų nacionalinis pažangos planas, patvirtintas Lietuvos Respublikos Vyriausybės 2020 m. rugsėjo 9 d. nutarimu Nr. 998 „Dėl 2021–2030 metų nacionalinio pažangos plano patvirtinimo“;</w:t>
                </w:r>
              </w:p>
              <w:p w:rsidR="005E51E3" w:rsidRDefault="00A47E9A">
                <w:pPr>
                  <w:tabs>
                    <w:tab w:val="left" w:pos="883"/>
                  </w:tabs>
                  <w:jc w:val="both"/>
                  <w:rPr>
                    <w:iCs/>
                    <w:sz w:val="22"/>
                    <w:szCs w:val="22"/>
                  </w:rPr>
                </w:pPr>
                <w:r>
                  <w:rPr>
                    <w:iCs/>
                    <w:sz w:val="22"/>
                    <w:szCs w:val="22"/>
                  </w:rPr>
                  <w:t>4.1.6. 2021 m. birželio 24 d. Europo</w:t>
                </w:r>
                <w:r>
                  <w:rPr>
                    <w:iCs/>
                    <w:sz w:val="22"/>
                    <w:szCs w:val="22"/>
                  </w:rPr>
                  <w:t xml:space="preserve">s Parlamento ir Tarybos reglamentas (ES) 2021/1060, kuriuo nustatomos bendros Europos regioninės plėtros fondo, „Europos socialinio fondo +“, Sanglaudos fondo, Teisingos pertvarkos fondo ir Europos jūrų reikalų, žvejybos ir akvakultūros fondo nuostatos ir </w:t>
                </w:r>
                <w:r>
                  <w:rPr>
                    <w:iCs/>
                    <w:sz w:val="22"/>
                    <w:szCs w:val="22"/>
                  </w:rPr>
                  <w:t>šių fondų bei Prieglobsčio, migracijos ir integracijos fondo, Vidaus saugumo fondo ir Sienų valdymo ir vizų politikos finansinės paramos priemonės taisyklės, su paskutiniais pakeitimais, padarytais 2024 m. gegužės 14 d. Europos Parlamento ir Tarybos reglam</w:t>
                </w:r>
                <w:r>
                  <w:rPr>
                    <w:iCs/>
                    <w:sz w:val="22"/>
                    <w:szCs w:val="22"/>
                  </w:rPr>
                  <w:t>entu (ES) 2024/1351 (toliau – Reglamentas (ES)).</w:t>
                </w:r>
              </w:p>
              <w:p w:rsidR="005E51E3" w:rsidRDefault="00A47E9A">
                <w:pPr>
                  <w:tabs>
                    <w:tab w:val="left" w:pos="883"/>
                  </w:tabs>
                  <w:jc w:val="both"/>
                  <w:rPr>
                    <w:iCs/>
                    <w:sz w:val="22"/>
                    <w:szCs w:val="22"/>
                  </w:rPr>
                </w:pPr>
                <w:r>
                  <w:rPr>
                    <w:iCs/>
                    <w:sz w:val="22"/>
                    <w:szCs w:val="22"/>
                  </w:rPr>
                  <w:t>4.2. Apraše vartojamos sąvokos suprantamos taip, kaip jos apibrėžtos PAFT, Lietuvos Respublikos švietimo įstatyme ir anksčiau paminėtuose teisės aktuose.</w:t>
                </w:r>
              </w:p>
              <w:p w:rsidR="005E51E3" w:rsidRDefault="005E51E3">
                <w:pPr>
                  <w:tabs>
                    <w:tab w:val="left" w:pos="883"/>
                  </w:tabs>
                  <w:jc w:val="both"/>
                  <w:rPr>
                    <w:iCs/>
                    <w:sz w:val="22"/>
                    <w:szCs w:val="22"/>
                  </w:rPr>
                </w:pPr>
              </w:p>
            </w:tc>
          </w:tr>
          <w:tr w:rsidR="005E51E3">
            <w:tc>
              <w:tcPr>
                <w:tcW w:w="14709" w:type="dxa"/>
              </w:tcPr>
              <w:p w:rsidR="005E51E3" w:rsidRDefault="00A47E9A">
                <w:pPr>
                  <w:rPr>
                    <w:b/>
                    <w:sz w:val="22"/>
                    <w:szCs w:val="22"/>
                  </w:rPr>
                </w:pPr>
                <w:r>
                  <w:rPr>
                    <w:b/>
                    <w:sz w:val="22"/>
                    <w:szCs w:val="22"/>
                  </w:rPr>
                  <w:lastRenderedPageBreak/>
                  <w:t>5. Reikalavimai projektams, pareiškėjams ir partner</w:t>
                </w:r>
                <w:r>
                  <w:rPr>
                    <w:b/>
                    <w:sz w:val="22"/>
                    <w:szCs w:val="22"/>
                  </w:rPr>
                  <w:t>iams</w:t>
                </w:r>
              </w:p>
            </w:tc>
          </w:tr>
          <w:tr w:rsidR="005E51E3">
            <w:tc>
              <w:tcPr>
                <w:tcW w:w="14709" w:type="dxa"/>
              </w:tcPr>
              <w:p w:rsidR="005E51E3" w:rsidRDefault="00A47E9A">
                <w:pPr>
                  <w:tabs>
                    <w:tab w:val="left" w:pos="883"/>
                  </w:tabs>
                  <w:jc w:val="both"/>
                  <w:rPr>
                    <w:sz w:val="22"/>
                    <w:szCs w:val="22"/>
                  </w:rPr>
                </w:pPr>
                <w:r>
                  <w:rPr>
                    <w:sz w:val="22"/>
                    <w:szCs w:val="22"/>
                  </w:rPr>
                  <w:t>5.1. Pagal Aprašą remiamos veiklos: </w:t>
                </w:r>
              </w:p>
              <w:p w:rsidR="005E51E3" w:rsidRDefault="00A47E9A">
                <w:pPr>
                  <w:tabs>
                    <w:tab w:val="left" w:pos="883"/>
                  </w:tabs>
                  <w:jc w:val="both"/>
                  <w:rPr>
                    <w:sz w:val="22"/>
                    <w:szCs w:val="22"/>
                  </w:rPr>
                </w:pPr>
                <w:r>
                  <w:rPr>
                    <w:sz w:val="22"/>
                    <w:szCs w:val="22"/>
                  </w:rPr>
                  <w:t xml:space="preserve">5.1.1. sukurti įstaigų, vykdančių ikimokyklinio ugdymo programas, stiprinimo paketą, apimantį mokymąsi vieniems iš kitų (angl. </w:t>
                </w:r>
                <w:proofErr w:type="spellStart"/>
                <w:r>
                  <w:rPr>
                    <w:i/>
                    <w:iCs/>
                    <w:sz w:val="22"/>
                    <w:szCs w:val="22"/>
                  </w:rPr>
                  <w:t>peer-learning</w:t>
                </w:r>
                <w:proofErr w:type="spellEnd"/>
                <w:r>
                  <w:rPr>
                    <w:sz w:val="22"/>
                    <w:szCs w:val="22"/>
                  </w:rPr>
                  <w:t xml:space="preserve">), ikimokyklinio ugdymo mokytojų kompetencijų atnaujinimą ir stiprinimą, </w:t>
                </w:r>
                <w:r>
                  <w:rPr>
                    <w:sz w:val="22"/>
                    <w:szCs w:val="22"/>
                  </w:rPr>
                  <w:t>aprūpinimą moderniomis darbo vietomis. Aprūpinimas moderniomis darbo vietomis taikomas tik viešiesiems juridiniams asmenims; </w:t>
                </w:r>
              </w:p>
              <w:p w:rsidR="005E51E3" w:rsidRDefault="00A47E9A">
                <w:pPr>
                  <w:tabs>
                    <w:tab w:val="left" w:pos="883"/>
                  </w:tabs>
                  <w:jc w:val="both"/>
                  <w:rPr>
                    <w:sz w:val="22"/>
                    <w:szCs w:val="22"/>
                  </w:rPr>
                </w:pPr>
                <w:r>
                  <w:rPr>
                    <w:sz w:val="22"/>
                    <w:szCs w:val="22"/>
                  </w:rPr>
                  <w:t>5.1.2. ikimokyklinio ugdymo mokytojų kompetencijų atnaujinimas ir stiprinimas, aprūpinimas moderniomis darbo vietomis. Aprūpinimas</w:t>
                </w:r>
                <w:r>
                  <w:rPr>
                    <w:sz w:val="22"/>
                    <w:szCs w:val="22"/>
                  </w:rPr>
                  <w:t xml:space="preserve"> moderniomis darbo vietomis taikomas tik viešiesiems juridiniams asmenims. </w:t>
                </w:r>
              </w:p>
              <w:p w:rsidR="005E51E3" w:rsidRDefault="00A47E9A">
                <w:pPr>
                  <w:tabs>
                    <w:tab w:val="left" w:pos="883"/>
                  </w:tabs>
                  <w:jc w:val="both"/>
                  <w:rPr>
                    <w:sz w:val="22"/>
                    <w:szCs w:val="22"/>
                  </w:rPr>
                </w:pPr>
                <w:r>
                  <w:rPr>
                    <w:sz w:val="22"/>
                    <w:szCs w:val="22"/>
                  </w:rPr>
                  <w:t>5.2. Galimas pareiškėjas – Europos socialinio fondo agentūra. </w:t>
                </w:r>
              </w:p>
              <w:p w:rsidR="005E51E3" w:rsidRDefault="00A47E9A">
                <w:pPr>
                  <w:tabs>
                    <w:tab w:val="left" w:pos="883"/>
                  </w:tabs>
                  <w:jc w:val="both"/>
                  <w:rPr>
                    <w:sz w:val="22"/>
                    <w:szCs w:val="22"/>
                  </w:rPr>
                </w:pPr>
                <w:r>
                  <w:rPr>
                    <w:sz w:val="22"/>
                    <w:szCs w:val="22"/>
                  </w:rPr>
                  <w:t xml:space="preserve">5.3. Galimi partneriai: </w:t>
                </w:r>
              </w:p>
              <w:p w:rsidR="005E51E3" w:rsidRDefault="00A47E9A">
                <w:pPr>
                  <w:tabs>
                    <w:tab w:val="left" w:pos="883"/>
                  </w:tabs>
                  <w:jc w:val="both"/>
                  <w:rPr>
                    <w:sz w:val="22"/>
                    <w:szCs w:val="22"/>
                  </w:rPr>
                </w:pPr>
                <w:r>
                  <w:rPr>
                    <w:sz w:val="22"/>
                    <w:szCs w:val="22"/>
                  </w:rPr>
                  <w:t>5.3.1. savivaldybės;</w:t>
                </w:r>
              </w:p>
              <w:p w:rsidR="005E51E3" w:rsidRDefault="00A47E9A">
                <w:pPr>
                  <w:tabs>
                    <w:tab w:val="left" w:pos="883"/>
                  </w:tabs>
                  <w:jc w:val="both"/>
                  <w:rPr>
                    <w:sz w:val="22"/>
                    <w:szCs w:val="22"/>
                  </w:rPr>
                </w:pPr>
                <w:r>
                  <w:rPr>
                    <w:sz w:val="22"/>
                    <w:szCs w:val="22"/>
                  </w:rPr>
                  <w:t xml:space="preserve">5.3.2. mokyklos (mokyklų konsorciumai); </w:t>
                </w:r>
              </w:p>
              <w:p w:rsidR="005E51E3" w:rsidRDefault="00A47E9A">
                <w:pPr>
                  <w:tabs>
                    <w:tab w:val="left" w:pos="883"/>
                  </w:tabs>
                  <w:jc w:val="both"/>
                  <w:rPr>
                    <w:sz w:val="22"/>
                    <w:szCs w:val="22"/>
                  </w:rPr>
                </w:pPr>
                <w:r>
                  <w:rPr>
                    <w:sz w:val="22"/>
                    <w:szCs w:val="22"/>
                  </w:rPr>
                  <w:t xml:space="preserve">5.3.3. juridiniai asmenys, </w:t>
                </w:r>
                <w:r>
                  <w:rPr>
                    <w:sz w:val="22"/>
                    <w:szCs w:val="22"/>
                  </w:rPr>
                  <w:t>veikiantys švietimo srityje. </w:t>
                </w:r>
              </w:p>
              <w:p w:rsidR="005E51E3" w:rsidRDefault="00A47E9A">
                <w:pPr>
                  <w:tabs>
                    <w:tab w:val="left" w:pos="883"/>
                  </w:tabs>
                  <w:jc w:val="both"/>
                  <w:rPr>
                    <w:sz w:val="22"/>
                    <w:szCs w:val="22"/>
                  </w:rPr>
                </w:pPr>
                <w:r>
                  <w:rPr>
                    <w:sz w:val="22"/>
                    <w:szCs w:val="22"/>
                  </w:rPr>
                  <w:t>5.4. Projektai atrenkami planavimo būdu. </w:t>
                </w:r>
              </w:p>
              <w:p w:rsidR="005E51E3" w:rsidRDefault="00A47E9A">
                <w:pPr>
                  <w:tabs>
                    <w:tab w:val="left" w:pos="883"/>
                  </w:tabs>
                  <w:jc w:val="both"/>
                  <w:rPr>
                    <w:sz w:val="22"/>
                    <w:szCs w:val="22"/>
                  </w:rPr>
                </w:pPr>
                <w:r>
                  <w:rPr>
                    <w:sz w:val="22"/>
                    <w:szCs w:val="22"/>
                  </w:rPr>
                  <w:t>5.5. Pagal Aprašą teikiamo finansavimo forma – dotacija.  </w:t>
                </w:r>
              </w:p>
              <w:p w:rsidR="005E51E3" w:rsidRDefault="00A47E9A">
                <w:pPr>
                  <w:tabs>
                    <w:tab w:val="left" w:pos="883"/>
                  </w:tabs>
                  <w:jc w:val="both"/>
                  <w:rPr>
                    <w:sz w:val="22"/>
                    <w:szCs w:val="22"/>
                  </w:rPr>
                </w:pPr>
                <w:r>
                  <w:rPr>
                    <w:sz w:val="22"/>
                    <w:szCs w:val="22"/>
                  </w:rPr>
                  <w:t>5.6. Pagal Aprašą numatoma veiklas įgyvendinti 2 (dviem) etapais ir skelbti 2 (du) kvietimus teikti PĮP.  Numatoma Aprašo 5.1</w:t>
                </w:r>
                <w:r>
                  <w:rPr>
                    <w:sz w:val="22"/>
                    <w:szCs w:val="22"/>
                  </w:rPr>
                  <w:t>.1 papunktyje numatyta veiklą įgyvendinti pirmu etapu, Aprašo 5.1.2 papunktyje numatyta veiklą įgyvendinti antru etapu. </w:t>
                </w:r>
              </w:p>
              <w:p w:rsidR="005E51E3" w:rsidRDefault="00A47E9A">
                <w:pPr>
                  <w:tabs>
                    <w:tab w:val="left" w:pos="883"/>
                  </w:tabs>
                  <w:jc w:val="both"/>
                  <w:rPr>
                    <w:sz w:val="22"/>
                    <w:szCs w:val="22"/>
                  </w:rPr>
                </w:pPr>
                <w:r>
                  <w:rPr>
                    <w:sz w:val="22"/>
                    <w:szCs w:val="22"/>
                  </w:rPr>
                  <w:t xml:space="preserve">5.7. Pagal Aprašą projektams įgyvendinti iš viso skiriama iki 6 000 000,00 </w:t>
                </w:r>
                <w:proofErr w:type="spellStart"/>
                <w:r>
                  <w:rPr>
                    <w:sz w:val="22"/>
                    <w:szCs w:val="22"/>
                  </w:rPr>
                  <w:t>Eur</w:t>
                </w:r>
                <w:proofErr w:type="spellEnd"/>
                <w:r>
                  <w:rPr>
                    <w:sz w:val="22"/>
                    <w:szCs w:val="22"/>
                  </w:rPr>
                  <w:t xml:space="preserve"> (šešių milijonų eurų, 00 ct), iš kurių iki 5 100 000,00 </w:t>
                </w:r>
                <w:proofErr w:type="spellStart"/>
                <w:r>
                  <w:rPr>
                    <w:sz w:val="22"/>
                    <w:szCs w:val="22"/>
                  </w:rPr>
                  <w:t>Eur</w:t>
                </w:r>
                <w:proofErr w:type="spellEnd"/>
                <w:r>
                  <w:rPr>
                    <w:sz w:val="22"/>
                    <w:szCs w:val="22"/>
                  </w:rPr>
                  <w:t xml:space="preserve"> (penkių milijonų vieno šimto tūkstančių eurų, 00 ct) sudaro ES fondų lėšos ir iki 900 000,00 </w:t>
                </w:r>
                <w:proofErr w:type="spellStart"/>
                <w:r>
                  <w:rPr>
                    <w:sz w:val="22"/>
                    <w:szCs w:val="22"/>
                  </w:rPr>
                  <w:t>Eur</w:t>
                </w:r>
                <w:proofErr w:type="spellEnd"/>
                <w:r>
                  <w:rPr>
                    <w:sz w:val="22"/>
                    <w:szCs w:val="22"/>
                  </w:rPr>
                  <w:t xml:space="preserve"> (devynių šimtų tūkstančių eurų, 00 ct) – ES fondų bendrojo finansavimo lėšos:</w:t>
                </w:r>
              </w:p>
              <w:p w:rsidR="005E51E3" w:rsidRDefault="00A47E9A">
                <w:pPr>
                  <w:tabs>
                    <w:tab w:val="left" w:pos="883"/>
                  </w:tabs>
                  <w:jc w:val="both"/>
                  <w:rPr>
                    <w:sz w:val="22"/>
                    <w:szCs w:val="22"/>
                  </w:rPr>
                </w:pPr>
                <w:r>
                  <w:rPr>
                    <w:sz w:val="22"/>
                    <w:szCs w:val="22"/>
                  </w:rPr>
                  <w:t xml:space="preserve">5.7.1. Pirmo kvietimo projektui įgyvendinti skiriama iki 491 967,15 </w:t>
                </w:r>
                <w:proofErr w:type="spellStart"/>
                <w:r>
                  <w:rPr>
                    <w:sz w:val="22"/>
                    <w:szCs w:val="22"/>
                  </w:rPr>
                  <w:t>Eur</w:t>
                </w:r>
                <w:proofErr w:type="spellEnd"/>
                <w:r>
                  <w:rPr>
                    <w:sz w:val="22"/>
                    <w:szCs w:val="22"/>
                  </w:rPr>
                  <w:t xml:space="preserve"> (ketu</w:t>
                </w:r>
                <w:r>
                  <w:rPr>
                    <w:sz w:val="22"/>
                    <w:szCs w:val="22"/>
                  </w:rPr>
                  <w:t xml:space="preserve">rių šimtų devyniasdešimt vieno tūkstančio devynių šimtų šešiasdešimt septynių eurų, 15  ct), iš kurių: iki 418 172,08 </w:t>
                </w:r>
                <w:proofErr w:type="spellStart"/>
                <w:r>
                  <w:rPr>
                    <w:sz w:val="22"/>
                    <w:szCs w:val="22"/>
                  </w:rPr>
                  <w:t>Eur</w:t>
                </w:r>
                <w:proofErr w:type="spellEnd"/>
                <w:r>
                  <w:rPr>
                    <w:sz w:val="22"/>
                    <w:szCs w:val="22"/>
                  </w:rPr>
                  <w:t xml:space="preserve"> (keturių šimtų aštuoniolikos tūkstančių vieno šimto septyniasdešimt dviejų eurų, 8 ct) sudaro ES fondų lėšos ir iki 73 795,07 </w:t>
                </w:r>
                <w:proofErr w:type="spellStart"/>
                <w:r>
                  <w:rPr>
                    <w:sz w:val="22"/>
                    <w:szCs w:val="22"/>
                  </w:rPr>
                  <w:t>Eur</w:t>
                </w:r>
                <w:proofErr w:type="spellEnd"/>
                <w:r>
                  <w:rPr>
                    <w:sz w:val="22"/>
                    <w:szCs w:val="22"/>
                  </w:rPr>
                  <w:t xml:space="preserve"> (sep</w:t>
                </w:r>
                <w:r>
                  <w:rPr>
                    <w:sz w:val="22"/>
                    <w:szCs w:val="22"/>
                  </w:rPr>
                  <w:t xml:space="preserve">tyniasdešimt trijų tūkstančių septynių šimtų devyniasdešimt penkių eurų, 7 ct) – ES fondų bendrojo finansavimo lėšos. </w:t>
                </w:r>
              </w:p>
              <w:p w:rsidR="005E51E3" w:rsidRDefault="00A47E9A">
                <w:pPr>
                  <w:tabs>
                    <w:tab w:val="left" w:pos="883"/>
                  </w:tabs>
                  <w:jc w:val="both"/>
                  <w:rPr>
                    <w:sz w:val="22"/>
                    <w:szCs w:val="22"/>
                  </w:rPr>
                </w:pPr>
                <w:r>
                  <w:rPr>
                    <w:sz w:val="22"/>
                    <w:szCs w:val="22"/>
                  </w:rPr>
                  <w:t xml:space="preserve">5.7.2. Antrojo kvietimo projektui įgyvendinti skiriama iki 5 508 032,85 </w:t>
                </w:r>
                <w:proofErr w:type="spellStart"/>
                <w:r>
                  <w:rPr>
                    <w:sz w:val="22"/>
                    <w:szCs w:val="22"/>
                  </w:rPr>
                  <w:t>Eur</w:t>
                </w:r>
                <w:proofErr w:type="spellEnd"/>
                <w:r>
                  <w:rPr>
                    <w:sz w:val="22"/>
                    <w:szCs w:val="22"/>
                  </w:rPr>
                  <w:t xml:space="preserve"> (penkių milijonų penkių šimtų aštuonių tūkstančių trisdešimt </w:t>
                </w:r>
                <w:r>
                  <w:rPr>
                    <w:sz w:val="22"/>
                    <w:szCs w:val="22"/>
                  </w:rPr>
                  <w:t xml:space="preserve">dviejų eurų, 85 ct), iš kurių: iki  4 681 827,92 </w:t>
                </w:r>
                <w:proofErr w:type="spellStart"/>
                <w:r>
                  <w:rPr>
                    <w:sz w:val="22"/>
                    <w:szCs w:val="22"/>
                  </w:rPr>
                  <w:t>Eur</w:t>
                </w:r>
                <w:proofErr w:type="spellEnd"/>
                <w:r>
                  <w:rPr>
                    <w:sz w:val="22"/>
                    <w:szCs w:val="22"/>
                  </w:rPr>
                  <w:t xml:space="preserve"> (keturių milijonų šešių šimtų aštuoniasdešimt vieno tūkstančio aštuonių šimtų dvidešimt septynių eurų, 92 ct) sudaro ES fondų lėšos ir iki 826 204,93 </w:t>
                </w:r>
                <w:proofErr w:type="spellStart"/>
                <w:r>
                  <w:rPr>
                    <w:sz w:val="22"/>
                    <w:szCs w:val="22"/>
                  </w:rPr>
                  <w:t>Eur</w:t>
                </w:r>
                <w:proofErr w:type="spellEnd"/>
                <w:r>
                  <w:rPr>
                    <w:sz w:val="22"/>
                    <w:szCs w:val="22"/>
                  </w:rPr>
                  <w:t xml:space="preserve"> (aštuonių šimtų dvidešimt šešių tūkstančių dviejų</w:t>
                </w:r>
                <w:r>
                  <w:rPr>
                    <w:sz w:val="22"/>
                    <w:szCs w:val="22"/>
                  </w:rPr>
                  <w:t xml:space="preserve"> šimtų keturių eurų, 93 ct) – ES fondų bendrojo finansavimo lėšos.</w:t>
                </w:r>
              </w:p>
              <w:p w:rsidR="005E51E3" w:rsidRDefault="00A47E9A">
                <w:pPr>
                  <w:tabs>
                    <w:tab w:val="left" w:pos="883"/>
                  </w:tabs>
                  <w:jc w:val="both"/>
                  <w:rPr>
                    <w:sz w:val="22"/>
                    <w:szCs w:val="22"/>
                  </w:rPr>
                </w:pPr>
                <w:r>
                  <w:rPr>
                    <w:sz w:val="22"/>
                    <w:szCs w:val="22"/>
                  </w:rPr>
                  <w:t>5.8. Projektuose siekiama stebėsenos rodiklių: </w:t>
                </w:r>
              </w:p>
              <w:tbl>
                <w:tblPr>
                  <w:tblW w:w="12076" w:type="dxa"/>
                  <w:tblLayout w:type="fixed"/>
                  <w:tblCellMar>
                    <w:left w:w="0" w:type="dxa"/>
                    <w:right w:w="0" w:type="dxa"/>
                  </w:tblCellMar>
                  <w:tblLook w:val="04A0" w:firstRow="1" w:lastRow="0" w:firstColumn="1" w:lastColumn="0" w:noHBand="0" w:noVBand="1"/>
                </w:tblPr>
                <w:tblGrid>
                  <w:gridCol w:w="5831"/>
                  <w:gridCol w:w="2410"/>
                  <w:gridCol w:w="2126"/>
                  <w:gridCol w:w="1701"/>
                  <w:gridCol w:w="8"/>
                </w:tblGrid>
                <w:tr w:rsidR="005E51E3">
                  <w:trPr>
                    <w:trHeight w:val="405"/>
                  </w:trPr>
                  <w:tc>
                    <w:tcPr>
                      <w:tcW w:w="12076" w:type="dxa"/>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b/>
                          <w:bCs/>
                          <w:sz w:val="22"/>
                          <w:szCs w:val="22"/>
                        </w:rPr>
                        <w:t>1 kvietimo siekiami rodikliai</w:t>
                      </w:r>
                    </w:p>
                  </w:tc>
                </w:tr>
                <w:tr w:rsidR="005E51E3">
                  <w:trPr>
                    <w:gridAfter w:val="1"/>
                    <w:wAfter w:w="8" w:type="dxa"/>
                    <w:trHeight w:val="405"/>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Rodiklio pavadinimas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Rodiklio kodas</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Matavimo vienetai</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 xml:space="preserve">Siektina reikšmė </w:t>
                      </w:r>
                    </w:p>
                  </w:tc>
                </w:tr>
                <w:tr w:rsidR="005E51E3">
                  <w:trPr>
                    <w:gridAfter w:val="1"/>
                    <w:wAfter w:w="8" w:type="dxa"/>
                    <w:trHeight w:val="416"/>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 xml:space="preserve">Asmenų, kurie dalyvavę mokymuose </w:t>
                      </w:r>
                      <w:r>
                        <w:rPr>
                          <w:sz w:val="22"/>
                          <w:szCs w:val="22"/>
                        </w:rPr>
                        <w:t>įgijo kompetenciją, dalis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R-12-003-03-01-04-05</w:t>
                      </w:r>
                    </w:p>
                    <w:p w:rsidR="005E51E3" w:rsidRDefault="00A47E9A">
                      <w:pPr>
                        <w:tabs>
                          <w:tab w:val="left" w:pos="883"/>
                        </w:tabs>
                        <w:jc w:val="center"/>
                        <w:rPr>
                          <w:sz w:val="22"/>
                          <w:szCs w:val="22"/>
                        </w:rPr>
                      </w:pPr>
                      <w:r>
                        <w:rPr>
                          <w:sz w:val="22"/>
                          <w:szCs w:val="22"/>
                        </w:rPr>
                        <w:t>R.S.2.3512</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Procentas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80</w:t>
                      </w:r>
                    </w:p>
                  </w:tc>
                </w:tr>
                <w:tr w:rsidR="005E51E3">
                  <w:trPr>
                    <w:gridAfter w:val="1"/>
                    <w:wAfter w:w="8" w:type="dxa"/>
                    <w:trHeight w:val="416"/>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Asmenys, turintys tretinį (ISCED 5–8 kodai) išsilavinimą</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P-12-003-03-01-04-02</w:t>
                      </w:r>
                    </w:p>
                    <w:p w:rsidR="005E51E3" w:rsidRDefault="00A47E9A">
                      <w:pPr>
                        <w:tabs>
                          <w:tab w:val="left" w:pos="883"/>
                        </w:tabs>
                        <w:jc w:val="center"/>
                        <w:rPr>
                          <w:sz w:val="22"/>
                          <w:szCs w:val="22"/>
                        </w:rPr>
                      </w:pPr>
                      <w:r>
                        <w:rPr>
                          <w:sz w:val="22"/>
                          <w:szCs w:val="22"/>
                        </w:rPr>
                        <w:t>P.B.2.0511</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Asmenys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15</w:t>
                      </w:r>
                    </w:p>
                  </w:tc>
                </w:tr>
              </w:tbl>
              <w:p w:rsidR="005E51E3" w:rsidRDefault="005E51E3">
                <w:pPr>
                  <w:tabs>
                    <w:tab w:val="left" w:pos="883"/>
                  </w:tabs>
                  <w:ind w:firstLine="57"/>
                  <w:jc w:val="both"/>
                  <w:rPr>
                    <w:sz w:val="22"/>
                    <w:szCs w:val="22"/>
                  </w:rPr>
                </w:pPr>
              </w:p>
              <w:tbl>
                <w:tblPr>
                  <w:tblW w:w="12076" w:type="dxa"/>
                  <w:tblLayout w:type="fixed"/>
                  <w:tblCellMar>
                    <w:left w:w="0" w:type="dxa"/>
                    <w:right w:w="0" w:type="dxa"/>
                  </w:tblCellMar>
                  <w:tblLook w:val="04A0" w:firstRow="1" w:lastRow="0" w:firstColumn="1" w:lastColumn="0" w:noHBand="0" w:noVBand="1"/>
                </w:tblPr>
                <w:tblGrid>
                  <w:gridCol w:w="5831"/>
                  <w:gridCol w:w="2410"/>
                  <w:gridCol w:w="2126"/>
                  <w:gridCol w:w="1701"/>
                  <w:gridCol w:w="8"/>
                </w:tblGrid>
                <w:tr w:rsidR="005E51E3">
                  <w:trPr>
                    <w:trHeight w:val="405"/>
                  </w:trPr>
                  <w:tc>
                    <w:tcPr>
                      <w:tcW w:w="12076" w:type="dxa"/>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b/>
                          <w:bCs/>
                          <w:sz w:val="22"/>
                          <w:szCs w:val="22"/>
                        </w:rPr>
                        <w:t>2 kvietimo siekiami rodikliai</w:t>
                      </w:r>
                    </w:p>
                  </w:tc>
                </w:tr>
                <w:tr w:rsidR="005E51E3">
                  <w:trPr>
                    <w:gridAfter w:val="1"/>
                    <w:wAfter w:w="8" w:type="dxa"/>
                    <w:trHeight w:val="405"/>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Rodiklio pavadinimas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Rodiklio kodas</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 xml:space="preserve">Matavimo </w:t>
                      </w:r>
                      <w:r>
                        <w:rPr>
                          <w:sz w:val="22"/>
                          <w:szCs w:val="22"/>
                        </w:rPr>
                        <w:t>vienetai</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 xml:space="preserve">Siektina reikšmė </w:t>
                      </w:r>
                    </w:p>
                  </w:tc>
                </w:tr>
                <w:tr w:rsidR="005E51E3">
                  <w:trPr>
                    <w:gridAfter w:val="1"/>
                    <w:wAfter w:w="8" w:type="dxa"/>
                    <w:trHeight w:val="405"/>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Asmenų, kurie dalyvavę mokymuose įgijo kompetenciją, dalis</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R-12-003-03-01-04-05</w:t>
                      </w:r>
                    </w:p>
                    <w:p w:rsidR="005E51E3" w:rsidRDefault="00A47E9A">
                      <w:pPr>
                        <w:tabs>
                          <w:tab w:val="left" w:pos="883"/>
                        </w:tabs>
                        <w:jc w:val="center"/>
                        <w:rPr>
                          <w:sz w:val="22"/>
                          <w:szCs w:val="22"/>
                        </w:rPr>
                      </w:pPr>
                      <w:r>
                        <w:rPr>
                          <w:sz w:val="22"/>
                          <w:szCs w:val="22"/>
                        </w:rPr>
                        <w:t>R.S.2.3512</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Procentas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80</w:t>
                      </w:r>
                    </w:p>
                  </w:tc>
                </w:tr>
                <w:tr w:rsidR="005E51E3">
                  <w:trPr>
                    <w:gridAfter w:val="1"/>
                    <w:wAfter w:w="8" w:type="dxa"/>
                    <w:trHeight w:val="416"/>
                  </w:trPr>
                  <w:tc>
                    <w:tcPr>
                      <w:tcW w:w="58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both"/>
                        <w:rPr>
                          <w:sz w:val="22"/>
                          <w:szCs w:val="22"/>
                        </w:rPr>
                      </w:pPr>
                      <w:r>
                        <w:rPr>
                          <w:sz w:val="22"/>
                          <w:szCs w:val="22"/>
                        </w:rPr>
                        <w:t>Asmenys, turintys tretinį (ISCED 5–8 kodai) išsilavinimą</w:t>
                      </w:r>
                    </w:p>
                  </w:tc>
                  <w:tc>
                    <w:tcPr>
                      <w:tcW w:w="24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P-12-003-03-01-04-02</w:t>
                      </w:r>
                    </w:p>
                    <w:p w:rsidR="005E51E3" w:rsidRDefault="00A47E9A">
                      <w:pPr>
                        <w:tabs>
                          <w:tab w:val="left" w:pos="883"/>
                        </w:tabs>
                        <w:jc w:val="center"/>
                        <w:rPr>
                          <w:sz w:val="22"/>
                          <w:szCs w:val="22"/>
                        </w:rPr>
                      </w:pPr>
                      <w:r>
                        <w:rPr>
                          <w:sz w:val="22"/>
                          <w:szCs w:val="22"/>
                        </w:rPr>
                        <w:t>P.B.2.0511</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Asmenys</w:t>
                      </w:r>
                    </w:p>
                  </w:tc>
                  <w:tc>
                    <w:tcPr>
                      <w:tcW w:w="170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E51E3" w:rsidRDefault="00A47E9A">
                      <w:pPr>
                        <w:tabs>
                          <w:tab w:val="left" w:pos="883"/>
                        </w:tabs>
                        <w:jc w:val="center"/>
                        <w:rPr>
                          <w:sz w:val="22"/>
                          <w:szCs w:val="22"/>
                        </w:rPr>
                      </w:pPr>
                      <w:r>
                        <w:rPr>
                          <w:sz w:val="22"/>
                          <w:szCs w:val="22"/>
                        </w:rPr>
                        <w:t>1 355</w:t>
                      </w:r>
                    </w:p>
                  </w:tc>
                </w:tr>
              </w:tbl>
              <w:p w:rsidR="005E51E3" w:rsidRDefault="005E51E3">
                <w:pPr>
                  <w:tabs>
                    <w:tab w:val="left" w:pos="883"/>
                  </w:tabs>
                  <w:ind w:firstLine="57"/>
                  <w:jc w:val="both"/>
                  <w:rPr>
                    <w:sz w:val="22"/>
                    <w:szCs w:val="22"/>
                  </w:rPr>
                </w:pPr>
              </w:p>
              <w:p w:rsidR="005E51E3" w:rsidRDefault="00A47E9A">
                <w:pPr>
                  <w:tabs>
                    <w:tab w:val="left" w:pos="883"/>
                  </w:tabs>
                  <w:jc w:val="both"/>
                  <w:rPr>
                    <w:sz w:val="22"/>
                    <w:szCs w:val="22"/>
                  </w:rPr>
                </w:pPr>
                <w:r>
                  <w:rPr>
                    <w:sz w:val="22"/>
                    <w:szCs w:val="22"/>
                  </w:rPr>
                  <w:t xml:space="preserve">5.9. Pagal Aprašą </w:t>
                </w:r>
                <w:r>
                  <w:rPr>
                    <w:sz w:val="22"/>
                    <w:szCs w:val="22"/>
                  </w:rPr>
                  <w:t xml:space="preserve">įgyvendinamos projektų veiklos priskiriamos vienam iš regionų, nepriklausomai nuo to, kurio regiono tikslinei grupei skirta projektų veikla. Įgyvendinant Aprašo 5.1.1  ir  5.1.2  papunkčiuose nurodytas veiklas, jose gali dalyvauti tikslinės grupės asmenys </w:t>
                </w:r>
                <w:r>
                  <w:rPr>
                    <w:sz w:val="22"/>
                    <w:szCs w:val="22"/>
                  </w:rPr>
                  <w:t>iš visos Lietuvos. </w:t>
                </w:r>
              </w:p>
              <w:p w:rsidR="005E51E3" w:rsidRDefault="00A47E9A">
                <w:pPr>
                  <w:tabs>
                    <w:tab w:val="left" w:pos="883"/>
                  </w:tabs>
                  <w:jc w:val="both"/>
                  <w:rPr>
                    <w:sz w:val="22"/>
                    <w:szCs w:val="22"/>
                  </w:rPr>
                </w:pPr>
                <w:r>
                  <w:rPr>
                    <w:sz w:val="22"/>
                    <w:szCs w:val="22"/>
                  </w:rPr>
                  <w:t>5.10. Taikant Reglamento (ES) 63 straipsnio 3 dalies nuostatą dėl ESF+ projektų, tinkama tikslinė grupė ar jos dalis ir su veiksmais susijusios išlaidos, esant pagrįstam poreikiui, gali būti priskiriamos vienam iš regionų, neatsižvelgia</w:t>
                </w:r>
                <w:r>
                  <w:rPr>
                    <w:sz w:val="22"/>
                    <w:szCs w:val="22"/>
                  </w:rPr>
                  <w:t>nt į tai, kuriame regione asmenys gyvena ar dirba, su sąlyga, kad veiksmas padeda siekti konkrečių programos tikslų.</w:t>
                </w:r>
              </w:p>
              <w:p w:rsidR="005E51E3" w:rsidRDefault="00A47E9A">
                <w:pPr>
                  <w:tabs>
                    <w:tab w:val="left" w:pos="883"/>
                  </w:tabs>
                  <w:jc w:val="both"/>
                  <w:rPr>
                    <w:sz w:val="22"/>
                    <w:szCs w:val="22"/>
                  </w:rPr>
                </w:pPr>
                <w:r>
                  <w:rPr>
                    <w:sz w:val="22"/>
                    <w:szCs w:val="22"/>
                  </w:rPr>
                  <w:t xml:space="preserve">5.11. </w:t>
                </w:r>
                <w:r>
                  <w:rPr>
                    <w:sz w:val="22"/>
                    <w:szCs w:val="22"/>
                    <w:lang w:eastAsia="lt-LT"/>
                  </w:rPr>
                  <w:t>Pareiškėjas, prieš teikdamas PĮP Administruojančiai institucijai, turi suderinti jį su Ministerija.</w:t>
                </w:r>
                <w:r>
                  <w:rPr>
                    <w:sz w:val="22"/>
                    <w:szCs w:val="22"/>
                  </w:rPr>
                  <w:t> </w:t>
                </w:r>
              </w:p>
              <w:p w:rsidR="005E51E3" w:rsidRDefault="00A47E9A">
                <w:pPr>
                  <w:tabs>
                    <w:tab w:val="left" w:pos="883"/>
                  </w:tabs>
                  <w:jc w:val="both"/>
                  <w:rPr>
                    <w:sz w:val="22"/>
                    <w:szCs w:val="22"/>
                  </w:rPr>
                </w:pPr>
                <w:r>
                  <w:rPr>
                    <w:sz w:val="22"/>
                    <w:szCs w:val="22"/>
                  </w:rPr>
                  <w:t>5.12. Projektai gali būti įgyven</w:t>
                </w:r>
                <w:r>
                  <w:rPr>
                    <w:sz w:val="22"/>
                    <w:szCs w:val="22"/>
                  </w:rPr>
                  <w:t>dinami Sostinės regione ir Vidurio ir vakarų Lietuvos regione. Prireikus dalis veiklų gali būti įgyvendinamos ES, Europos ekonominės erdvės šalių ir Jungtinės Didžiosios Britanijos ir Šiaurės Airijos Karalystės teritorijoje.  </w:t>
                </w:r>
              </w:p>
              <w:p w:rsidR="005E51E3" w:rsidRDefault="00A47E9A">
                <w:pPr>
                  <w:tabs>
                    <w:tab w:val="left" w:pos="883"/>
                  </w:tabs>
                  <w:jc w:val="both"/>
                  <w:rPr>
                    <w:sz w:val="22"/>
                    <w:szCs w:val="22"/>
                  </w:rPr>
                </w:pPr>
                <w:r>
                  <w:rPr>
                    <w:sz w:val="22"/>
                    <w:szCs w:val="22"/>
                  </w:rPr>
                  <w:t>5.13. Projektai turi atitikti</w:t>
                </w:r>
                <w:r>
                  <w:rPr>
                    <w:sz w:val="22"/>
                    <w:szCs w:val="22"/>
                  </w:rPr>
                  <w:t xml:space="preserve"> projektų bendruosius atrankos kriterijus, nustatytus Strateginio valdymo metodikos 136 punkte ir PAFT 2 priede. </w:t>
                </w:r>
              </w:p>
              <w:p w:rsidR="005E51E3" w:rsidRDefault="00A47E9A">
                <w:pPr>
                  <w:tabs>
                    <w:tab w:val="left" w:pos="883"/>
                  </w:tabs>
                  <w:jc w:val="both"/>
                  <w:rPr>
                    <w:sz w:val="22"/>
                    <w:szCs w:val="22"/>
                  </w:rPr>
                </w:pPr>
                <w:r>
                  <w:rPr>
                    <w:sz w:val="22"/>
                    <w:szCs w:val="22"/>
                  </w:rPr>
                  <w:t>5.14. Projektų veiklos turi būti įgyvendintos per 36 mėnesius nuo projekto sutarties įsigaliojimo. Pirmojo kvietimo projekto veiklos turi būti</w:t>
                </w:r>
                <w:r>
                  <w:rPr>
                    <w:sz w:val="22"/>
                    <w:szCs w:val="22"/>
                  </w:rPr>
                  <w:t xml:space="preserve"> įgyvendintos per 12 mėn. Antrojo kvietimo projekto veiklos turi būti įgyvendintos per 24 mėn. Prireikus projekto veiklos gali būti pratęstos pagrįstam laikotarpiui, bet ne vėliau kaip iki 2029 m. rugpjūčio 31 d. </w:t>
                </w:r>
              </w:p>
              <w:p w:rsidR="005E51E3" w:rsidRDefault="00A47E9A">
                <w:pPr>
                  <w:tabs>
                    <w:tab w:val="left" w:pos="883"/>
                  </w:tabs>
                  <w:jc w:val="both"/>
                  <w:rPr>
                    <w:sz w:val="22"/>
                    <w:szCs w:val="22"/>
                  </w:rPr>
                </w:pPr>
                <w:r>
                  <w:rPr>
                    <w:sz w:val="22"/>
                    <w:szCs w:val="22"/>
                  </w:rPr>
                  <w:t>5.15. Projektų matomumo ir informavimo api</w:t>
                </w:r>
                <w:r>
                  <w:rPr>
                    <w:sz w:val="22"/>
                    <w:szCs w:val="22"/>
                  </w:rPr>
                  <w:t>e projektą veiksmai atliekami vadovaujantis PAFT VIII skyriaus pirmojo skirsnio nuostatomis. </w:t>
                </w:r>
              </w:p>
              <w:p w:rsidR="005E51E3" w:rsidRDefault="00A47E9A">
                <w:pPr>
                  <w:tabs>
                    <w:tab w:val="left" w:pos="883"/>
                  </w:tabs>
                  <w:jc w:val="both"/>
                  <w:rPr>
                    <w:sz w:val="22"/>
                    <w:szCs w:val="22"/>
                  </w:rPr>
                </w:pPr>
                <w:r>
                  <w:rPr>
                    <w:sz w:val="22"/>
                    <w:szCs w:val="22"/>
                  </w:rPr>
                  <w:t>5.16. Kartu su PĮP turi būti pateikta:  </w:t>
                </w:r>
              </w:p>
              <w:p w:rsidR="005E51E3" w:rsidRDefault="00A47E9A">
                <w:pPr>
                  <w:tabs>
                    <w:tab w:val="left" w:pos="883"/>
                  </w:tabs>
                  <w:jc w:val="both"/>
                  <w:rPr>
                    <w:sz w:val="22"/>
                    <w:szCs w:val="22"/>
                  </w:rPr>
                </w:pPr>
                <w:r>
                  <w:rPr>
                    <w:sz w:val="22"/>
                    <w:szCs w:val="22"/>
                  </w:rPr>
                  <w:t>5.16.1. partnerių deklaracijos pagal PAFT 1 priedo 1 priedą;  </w:t>
                </w:r>
              </w:p>
              <w:p w:rsidR="005E51E3" w:rsidRDefault="00A47E9A">
                <w:pPr>
                  <w:tabs>
                    <w:tab w:val="left" w:pos="883"/>
                  </w:tabs>
                  <w:jc w:val="both"/>
                  <w:rPr>
                    <w:sz w:val="22"/>
                    <w:szCs w:val="22"/>
                  </w:rPr>
                </w:pPr>
                <w:r>
                  <w:rPr>
                    <w:sz w:val="22"/>
                    <w:szCs w:val="22"/>
                  </w:rPr>
                  <w:t>5.16.2. informacija apie projektų biudžeto paskirstymą pag</w:t>
                </w:r>
                <w:r>
                  <w:rPr>
                    <w:sz w:val="22"/>
                    <w:szCs w:val="22"/>
                  </w:rPr>
                  <w:t>al pareiškėjus ir partnerius pagal PAFT 1 priedo 2 priedą; </w:t>
                </w:r>
              </w:p>
              <w:p w:rsidR="005E51E3" w:rsidRDefault="00A47E9A">
                <w:pPr>
                  <w:tabs>
                    <w:tab w:val="left" w:pos="883"/>
                  </w:tabs>
                  <w:jc w:val="both"/>
                  <w:rPr>
                    <w:sz w:val="22"/>
                    <w:szCs w:val="22"/>
                  </w:rPr>
                </w:pPr>
                <w:r>
                  <w:rPr>
                    <w:sz w:val="22"/>
                    <w:szCs w:val="22"/>
                  </w:rPr>
                  <w:t>5.16.3. dokumentai, pagrindžiantys projektų išlaidų pagrįstumą (sudarytos sutartys, komerciniai siūlymai, nuorodos į rinkoje esančias kainas), išlaidų skaičiavimai; </w:t>
                </w:r>
              </w:p>
              <w:p w:rsidR="005E51E3" w:rsidRDefault="00A47E9A">
                <w:pPr>
                  <w:tabs>
                    <w:tab w:val="left" w:pos="883"/>
                  </w:tabs>
                  <w:jc w:val="both"/>
                  <w:rPr>
                    <w:sz w:val="22"/>
                    <w:szCs w:val="22"/>
                  </w:rPr>
                </w:pPr>
                <w:r>
                  <w:rPr>
                    <w:sz w:val="22"/>
                    <w:szCs w:val="22"/>
                  </w:rPr>
                  <w:t xml:space="preserve">5.16.4. projektų atitiktį </w:t>
                </w:r>
                <w:r>
                  <w:rPr>
                    <w:sz w:val="22"/>
                    <w:szCs w:val="22"/>
                  </w:rPr>
                  <w:t>bendriesiems projektų atrankos kriterijams, nurodytiems PAFT 2 priede, patvirtinantys dokumentai.</w:t>
                </w:r>
              </w:p>
              <w:p w:rsidR="005E51E3" w:rsidRDefault="005E51E3">
                <w:pPr>
                  <w:tabs>
                    <w:tab w:val="left" w:pos="883"/>
                  </w:tabs>
                  <w:jc w:val="both"/>
                  <w:rPr>
                    <w:sz w:val="22"/>
                    <w:szCs w:val="22"/>
                  </w:rPr>
                </w:pPr>
              </w:p>
            </w:tc>
          </w:tr>
          <w:tr w:rsidR="005E51E3">
            <w:tc>
              <w:tcPr>
                <w:tcW w:w="14709" w:type="dxa"/>
              </w:tcPr>
              <w:p w:rsidR="005E51E3" w:rsidRDefault="00A47E9A">
                <w:pPr>
                  <w:jc w:val="both"/>
                  <w:rPr>
                    <w:b/>
                    <w:iCs/>
                    <w:sz w:val="22"/>
                    <w:szCs w:val="22"/>
                  </w:rPr>
                </w:pPr>
                <w:r>
                  <w:rPr>
                    <w:b/>
                    <w:sz w:val="22"/>
                    <w:szCs w:val="22"/>
                  </w:rPr>
                  <w:t>6. Reikalavimai jungtinio projekto projektams ir jungtinio projekto projektų pareiškėjams (</w:t>
                </w:r>
                <w:r>
                  <w:rPr>
                    <w:bCs/>
                    <w:sz w:val="22"/>
                    <w:szCs w:val="22"/>
                  </w:rPr>
                  <w:t>šiam Aprašui netaikoma).</w:t>
                </w:r>
              </w:p>
            </w:tc>
          </w:tr>
          <w:tr w:rsidR="005E51E3">
            <w:trPr>
              <w:trHeight w:val="234"/>
            </w:trPr>
            <w:tc>
              <w:tcPr>
                <w:tcW w:w="14709" w:type="dxa"/>
              </w:tcPr>
              <w:p w:rsidR="005E51E3" w:rsidRDefault="00A47E9A">
                <w:pPr>
                  <w:jc w:val="both"/>
                  <w:rPr>
                    <w:i/>
                    <w:iCs/>
                    <w:sz w:val="22"/>
                    <w:szCs w:val="22"/>
                  </w:rPr>
                </w:pPr>
                <w:r>
                  <w:rPr>
                    <w:b/>
                    <w:sz w:val="22"/>
                    <w:szCs w:val="22"/>
                  </w:rPr>
                  <w:t>7. Projekto tikslinės grupės</w:t>
                </w:r>
              </w:p>
            </w:tc>
          </w:tr>
          <w:tr w:rsidR="005E51E3">
            <w:trPr>
              <w:trHeight w:val="420"/>
            </w:trPr>
            <w:tc>
              <w:tcPr>
                <w:tcW w:w="14709" w:type="dxa"/>
              </w:tcPr>
              <w:p w:rsidR="005E51E3" w:rsidRDefault="00A47E9A">
                <w:pPr>
                  <w:jc w:val="both"/>
                  <w:rPr>
                    <w:sz w:val="22"/>
                    <w:szCs w:val="22"/>
                  </w:rPr>
                </w:pPr>
                <w:r>
                  <w:rPr>
                    <w:sz w:val="22"/>
                    <w:szCs w:val="22"/>
                  </w:rPr>
                  <w:t>7.1. Gali</w:t>
                </w:r>
                <w:r>
                  <w:rPr>
                    <w:sz w:val="22"/>
                    <w:szCs w:val="22"/>
                  </w:rPr>
                  <w:t>ma projektų tikslinė grupė – pedagogai, švietimo pagalbos specialistai, ikimokyklinio ir priešmokyklinio ugdymo programas įgyvendinančių įstaigų vadovai, viešojo administravimo institucijų specialistai.</w:t>
                </w:r>
              </w:p>
              <w:p w:rsidR="005E51E3" w:rsidRDefault="005E51E3">
                <w:pPr>
                  <w:jc w:val="both"/>
                  <w:rPr>
                    <w:iCs/>
                    <w:sz w:val="22"/>
                    <w:szCs w:val="22"/>
                  </w:rPr>
                </w:pPr>
              </w:p>
            </w:tc>
          </w:tr>
          <w:tr w:rsidR="005E51E3">
            <w:trPr>
              <w:trHeight w:val="285"/>
            </w:trPr>
            <w:tc>
              <w:tcPr>
                <w:tcW w:w="14709" w:type="dxa"/>
              </w:tcPr>
              <w:p w:rsidR="005E51E3" w:rsidRDefault="00A47E9A">
                <w:pPr>
                  <w:rPr>
                    <w:sz w:val="22"/>
                    <w:szCs w:val="22"/>
                  </w:rPr>
                </w:pPr>
                <w:r>
                  <w:rPr>
                    <w:b/>
                    <w:sz w:val="22"/>
                    <w:szCs w:val="22"/>
                  </w:rPr>
                  <w:t xml:space="preserve">8. Horizontaliųjų principų (toliau – HP) </w:t>
                </w:r>
                <w:r>
                  <w:rPr>
                    <w:b/>
                    <w:sz w:val="22"/>
                    <w:szCs w:val="22"/>
                  </w:rPr>
                  <w:t>reikalavimai</w:t>
                </w:r>
              </w:p>
            </w:tc>
          </w:tr>
          <w:tr w:rsidR="005E51E3">
            <w:tc>
              <w:tcPr>
                <w:tcW w:w="14709" w:type="dxa"/>
              </w:tcPr>
              <w:p w:rsidR="005E51E3" w:rsidRDefault="00A47E9A">
                <w:pPr>
                  <w:jc w:val="both"/>
                  <w:rPr>
                    <w:iCs/>
                    <w:sz w:val="22"/>
                    <w:szCs w:val="22"/>
                  </w:rPr>
                </w:pPr>
                <w:r>
                  <w:rPr>
                    <w:iCs/>
                    <w:sz w:val="22"/>
                    <w:szCs w:val="22"/>
                  </w:rPr>
                  <w:t>8.1. Projektuose negali būti numatyta:</w:t>
                </w:r>
              </w:p>
              <w:p w:rsidR="005E51E3" w:rsidRDefault="00A47E9A">
                <w:pPr>
                  <w:jc w:val="both"/>
                  <w:rPr>
                    <w:iCs/>
                    <w:sz w:val="22"/>
                    <w:szCs w:val="22"/>
                  </w:rPr>
                </w:pPr>
                <w:r>
                  <w:rPr>
                    <w:iCs/>
                    <w:sz w:val="22"/>
                    <w:szCs w:val="22"/>
                  </w:rPr>
                  <w:t>8.1.1. apribojimų, kurie turėtų neigiamą poveikį lygių galimybių ir nediskriminavimo dėl lyties, rasės, tautybės, pilietybės, kalbos, kilmės, socialinės padėties, tikėjimo, įsitikinimų ar pažiūrų, amžiau</w:t>
                </w:r>
                <w:r>
                  <w:rPr>
                    <w:iCs/>
                    <w:sz w:val="22"/>
                    <w:szCs w:val="22"/>
                  </w:rPr>
                  <w:t xml:space="preserve">s, negalios, lytinės orientacijos, etninės priklausomybės, religijos ar kitais pagrindais principui įgyvendinti; </w:t>
                </w:r>
              </w:p>
              <w:p w:rsidR="005E51E3" w:rsidRDefault="00A47E9A">
                <w:pPr>
                  <w:jc w:val="both"/>
                  <w:rPr>
                    <w:iCs/>
                    <w:sz w:val="22"/>
                    <w:szCs w:val="22"/>
                  </w:rPr>
                </w:pPr>
                <w:r>
                  <w:rPr>
                    <w:iCs/>
                    <w:sz w:val="22"/>
                    <w:szCs w:val="22"/>
                  </w:rPr>
                  <w:t xml:space="preserve">8.1.2. veiksmų, kurie turėtų neigiamą poveikį darnaus vystymosi principui įgyvendinti. </w:t>
                </w:r>
              </w:p>
              <w:p w:rsidR="005E51E3" w:rsidRDefault="00A47E9A">
                <w:pPr>
                  <w:jc w:val="both"/>
                  <w:rPr>
                    <w:iCs/>
                    <w:sz w:val="22"/>
                    <w:szCs w:val="22"/>
                  </w:rPr>
                </w:pPr>
                <w:r>
                  <w:rPr>
                    <w:iCs/>
                    <w:sz w:val="22"/>
                    <w:szCs w:val="22"/>
                  </w:rPr>
                  <w:t xml:space="preserve">8.2. Projektuose turi būti numatyta: </w:t>
                </w:r>
              </w:p>
              <w:p w:rsidR="005E51E3" w:rsidRDefault="00A47E9A">
                <w:pPr>
                  <w:jc w:val="both"/>
                  <w:rPr>
                    <w:iCs/>
                    <w:sz w:val="22"/>
                    <w:szCs w:val="22"/>
                  </w:rPr>
                </w:pPr>
                <w:r>
                  <w:rPr>
                    <w:iCs/>
                    <w:sz w:val="22"/>
                    <w:szCs w:val="22"/>
                  </w:rPr>
                  <w:t>8.2.1. organizuo</w:t>
                </w:r>
                <w:r>
                  <w:rPr>
                    <w:iCs/>
                    <w:sz w:val="22"/>
                    <w:szCs w:val="22"/>
                  </w:rPr>
                  <w:t>damas mokymus projektų vykdytojas prieš projektų veiklos įgyvendinimą turi atlikti būsimų mokymų dalyvių apklausą, siekdamas nustatyti, ar mokymų dalyviai turi specialiųjų poreikių, į kuriuos organizatorius turėtų atsižvelgti (pvz., parinkdamas mokymų viet</w:t>
                </w:r>
                <w:r>
                  <w:rPr>
                    <w:iCs/>
                    <w:sz w:val="22"/>
                    <w:szCs w:val="22"/>
                  </w:rPr>
                  <w:t xml:space="preserve">ą, prieinamą žmonėms su judėjimo negalia, suorganizuodamas gestų kalbos specialisto paslaugą, parinkdamas tinkamas mokomąsias priemones akliesiems ar silpnaregiams ir pan.); </w:t>
                </w:r>
              </w:p>
              <w:p w:rsidR="005E51E3" w:rsidRDefault="00A47E9A">
                <w:pPr>
                  <w:jc w:val="both"/>
                  <w:rPr>
                    <w:iCs/>
                    <w:sz w:val="22"/>
                    <w:szCs w:val="22"/>
                  </w:rPr>
                </w:pPr>
                <w:r>
                  <w:rPr>
                    <w:iCs/>
                    <w:sz w:val="22"/>
                    <w:szCs w:val="22"/>
                  </w:rPr>
                  <w:t>8.2.2. įgyvendinant projektų veiklas (kuriant produktus ir vykdant mokymus), turi</w:t>
                </w:r>
                <w:r>
                  <w:rPr>
                    <w:iCs/>
                    <w:sz w:val="22"/>
                    <w:szCs w:val="22"/>
                  </w:rPr>
                  <w:t xml:space="preserve"> būti įtrauktas lyčių lygybės aspektas, pvz., temos apie lyčių stereotipų mažinimą. </w:t>
                </w:r>
              </w:p>
              <w:p w:rsidR="005E51E3" w:rsidRDefault="00A47E9A">
                <w:pPr>
                  <w:jc w:val="both"/>
                  <w:rPr>
                    <w:iCs/>
                    <w:sz w:val="22"/>
                    <w:szCs w:val="22"/>
                  </w:rPr>
                </w:pPr>
                <w:r>
                  <w:rPr>
                    <w:iCs/>
                    <w:sz w:val="22"/>
                    <w:szCs w:val="22"/>
                  </w:rPr>
                  <w:t>8.3. Projektai turi atitikti reikšmingos žalos nedarymo principą, t. y. turi būti tvarūs aplinkos atžvilgiu ir vykdomi visapusiškai atsižvelgiant į Europos Sąjungos klimat</w:t>
                </w:r>
                <w:r>
                  <w:rPr>
                    <w:iCs/>
                    <w:sz w:val="22"/>
                    <w:szCs w:val="22"/>
                  </w:rPr>
                  <w:t>o ir aplinkos apsaugos standartus ir prioritetus, kaip tai suprantama pagal 2020 m. birželio 18 d. Europos Parlamento ir Tarybos reglamentą (ES) Nr. 2020/852 dėl sistemos tvariam investavimui palengvinti sukūrimo, kuriuo iš dalies keičiamas Reglamentas (ES</w:t>
                </w:r>
                <w:r>
                  <w:rPr>
                    <w:iCs/>
                    <w:sz w:val="22"/>
                    <w:szCs w:val="22"/>
                  </w:rPr>
                  <w:t>) Nr. 2019/2088. Atitiktis šiam principui turi būti užtikrinta viso projekto įgyvendinimo metu (Aprašo priedas).</w:t>
                </w:r>
              </w:p>
            </w:tc>
          </w:tr>
          <w:tr w:rsidR="005E51E3">
            <w:tc>
              <w:tcPr>
                <w:tcW w:w="14709" w:type="dxa"/>
              </w:tcPr>
              <w:p w:rsidR="005E51E3" w:rsidRDefault="00A47E9A">
                <w:pPr>
                  <w:spacing w:line="259" w:lineRule="auto"/>
                  <w:jc w:val="both"/>
                  <w:rPr>
                    <w:b/>
                    <w:iCs/>
                    <w:sz w:val="22"/>
                    <w:szCs w:val="22"/>
                  </w:rPr>
                </w:pPr>
                <w:r>
                  <w:rPr>
                    <w:b/>
                    <w:iCs/>
                    <w:sz w:val="22"/>
                    <w:szCs w:val="22"/>
                  </w:rPr>
                  <w:t>9. Europos Sąjungos pagrindinių teisių chartijos (toliau – Chartija) reikalavimai</w:t>
                </w:r>
              </w:p>
            </w:tc>
          </w:tr>
          <w:tr w:rsidR="005E51E3">
            <w:tc>
              <w:tcPr>
                <w:tcW w:w="14709" w:type="dxa"/>
              </w:tcPr>
              <w:p w:rsidR="005E51E3" w:rsidRDefault="00A47E9A">
                <w:pPr>
                  <w:jc w:val="both"/>
                  <w:rPr>
                    <w:sz w:val="22"/>
                    <w:szCs w:val="22"/>
                  </w:rPr>
                </w:pPr>
                <w:r>
                  <w:rPr>
                    <w:sz w:val="22"/>
                    <w:szCs w:val="22"/>
                  </w:rPr>
                  <w:t xml:space="preserve">9.1. Veiklos ir </w:t>
                </w:r>
                <w:proofErr w:type="spellStart"/>
                <w:r>
                  <w:rPr>
                    <w:sz w:val="22"/>
                    <w:szCs w:val="22"/>
                  </w:rPr>
                  <w:t>poveiklės</w:t>
                </w:r>
                <w:proofErr w:type="spellEnd"/>
                <w:r>
                  <w:rPr>
                    <w:sz w:val="22"/>
                    <w:szCs w:val="22"/>
                  </w:rPr>
                  <w:t xml:space="preserve"> atitinka Europos Sąjungos </w:t>
                </w:r>
                <w:r>
                  <w:rPr>
                    <w:sz w:val="22"/>
                    <w:szCs w:val="22"/>
                  </w:rPr>
                  <w:t>pagrindinių teisių chartijos nuostatas pagal 2016 m. liepos 23 d. Europos Komisijos pranešimą – Rekomendacijų, kaip užtikrinti, kad būtų laikomasi Europos Sąjungos pagrindinių teisių chartijos nuostatų skirstant Europos struktūrinių ir investicinių fondų (</w:t>
                </w:r>
                <w:r>
                  <w:rPr>
                    <w:sz w:val="22"/>
                    <w:szCs w:val="22"/>
                  </w:rPr>
                  <w:t>toliau – ESI fondų) paramą (2016/C 269/01), III priedą.</w:t>
                </w:r>
              </w:p>
              <w:p w:rsidR="005E51E3" w:rsidRDefault="00A47E9A">
                <w:pPr>
                  <w:jc w:val="both"/>
                  <w:rPr>
                    <w:i/>
                    <w:iCs/>
                    <w:sz w:val="22"/>
                    <w:szCs w:val="22"/>
                  </w:rPr>
                </w:pPr>
                <w:r>
                  <w:rPr>
                    <w:sz w:val="22"/>
                    <w:szCs w:val="22"/>
                  </w:rPr>
                  <w:t xml:space="preserve">9.2. Projekto vykdytojas privalo </w:t>
                </w:r>
                <w:r>
                  <w:rPr>
                    <w:color w:val="000000"/>
                    <w:sz w:val="22"/>
                    <w:szCs w:val="22"/>
                  </w:rPr>
                  <w:t>laikytis Chartijos reikalavimų</w:t>
                </w:r>
                <w:r>
                  <w:rPr>
                    <w:sz w:val="22"/>
                    <w:szCs w:val="22"/>
                  </w:rPr>
                  <w:t>.</w:t>
                </w:r>
              </w:p>
            </w:tc>
          </w:tr>
          <w:tr w:rsidR="005E51E3">
            <w:tc>
              <w:tcPr>
                <w:tcW w:w="14709" w:type="dxa"/>
              </w:tcPr>
              <w:p w:rsidR="005E51E3" w:rsidRDefault="00A47E9A">
                <w:pPr>
                  <w:rPr>
                    <w:b/>
                    <w:sz w:val="22"/>
                    <w:szCs w:val="22"/>
                  </w:rPr>
                </w:pPr>
                <w:r>
                  <w:rPr>
                    <w:b/>
                    <w:sz w:val="22"/>
                    <w:szCs w:val="22"/>
                  </w:rPr>
                  <w:t>10. Apskritis, kurioje gali būti įgyvendinami projektai (</w:t>
                </w:r>
                <w:r>
                  <w:rPr>
                    <w:bCs/>
                    <w:sz w:val="22"/>
                    <w:szCs w:val="22"/>
                  </w:rPr>
                  <w:t>šiam Aprašui netaikoma).</w:t>
                </w:r>
              </w:p>
            </w:tc>
          </w:tr>
          <w:tr w:rsidR="005E51E3">
            <w:tc>
              <w:tcPr>
                <w:tcW w:w="14709" w:type="dxa"/>
              </w:tcPr>
              <w:p w:rsidR="005E51E3" w:rsidRDefault="00A47E9A">
                <w:pPr>
                  <w:jc w:val="both"/>
                  <w:rPr>
                    <w:b/>
                    <w:sz w:val="22"/>
                    <w:szCs w:val="22"/>
                  </w:rPr>
                </w:pPr>
                <w:r>
                  <w:rPr>
                    <w:b/>
                    <w:sz w:val="22"/>
                    <w:szCs w:val="22"/>
                  </w:rPr>
                  <w:t xml:space="preserve">11. Reikalavimai valstybės pagalbai (kurie nėra </w:t>
                </w:r>
                <w:r>
                  <w:rPr>
                    <w:b/>
                    <w:sz w:val="22"/>
                    <w:szCs w:val="22"/>
                  </w:rPr>
                  <w:t>nurodyti kituose Aprašo punktuose)</w:t>
                </w:r>
              </w:p>
            </w:tc>
          </w:tr>
          <w:tr w:rsidR="005E51E3">
            <w:tc>
              <w:tcPr>
                <w:tcW w:w="14709" w:type="dxa"/>
              </w:tcPr>
              <w:p w:rsidR="005E51E3" w:rsidRDefault="00A47E9A">
                <w:pPr>
                  <w:jc w:val="both"/>
                  <w:rPr>
                    <w:sz w:val="22"/>
                    <w:szCs w:val="22"/>
                  </w:rPr>
                </w:pPr>
                <w:r>
                  <w:rPr>
                    <w:sz w:val="22"/>
                    <w:szCs w:val="22"/>
                  </w:rPr>
                  <w:t xml:space="preserve">11.1. Pagal Aprašą valstybės pagalba, kaip ji apibrėžta Sutarties dėl Europos Sąjungos veikimo 107 straipsnyje ir </w:t>
                </w:r>
                <w:r>
                  <w:rPr>
                    <w:i/>
                    <w:iCs/>
                    <w:sz w:val="22"/>
                    <w:szCs w:val="22"/>
                  </w:rPr>
                  <w:t xml:space="preserve">de </w:t>
                </w:r>
                <w:proofErr w:type="spellStart"/>
                <w:r>
                  <w:rPr>
                    <w:i/>
                    <w:iCs/>
                    <w:sz w:val="22"/>
                    <w:szCs w:val="22"/>
                  </w:rPr>
                  <w:t>minimis</w:t>
                </w:r>
                <w:proofErr w:type="spellEnd"/>
                <w:r>
                  <w:rPr>
                    <w:sz w:val="22"/>
                    <w:szCs w:val="22"/>
                  </w:rPr>
                  <w:t xml:space="preserve"> pagalba, kuri atitinka 2023 m. gruodžio 13 d. Komisijos reglamento (ES) 2023/2831 dėl Sutarties</w:t>
                </w:r>
                <w:r>
                  <w:rPr>
                    <w:sz w:val="22"/>
                    <w:szCs w:val="22"/>
                  </w:rPr>
                  <w:t xml:space="preserve"> dėl Europos Sąjungos veikimo 107 ir 108 straipsnių taikymo </w:t>
                </w:r>
                <w:r>
                  <w:rPr>
                    <w:i/>
                    <w:iCs/>
                    <w:sz w:val="22"/>
                    <w:szCs w:val="22"/>
                  </w:rPr>
                  <w:t xml:space="preserve">de </w:t>
                </w:r>
                <w:proofErr w:type="spellStart"/>
                <w:r>
                  <w:rPr>
                    <w:i/>
                    <w:iCs/>
                    <w:sz w:val="22"/>
                    <w:szCs w:val="22"/>
                  </w:rPr>
                  <w:t>minimis</w:t>
                </w:r>
                <w:proofErr w:type="spellEnd"/>
                <w:r>
                  <w:rPr>
                    <w:sz w:val="22"/>
                    <w:szCs w:val="22"/>
                  </w:rPr>
                  <w:t xml:space="preserve"> pagalbai nuostatas, neteikiama.</w:t>
                </w:r>
              </w:p>
              <w:p w:rsidR="005E51E3" w:rsidRDefault="00A47E9A">
                <w:pPr>
                  <w:jc w:val="both"/>
                  <w:rPr>
                    <w:sz w:val="22"/>
                    <w:szCs w:val="22"/>
                  </w:rPr>
                </w:pPr>
                <w:r>
                  <w:rPr>
                    <w:sz w:val="22"/>
                    <w:szCs w:val="22"/>
                  </w:rPr>
                  <w:t>11.2. Pagal Aprašą, valstybės pagalba, kuri atitinka 2014 m. birželio 17 d. Komisijos reglamento (ES) Nr. 651/2014, kuriuo tam tikrų kategorijų pagalba s</w:t>
                </w:r>
                <w:r>
                  <w:rPr>
                    <w:sz w:val="22"/>
                    <w:szCs w:val="22"/>
                  </w:rPr>
                  <w:t>kelbiama suderinama su vidaus rinka taikant Sutarties 107 ir 108straipsnius, su paskutiniais pakeitimais, padarytais 2023m. birželio 23 d. Komisijos reglamentu (ES) 2023/1315, neteikiama.</w:t>
                </w:r>
              </w:p>
              <w:p w:rsidR="005E51E3" w:rsidRDefault="005E51E3">
                <w:pPr>
                  <w:jc w:val="both"/>
                  <w:rPr>
                    <w:sz w:val="22"/>
                    <w:szCs w:val="22"/>
                  </w:rPr>
                </w:pPr>
              </w:p>
            </w:tc>
          </w:tr>
          <w:tr w:rsidR="005E51E3">
            <w:tc>
              <w:tcPr>
                <w:tcW w:w="14709" w:type="dxa"/>
              </w:tcPr>
              <w:p w:rsidR="005E51E3" w:rsidRDefault="00A47E9A">
                <w:pPr>
                  <w:ind w:left="426" w:hanging="426"/>
                  <w:jc w:val="both"/>
                  <w:rPr>
                    <w:i/>
                    <w:sz w:val="22"/>
                    <w:szCs w:val="22"/>
                  </w:rPr>
                </w:pPr>
                <w:r>
                  <w:rPr>
                    <w:b/>
                    <w:sz w:val="22"/>
                    <w:szCs w:val="22"/>
                  </w:rPr>
                  <w:t>12. Projektų atrankos kriterijai</w:t>
                </w:r>
              </w:p>
            </w:tc>
          </w:tr>
          <w:tr w:rsidR="005E51E3">
            <w:trPr>
              <w:trHeight w:val="344"/>
            </w:trPr>
            <w:tc>
              <w:tcPr>
                <w:tcW w:w="14709" w:type="dxa"/>
              </w:tcPr>
              <w:p w:rsidR="005E51E3" w:rsidRDefault="00A47E9A">
                <w:pPr>
                  <w:jc w:val="both"/>
                  <w:rPr>
                    <w:i/>
                    <w:sz w:val="22"/>
                    <w:szCs w:val="22"/>
                  </w:rPr>
                </w:pPr>
                <w:r>
                  <w:rPr>
                    <w:sz w:val="22"/>
                    <w:szCs w:val="22"/>
                  </w:rPr>
                  <w:t xml:space="preserve">12.1. Specialieji ir </w:t>
                </w:r>
                <w:r>
                  <w:rPr>
                    <w:sz w:val="22"/>
                    <w:szCs w:val="22"/>
                  </w:rPr>
                  <w:t>prioritetiniai projektų atrankos kriterijai nėra nustatomi.</w:t>
                </w:r>
              </w:p>
            </w:tc>
          </w:tr>
          <w:tr w:rsidR="005E51E3">
            <w:trPr>
              <w:trHeight w:val="309"/>
            </w:trPr>
            <w:tc>
              <w:tcPr>
                <w:tcW w:w="14709" w:type="dxa"/>
              </w:tcPr>
              <w:p w:rsidR="005E51E3" w:rsidRDefault="00A47E9A">
                <w:pPr>
                  <w:jc w:val="both"/>
                  <w:rPr>
                    <w:i/>
                    <w:sz w:val="22"/>
                    <w:szCs w:val="22"/>
                  </w:rPr>
                </w:pPr>
                <w:r>
                  <w:rPr>
                    <w:b/>
                    <w:sz w:val="22"/>
                    <w:szCs w:val="22"/>
                  </w:rPr>
                  <w:t xml:space="preserve">13. Jungtinio projekto projektų atrankos kriterijai </w:t>
                </w:r>
                <w:r>
                  <w:rPr>
                    <w:sz w:val="22"/>
                    <w:szCs w:val="22"/>
                  </w:rPr>
                  <w:t>(</w:t>
                </w:r>
                <w:r>
                  <w:rPr>
                    <w:i/>
                    <w:sz w:val="22"/>
                    <w:szCs w:val="22"/>
                  </w:rPr>
                  <w:t xml:space="preserve">pildoma tik jungtiniam projektui) </w:t>
                </w:r>
                <w:r>
                  <w:rPr>
                    <w:iCs/>
                    <w:sz w:val="22"/>
                    <w:szCs w:val="22"/>
                  </w:rPr>
                  <w:t>(šiam Aprašui netaikoma).</w:t>
                </w:r>
              </w:p>
            </w:tc>
          </w:tr>
          <w:tr w:rsidR="005E51E3">
            <w:tc>
              <w:tcPr>
                <w:tcW w:w="14709" w:type="dxa"/>
              </w:tcPr>
              <w:p w:rsidR="005E51E3" w:rsidRDefault="00A47E9A">
                <w:pPr>
                  <w:rPr>
                    <w:b/>
                    <w:sz w:val="22"/>
                    <w:szCs w:val="22"/>
                  </w:rPr>
                </w:pPr>
                <w:r>
                  <w:rPr>
                    <w:b/>
                    <w:sz w:val="22"/>
                    <w:szCs w:val="22"/>
                  </w:rPr>
                  <w:t>14. Reikalavimai įgyvendinus projektų veiklas</w:t>
                </w:r>
              </w:p>
            </w:tc>
          </w:tr>
          <w:tr w:rsidR="005E51E3">
            <w:tc>
              <w:tcPr>
                <w:tcW w:w="14709" w:type="dxa"/>
              </w:tcPr>
              <w:p w:rsidR="005E51E3" w:rsidRDefault="00A47E9A">
                <w:pPr>
                  <w:rPr>
                    <w:i/>
                    <w:sz w:val="22"/>
                    <w:szCs w:val="22"/>
                  </w:rPr>
                </w:pPr>
                <w:r>
                  <w:rPr>
                    <w:color w:val="000000"/>
                    <w:sz w:val="22"/>
                    <w:szCs w:val="22"/>
                  </w:rPr>
                  <w:t xml:space="preserve">14.1. Papildomi reikalavimai įgyvendinus projekto veiklas, kurie nenumatyti </w:t>
                </w:r>
                <w:r>
                  <w:rPr>
                    <w:sz w:val="22"/>
                    <w:szCs w:val="22"/>
                  </w:rPr>
                  <w:t>PAFT</w:t>
                </w:r>
                <w:r>
                  <w:rPr>
                    <w:color w:val="000000"/>
                    <w:sz w:val="22"/>
                    <w:szCs w:val="22"/>
                  </w:rPr>
                  <w:t>, nėra taikomi.</w:t>
                </w:r>
              </w:p>
            </w:tc>
          </w:tr>
          <w:tr w:rsidR="005E51E3">
            <w:tc>
              <w:tcPr>
                <w:tcW w:w="14709" w:type="dxa"/>
              </w:tcPr>
              <w:p w:rsidR="005E51E3" w:rsidRDefault="00A47E9A">
                <w:pPr>
                  <w:rPr>
                    <w:sz w:val="22"/>
                    <w:szCs w:val="22"/>
                  </w:rPr>
                </w:pPr>
                <w:r>
                  <w:rPr>
                    <w:b/>
                    <w:sz w:val="22"/>
                    <w:szCs w:val="22"/>
                  </w:rPr>
                  <w:t xml:space="preserve">15. Kiti reikalavimai šiam Aprašui </w:t>
                </w:r>
              </w:p>
            </w:tc>
          </w:tr>
          <w:tr w:rsidR="005E51E3">
            <w:trPr>
              <w:trHeight w:val="585"/>
            </w:trPr>
            <w:tc>
              <w:tcPr>
                <w:tcW w:w="14709" w:type="dxa"/>
              </w:tcPr>
              <w:p w:rsidR="005E51E3" w:rsidRDefault="00A47E9A">
                <w:pPr>
                  <w:tabs>
                    <w:tab w:val="left" w:pos="1134"/>
                  </w:tabs>
                  <w:jc w:val="both"/>
                  <w:rPr>
                    <w:sz w:val="22"/>
                    <w:szCs w:val="22"/>
                  </w:rPr>
                </w:pPr>
                <w:r>
                  <w:rPr>
                    <w:sz w:val="22"/>
                    <w:szCs w:val="22"/>
                  </w:rPr>
                  <w:t>15.1. Administruojanti institucija turi informuoti Ministeriją, jeigu vertinimo metu nustatyta, kad pareiškėjo pateiktas P</w:t>
                </w:r>
                <w:r>
                  <w:rPr>
                    <w:sz w:val="22"/>
                    <w:szCs w:val="22"/>
                  </w:rPr>
                  <w:t>ĮP neatitinka šio Aprašo 5.11 papunkčio.</w:t>
                </w:r>
              </w:p>
              <w:p w:rsidR="005E51E3" w:rsidRDefault="00A47E9A">
                <w:pPr>
                  <w:jc w:val="both"/>
                  <w:rPr>
                    <w:b/>
                    <w:sz w:val="22"/>
                    <w:szCs w:val="22"/>
                  </w:rPr>
                </w:pPr>
                <w:r>
                  <w:rPr>
                    <w:bCs/>
                    <w:sz w:val="22"/>
                    <w:szCs w:val="22"/>
                  </w:rPr>
                  <w:t>15.2. Projekto įgyvendinimo priežiūrai užtikrinti ir iškilusiems projekto įgyvendinimo klausimams spręsti Ministerija sudarys Projektų priežiūros komitetą.</w:t>
                </w:r>
              </w:p>
            </w:tc>
          </w:tr>
        </w:tbl>
        <w:p w:rsidR="005E51E3" w:rsidRDefault="005E51E3"/>
        <w:p w:rsidR="005E51E3" w:rsidRDefault="00A47E9A">
          <w:pPr>
            <w:jc w:val="center"/>
            <w:rPr>
              <w:b/>
              <w:szCs w:val="24"/>
            </w:rPr>
          </w:pPr>
          <w:r>
            <w:rPr>
              <w:b/>
              <w:szCs w:val="24"/>
            </w:rPr>
            <w:t>III</w:t>
          </w:r>
          <w:r>
            <w:rPr>
              <w:b/>
              <w:szCs w:val="24"/>
            </w:rPr>
            <w:t xml:space="preserve"> SKYRIUS</w:t>
          </w:r>
        </w:p>
        <w:p w:rsidR="005E51E3" w:rsidRDefault="00A47E9A">
          <w:pPr>
            <w:jc w:val="center"/>
            <w:rPr>
              <w:b/>
              <w:szCs w:val="24"/>
            </w:rPr>
          </w:pPr>
          <w:r>
            <w:rPr>
              <w:b/>
              <w:szCs w:val="24"/>
            </w:rPr>
            <w:t>IŠLAIDŲ TINKAMUMO FINANSUOTI REIKALAVIMAI</w:t>
          </w:r>
        </w:p>
        <w:p w:rsidR="005E51E3" w:rsidRDefault="005E51E3"/>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5E51E3">
            <w:tc>
              <w:tcPr>
                <w:tcW w:w="14709" w:type="dxa"/>
              </w:tcPr>
              <w:p w:rsidR="005E51E3" w:rsidRDefault="00A47E9A">
                <w:pPr>
                  <w:jc w:val="both"/>
                  <w:rPr>
                    <w:b/>
                    <w:sz w:val="22"/>
                    <w:szCs w:val="22"/>
                  </w:rPr>
                </w:pPr>
                <w:r>
                  <w:rPr>
                    <w:b/>
                    <w:sz w:val="22"/>
                    <w:szCs w:val="22"/>
                  </w:rPr>
                  <w:t>16. Išlaidų tinkamumo finansuoti reikalavimai</w:t>
                </w:r>
              </w:p>
            </w:tc>
          </w:tr>
          <w:tr w:rsidR="005E51E3">
            <w:tc>
              <w:tcPr>
                <w:tcW w:w="14709" w:type="dxa"/>
              </w:tcPr>
              <w:p w:rsidR="005E51E3" w:rsidRDefault="00A47E9A">
                <w:pPr>
                  <w:jc w:val="both"/>
                  <w:rPr>
                    <w:bCs/>
                    <w:sz w:val="22"/>
                    <w:szCs w:val="22"/>
                  </w:rPr>
                </w:pPr>
                <w:r>
                  <w:rPr>
                    <w:bCs/>
                    <w:sz w:val="22"/>
                    <w:szCs w:val="22"/>
                  </w:rPr>
                  <w:t xml:space="preserve">16.1. Didžiausia galima projektų finansuojamoji dalis sudaro 100 proc. visų tinkamų finansuoti projekto išlaidų. Pareiškėjas savo iniciatyva ir savo, ir (arba) kitų šaltinių lėšomis gali prisidėti prie </w:t>
                </w:r>
                <w:r>
                  <w:rPr>
                    <w:bCs/>
                    <w:sz w:val="22"/>
                    <w:szCs w:val="22"/>
                  </w:rPr>
                  <w:t>projektų įgyvendinimo. </w:t>
                </w:r>
              </w:p>
              <w:p w:rsidR="005E51E3" w:rsidRDefault="00A47E9A">
                <w:pPr>
                  <w:jc w:val="both"/>
                  <w:rPr>
                    <w:bCs/>
                    <w:sz w:val="22"/>
                    <w:szCs w:val="22"/>
                  </w:rPr>
                </w:pPr>
                <w:r>
                  <w:rPr>
                    <w:bCs/>
                    <w:sz w:val="22"/>
                    <w:szCs w:val="22"/>
                  </w:rPr>
                  <w:t>16.2. Projektų tinkamų finansuoti išlaidų dalis, kurios nepadengia projektams skiriamo finansavimo lėšos, turi būti finansuojama iš projektų vykdytojo lėšų. </w:t>
                </w:r>
              </w:p>
              <w:p w:rsidR="005E51E3" w:rsidRDefault="00A47E9A">
                <w:pPr>
                  <w:jc w:val="both"/>
                  <w:rPr>
                    <w:bCs/>
                    <w:sz w:val="22"/>
                    <w:szCs w:val="22"/>
                  </w:rPr>
                </w:pPr>
                <w:r>
                  <w:rPr>
                    <w:bCs/>
                    <w:sz w:val="22"/>
                    <w:szCs w:val="22"/>
                  </w:rPr>
                  <w:t>16.3. Planuojamos išlaidos turi atitikti PAFT VII skyriuje išdėstytus proj</w:t>
                </w:r>
                <w:r>
                  <w:rPr>
                    <w:bCs/>
                    <w:sz w:val="22"/>
                    <w:szCs w:val="22"/>
                  </w:rPr>
                  <w:t>ektų išlaidoms taikomus reikalavimus. </w:t>
                </w:r>
              </w:p>
              <w:p w:rsidR="005E51E3" w:rsidRDefault="00A47E9A">
                <w:pPr>
                  <w:jc w:val="both"/>
                  <w:rPr>
                    <w:bCs/>
                    <w:sz w:val="22"/>
                    <w:szCs w:val="22"/>
                  </w:rPr>
                </w:pPr>
                <w:r>
                  <w:rPr>
                    <w:bCs/>
                    <w:sz w:val="22"/>
                    <w:szCs w:val="22"/>
                  </w:rPr>
                  <w:t>16.4. Projektų vykdytojui gali būti išmokamas avansas iki 30 proc. tinkamų finansuoti projektų išlaidų. Projektų išlaidos gali būti patirtos iki projekto sutarties pasirašymo, jei tai neprieštarauja PAFT 294 punkto nu</w:t>
                </w:r>
                <w:r>
                  <w:rPr>
                    <w:bCs/>
                    <w:sz w:val="22"/>
                    <w:szCs w:val="22"/>
                  </w:rPr>
                  <w:t>ostatoms. </w:t>
                </w:r>
              </w:p>
              <w:p w:rsidR="005E51E3" w:rsidRDefault="00A47E9A">
                <w:pPr>
                  <w:jc w:val="both"/>
                  <w:rPr>
                    <w:bCs/>
                    <w:sz w:val="22"/>
                    <w:szCs w:val="22"/>
                  </w:rPr>
                </w:pPr>
                <w:r>
                  <w:rPr>
                    <w:bCs/>
                    <w:sz w:val="22"/>
                    <w:szCs w:val="22"/>
                  </w:rPr>
                  <w:t>16.5. Pagal Aprašą tinkamos išlaidos yra šios: </w:t>
                </w:r>
              </w:p>
              <w:p w:rsidR="005E51E3" w:rsidRDefault="00A47E9A">
                <w:pPr>
                  <w:jc w:val="both"/>
                  <w:rPr>
                    <w:bCs/>
                    <w:sz w:val="22"/>
                    <w:szCs w:val="22"/>
                  </w:rPr>
                </w:pPr>
                <w:r>
                  <w:rPr>
                    <w:bCs/>
                    <w:sz w:val="22"/>
                    <w:szCs w:val="22"/>
                  </w:rPr>
                  <w:t>16.5.1. darbo užmokestis, kvalifikacijos tobulinimo, mokymų išlaidos, švietimo ekspertų paslaugos, renginių organizavimas, mokymo priemonės licencijos, metodikos, komandiruotės ir vizitai, kitos pa</w:t>
                </w:r>
                <w:r>
                  <w:rPr>
                    <w:bCs/>
                    <w:sz w:val="22"/>
                    <w:szCs w:val="22"/>
                  </w:rPr>
                  <w:t>slaugos ir prekės, reikalingos veikloms įgyvendinti; </w:t>
                </w:r>
              </w:p>
              <w:p w:rsidR="005E51E3" w:rsidRDefault="00A47E9A">
                <w:pPr>
                  <w:jc w:val="both"/>
                  <w:rPr>
                    <w:bCs/>
                    <w:sz w:val="22"/>
                    <w:szCs w:val="22"/>
                  </w:rPr>
                </w:pPr>
                <w:r>
                  <w:rPr>
                    <w:bCs/>
                    <w:sz w:val="22"/>
                    <w:szCs w:val="22"/>
                  </w:rPr>
                  <w:t>16.5.2. privalomos projektų matomumo ir informavimo apie projektus priemonės pagal PAFT 340 ir 341 punktus;  </w:t>
                </w:r>
              </w:p>
              <w:p w:rsidR="005E51E3" w:rsidRDefault="00A47E9A">
                <w:pPr>
                  <w:jc w:val="both"/>
                  <w:rPr>
                    <w:b/>
                    <w:sz w:val="22"/>
                    <w:szCs w:val="22"/>
                  </w:rPr>
                </w:pPr>
                <w:r>
                  <w:rPr>
                    <w:bCs/>
                    <w:sz w:val="22"/>
                    <w:szCs w:val="22"/>
                  </w:rPr>
                  <w:t>16.5.3. išlaidos, kurios aptartos Aprašo 17 punkte.</w:t>
                </w:r>
              </w:p>
            </w:tc>
          </w:tr>
        </w:tbl>
        <w:p w:rsidR="005E51E3" w:rsidRDefault="005E51E3"/>
        <w:p w:rsidR="005E51E3" w:rsidRDefault="00A47E9A">
          <w:pPr>
            <w:jc w:val="center"/>
            <w:rPr>
              <w:b/>
              <w:szCs w:val="24"/>
            </w:rPr>
          </w:pPr>
          <w:r>
            <w:rPr>
              <w:b/>
              <w:szCs w:val="24"/>
            </w:rPr>
            <w:t>IV</w:t>
          </w:r>
          <w:r>
            <w:rPr>
              <w:b/>
              <w:szCs w:val="24"/>
            </w:rPr>
            <w:t xml:space="preserve"> SKYRIUS</w:t>
          </w:r>
        </w:p>
        <w:p w:rsidR="005E51E3" w:rsidRDefault="00A47E9A">
          <w:pPr>
            <w:jc w:val="center"/>
            <w:rPr>
              <w:b/>
              <w:szCs w:val="24"/>
            </w:rPr>
          </w:pPr>
          <w:r>
            <w:rPr>
              <w:b/>
              <w:szCs w:val="24"/>
            </w:rPr>
            <w:t>SUPAPRASTINTAI APMOKAMŲ</w:t>
          </w:r>
          <w:r>
            <w:rPr>
              <w:b/>
              <w:szCs w:val="24"/>
            </w:rPr>
            <w:t xml:space="preserve"> IŠLAIDŲ DYDŽIAI</w:t>
          </w:r>
        </w:p>
        <w:p w:rsidR="005E51E3" w:rsidRDefault="005E51E3"/>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5E51E3">
            <w:trPr>
              <w:trHeight w:val="349"/>
            </w:trPr>
            <w:tc>
              <w:tcPr>
                <w:tcW w:w="14709" w:type="dxa"/>
              </w:tcPr>
              <w:p w:rsidR="005E51E3" w:rsidRDefault="00A47E9A">
                <w:pPr>
                  <w:jc w:val="both"/>
                  <w:rPr>
                    <w:sz w:val="22"/>
                    <w:szCs w:val="22"/>
                  </w:rPr>
                </w:pPr>
                <w:r>
                  <w:rPr>
                    <w:b/>
                    <w:sz w:val="22"/>
                    <w:szCs w:val="22"/>
                  </w:rPr>
                  <w:t>17. Projektų veiklų įgyvendinimui taikomi supaprastintai apmokamų išlaidų dydžiai</w:t>
                </w:r>
              </w:p>
            </w:tc>
          </w:tr>
          <w:tr w:rsidR="005E51E3">
            <w:tc>
              <w:tcPr>
                <w:tcW w:w="14709" w:type="dxa"/>
              </w:tcPr>
              <w:p w:rsidR="005E51E3" w:rsidRDefault="00A47E9A">
                <w:pPr>
                  <w:jc w:val="both"/>
                  <w:rPr>
                    <w:sz w:val="22"/>
                    <w:szCs w:val="22"/>
                  </w:rPr>
                </w:pPr>
                <w:r>
                  <w:rPr>
                    <w:sz w:val="22"/>
                    <w:szCs w:val="22"/>
                  </w:rPr>
                  <w:t>17.1. Supaprastintai apmokamos išlaidos yra tinkamos finansuoti, jei galimybė jas apmokėti supaprastintai iš anksto (iki projekto sutarties sudarymo) yra</w:t>
                </w:r>
                <w:r>
                  <w:rPr>
                    <w:sz w:val="22"/>
                    <w:szCs w:val="22"/>
                  </w:rPr>
                  <w:t xml:space="preserve"> įtraukta į Supaprastintai apmokamų išlaidų dydžių registrą, skelbiamą Europos socialinio fondo agentūros interneto svetainės www.esf.lt skiltyje „Metodinės pagalbos centras“.</w:t>
                </w:r>
              </w:p>
              <w:p w:rsidR="005E51E3" w:rsidRDefault="00A47E9A">
                <w:pPr>
                  <w:jc w:val="both"/>
                  <w:rPr>
                    <w:sz w:val="22"/>
                    <w:szCs w:val="22"/>
                  </w:rPr>
                </w:pPr>
                <w:r>
                  <w:rPr>
                    <w:sz w:val="22"/>
                    <w:szCs w:val="22"/>
                  </w:rPr>
                  <w:t xml:space="preserve">17.2. Supaprastintai apmokamų išlaidų dydžiai gali būti įtraukti ir po projektų </w:t>
                </w:r>
                <w:r>
                  <w:rPr>
                    <w:sz w:val="22"/>
                    <w:szCs w:val="22"/>
                  </w:rPr>
                  <w:t xml:space="preserve">sutarčių pasirašymo laikotarpiu nuo 2020 m. vasario 1 d. iki 2026 m. rugpjūčio 31 d. </w:t>
                </w:r>
              </w:p>
              <w:p w:rsidR="005E51E3" w:rsidRDefault="00A47E9A">
                <w:pPr>
                  <w:jc w:val="both"/>
                  <w:rPr>
                    <w:sz w:val="22"/>
                    <w:szCs w:val="22"/>
                  </w:rPr>
                </w:pPr>
                <w:r>
                  <w:rPr>
                    <w:sz w:val="22"/>
                    <w:szCs w:val="22"/>
                  </w:rPr>
                  <w:t>17.3. Projektų įgyvendinimo metu Administruojančiai ar audito institucijoms nustačius, kad fiksuotosios sumos ar fiksuotosios normos buvo netinkamai nustatytos, patikslin</w:t>
                </w:r>
                <w:r>
                  <w:rPr>
                    <w:sz w:val="22"/>
                    <w:szCs w:val="22"/>
                  </w:rPr>
                  <w:t>ti dydžiai ar jų taikymo sąlygos taikomi projektų veiksmų, vykdomų nuo dydžių ar jų taikymo sąlygų patikslinimo įsigaliojimo dienos, išlaidoms apmokėti.</w:t>
                </w:r>
              </w:p>
              <w:p w:rsidR="005E51E3" w:rsidRDefault="00A47E9A">
                <w:pPr>
                  <w:jc w:val="both"/>
                  <w:rPr>
                    <w:sz w:val="22"/>
                    <w:szCs w:val="22"/>
                  </w:rPr>
                </w:pPr>
                <w:r>
                  <w:rPr>
                    <w:sz w:val="22"/>
                    <w:szCs w:val="22"/>
                  </w:rPr>
                  <w:t xml:space="preserve">17.4. </w:t>
                </w:r>
                <w:r>
                  <w:rPr>
                    <w:bCs/>
                    <w:color w:val="000000"/>
                    <w:sz w:val="22"/>
                    <w:szCs w:val="22"/>
                  </w:rPr>
                  <w:t>Pagal Aprašą taikomi šie fiksuotieji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268"/>
                  <w:gridCol w:w="1701"/>
                  <w:gridCol w:w="2268"/>
                  <w:gridCol w:w="6057"/>
                </w:tblGrid>
                <w:tr w:rsidR="005E51E3">
                  <w:tc>
                    <w:tcPr>
                      <w:tcW w:w="14449" w:type="dxa"/>
                      <w:gridSpan w:val="5"/>
                    </w:tcPr>
                    <w:p w:rsidR="005E51E3" w:rsidRDefault="00A47E9A">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5E51E3" w:rsidRDefault="00A47E9A">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rsidR="005E51E3">
                  <w:tc>
                    <w:tcPr>
                      <w:tcW w:w="2155" w:type="dxa"/>
                      <w:vAlign w:val="center"/>
                    </w:tcPr>
                    <w:p w:rsidR="005E51E3" w:rsidRDefault="00A47E9A">
                      <w:pPr>
                        <w:jc w:val="center"/>
                        <w:rPr>
                          <w:b/>
                          <w:bCs/>
                          <w:sz w:val="22"/>
                          <w:szCs w:val="22"/>
                        </w:rPr>
                      </w:pPr>
                      <w:r>
                        <w:rPr>
                          <w:b/>
                          <w:bCs/>
                          <w:sz w:val="22"/>
                          <w:szCs w:val="22"/>
                        </w:rPr>
                        <w:t>Veiklos ir (ar) iš</w:t>
                      </w:r>
                      <w:r>
                        <w:rPr>
                          <w:b/>
                          <w:bCs/>
                          <w:sz w:val="22"/>
                          <w:szCs w:val="22"/>
                        </w:rPr>
                        <w:t>laidos, kurioms taikomi supaprastintai apmokamų išlaidų dydžiai</w:t>
                      </w:r>
                    </w:p>
                  </w:tc>
                  <w:tc>
                    <w:tcPr>
                      <w:tcW w:w="2268" w:type="dxa"/>
                      <w:vAlign w:val="center"/>
                    </w:tcPr>
                    <w:p w:rsidR="005E51E3" w:rsidRDefault="00A47E9A">
                      <w:pPr>
                        <w:jc w:val="center"/>
                        <w:rPr>
                          <w:b/>
                          <w:bCs/>
                          <w:sz w:val="22"/>
                          <w:szCs w:val="22"/>
                        </w:rPr>
                      </w:pPr>
                      <w:r>
                        <w:rPr>
                          <w:b/>
                          <w:bCs/>
                          <w:sz w:val="22"/>
                          <w:szCs w:val="22"/>
                        </w:rPr>
                        <w:t>Supaprastintai apmokamų išlaidų dydžio kodas</w:t>
                      </w:r>
                    </w:p>
                  </w:tc>
                  <w:tc>
                    <w:tcPr>
                      <w:tcW w:w="1701" w:type="dxa"/>
                      <w:vAlign w:val="center"/>
                    </w:tcPr>
                    <w:p w:rsidR="005E51E3" w:rsidRDefault="00A47E9A">
                      <w:pPr>
                        <w:jc w:val="center"/>
                        <w:rPr>
                          <w:b/>
                          <w:bCs/>
                          <w:i/>
                          <w:iCs/>
                          <w:color w:val="808080"/>
                          <w:sz w:val="22"/>
                          <w:szCs w:val="22"/>
                        </w:rPr>
                      </w:pPr>
                      <w:r>
                        <w:rPr>
                          <w:b/>
                          <w:bCs/>
                          <w:sz w:val="22"/>
                          <w:szCs w:val="22"/>
                        </w:rPr>
                        <w:t>Supaprastintai apmokamų išlaidų dydžio versija</w:t>
                      </w:r>
                    </w:p>
                  </w:tc>
                  <w:tc>
                    <w:tcPr>
                      <w:tcW w:w="2268" w:type="dxa"/>
                      <w:vAlign w:val="center"/>
                    </w:tcPr>
                    <w:p w:rsidR="005E51E3" w:rsidRDefault="00A47E9A">
                      <w:pPr>
                        <w:jc w:val="center"/>
                        <w:rPr>
                          <w:b/>
                          <w:bCs/>
                          <w:sz w:val="22"/>
                          <w:szCs w:val="22"/>
                        </w:rPr>
                      </w:pPr>
                      <w:r>
                        <w:rPr>
                          <w:b/>
                          <w:bCs/>
                          <w:sz w:val="22"/>
                          <w:szCs w:val="22"/>
                        </w:rPr>
                        <w:t>Supaprastintai apmokamų išlaidų dydžio pavadinimas</w:t>
                      </w:r>
                    </w:p>
                  </w:tc>
                  <w:tc>
                    <w:tcPr>
                      <w:tcW w:w="6057" w:type="dxa"/>
                      <w:vAlign w:val="center"/>
                    </w:tcPr>
                    <w:p w:rsidR="005E51E3" w:rsidRDefault="00A47E9A">
                      <w:pPr>
                        <w:jc w:val="center"/>
                        <w:rPr>
                          <w:b/>
                          <w:bCs/>
                          <w:sz w:val="22"/>
                          <w:szCs w:val="22"/>
                        </w:rPr>
                      </w:pPr>
                      <w:r>
                        <w:rPr>
                          <w:b/>
                          <w:bCs/>
                          <w:sz w:val="22"/>
                          <w:szCs w:val="22"/>
                        </w:rPr>
                        <w:t>Papildoma informacija</w:t>
                      </w:r>
                    </w:p>
                  </w:tc>
                </w:tr>
                <w:tr w:rsidR="005E51E3">
                  <w:tc>
                    <w:tcPr>
                      <w:tcW w:w="2155" w:type="dxa"/>
                    </w:tcPr>
                    <w:p w:rsidR="005E51E3" w:rsidRDefault="00A47E9A">
                      <w:pPr>
                        <w:ind w:firstLine="62"/>
                        <w:jc w:val="center"/>
                        <w:rPr>
                          <w:i/>
                          <w:iCs/>
                          <w:sz w:val="22"/>
                          <w:szCs w:val="22"/>
                        </w:rPr>
                      </w:pPr>
                      <w:r>
                        <w:rPr>
                          <w:sz w:val="22"/>
                          <w:szCs w:val="22"/>
                        </w:rPr>
                        <w:t xml:space="preserve">Netiesioginės projekto </w:t>
                      </w:r>
                      <w:r>
                        <w:rPr>
                          <w:sz w:val="22"/>
                          <w:szCs w:val="22"/>
                        </w:rPr>
                        <w:t>veiklos ir išlaidos joms apmokėti</w:t>
                      </w:r>
                    </w:p>
                  </w:tc>
                  <w:tc>
                    <w:tcPr>
                      <w:tcW w:w="2268" w:type="dxa"/>
                    </w:tcPr>
                    <w:p w:rsidR="005E51E3" w:rsidRDefault="00A47E9A">
                      <w:pPr>
                        <w:jc w:val="center"/>
                        <w:rPr>
                          <w:i/>
                          <w:iCs/>
                          <w:sz w:val="22"/>
                          <w:szCs w:val="22"/>
                        </w:rPr>
                      </w:pPr>
                      <w:r>
                        <w:rPr>
                          <w:sz w:val="22"/>
                          <w:szCs w:val="22"/>
                          <w:lang w:eastAsia="lt-LT"/>
                        </w:rPr>
                        <w:t>FN-01</w:t>
                      </w:r>
                    </w:p>
                  </w:tc>
                  <w:tc>
                    <w:tcPr>
                      <w:tcW w:w="1701" w:type="dxa"/>
                    </w:tcPr>
                    <w:p w:rsidR="005E51E3" w:rsidRDefault="005E51E3">
                      <w:pPr>
                        <w:jc w:val="center"/>
                        <w:rPr>
                          <w:i/>
                          <w:iCs/>
                          <w:sz w:val="22"/>
                          <w:szCs w:val="22"/>
                        </w:rPr>
                      </w:pPr>
                    </w:p>
                  </w:tc>
                  <w:tc>
                    <w:tcPr>
                      <w:tcW w:w="2268" w:type="dxa"/>
                    </w:tcPr>
                    <w:p w:rsidR="005E51E3" w:rsidRDefault="00A47E9A">
                      <w:pPr>
                        <w:jc w:val="center"/>
                        <w:rPr>
                          <w:i/>
                          <w:iCs/>
                          <w:sz w:val="22"/>
                          <w:szCs w:val="22"/>
                        </w:rPr>
                      </w:pPr>
                      <w:r>
                        <w:rPr>
                          <w:sz w:val="22"/>
                          <w:szCs w:val="22"/>
                          <w:lang w:eastAsia="lt-LT"/>
                        </w:rPr>
                        <w:t>Fiksuotoji norma netiesioginėms projekto išlaidoms</w:t>
                      </w:r>
                    </w:p>
                  </w:tc>
                  <w:tc>
                    <w:tcPr>
                      <w:tcW w:w="6057" w:type="dxa"/>
                    </w:tcPr>
                    <w:p w:rsidR="005E51E3" w:rsidRDefault="00A47E9A">
                      <w:pPr>
                        <w:jc w:val="center"/>
                        <w:rPr>
                          <w:i/>
                          <w:iCs/>
                          <w:sz w:val="22"/>
                          <w:szCs w:val="22"/>
                        </w:rPr>
                      </w:pPr>
                      <w:r>
                        <w:rPr>
                          <w:iCs/>
                          <w:sz w:val="22"/>
                          <w:szCs w:val="22"/>
                        </w:rPr>
                        <w:t>Netiesioginės projekto išlaidos skaičiuojamos nuo tinkamų finansuoti tiesioginių projekto išlaidų (7 proc.).</w:t>
                      </w:r>
                    </w:p>
                  </w:tc>
                </w:tr>
                <w:tr w:rsidR="005E51E3">
                  <w:tc>
                    <w:tcPr>
                      <w:tcW w:w="2155" w:type="dxa"/>
                    </w:tcPr>
                    <w:p w:rsidR="005E51E3" w:rsidRDefault="00A47E9A">
                      <w:pPr>
                        <w:ind w:firstLine="62"/>
                        <w:jc w:val="center"/>
                        <w:rPr>
                          <w:i/>
                          <w:iCs/>
                          <w:sz w:val="22"/>
                          <w:szCs w:val="22"/>
                        </w:rPr>
                      </w:pPr>
                      <w:r>
                        <w:rPr>
                          <w:sz w:val="22"/>
                          <w:szCs w:val="22"/>
                        </w:rPr>
                        <w:t xml:space="preserve">Privalomos projektų matomumo ir informavimo apie </w:t>
                      </w:r>
                      <w:r>
                        <w:rPr>
                          <w:sz w:val="22"/>
                          <w:szCs w:val="22"/>
                        </w:rPr>
                        <w:t>projektus priemonės bei išlaidos</w:t>
                      </w:r>
                    </w:p>
                  </w:tc>
                  <w:tc>
                    <w:tcPr>
                      <w:tcW w:w="2268" w:type="dxa"/>
                    </w:tcPr>
                    <w:p w:rsidR="005E51E3" w:rsidRDefault="00A47E9A">
                      <w:pPr>
                        <w:jc w:val="center"/>
                        <w:rPr>
                          <w:i/>
                          <w:iCs/>
                          <w:sz w:val="22"/>
                          <w:szCs w:val="22"/>
                        </w:rPr>
                      </w:pPr>
                      <w:r>
                        <w:rPr>
                          <w:sz w:val="22"/>
                          <w:szCs w:val="22"/>
                        </w:rPr>
                        <w:t>FS-01-02</w:t>
                      </w:r>
                    </w:p>
                  </w:tc>
                  <w:tc>
                    <w:tcPr>
                      <w:tcW w:w="1701" w:type="dxa"/>
                    </w:tcPr>
                    <w:p w:rsidR="005E51E3" w:rsidRDefault="005E51E3">
                      <w:pPr>
                        <w:jc w:val="center"/>
                        <w:rPr>
                          <w:i/>
                          <w:iCs/>
                          <w:sz w:val="22"/>
                          <w:szCs w:val="22"/>
                        </w:rPr>
                      </w:pPr>
                    </w:p>
                  </w:tc>
                  <w:tc>
                    <w:tcPr>
                      <w:tcW w:w="2268" w:type="dxa"/>
                    </w:tcPr>
                    <w:p w:rsidR="005E51E3" w:rsidRDefault="00A47E9A">
                      <w:pPr>
                        <w:jc w:val="center"/>
                        <w:rPr>
                          <w:i/>
                          <w:iCs/>
                          <w:sz w:val="22"/>
                          <w:szCs w:val="22"/>
                        </w:rPr>
                      </w:pPr>
                      <w:r>
                        <w:rPr>
                          <w:sz w:val="22"/>
                          <w:szCs w:val="22"/>
                        </w:rPr>
                        <w:t>Įgyvendintų privalomų matomumo ir informavimo priemonių apie ES fondų investicijų veiklas fiksuotoji suma, pirmojo rinkinio FS su PVM</w:t>
                      </w:r>
                    </w:p>
                  </w:tc>
                  <w:tc>
                    <w:tcPr>
                      <w:tcW w:w="6057" w:type="dxa"/>
                    </w:tcPr>
                    <w:p w:rsidR="005E51E3" w:rsidRDefault="00A47E9A">
                      <w:pPr>
                        <w:jc w:val="center"/>
                        <w:rPr>
                          <w:sz w:val="22"/>
                          <w:szCs w:val="22"/>
                        </w:rPr>
                      </w:pPr>
                      <w:r>
                        <w:rPr>
                          <w:sz w:val="22"/>
                          <w:szCs w:val="22"/>
                        </w:rPr>
                        <w:t>Fiksuotąją sumą sudaro visų pirmojo privalomų matomumo ir informavimo priemonių</w:t>
                      </w:r>
                      <w:r>
                        <w:rPr>
                          <w:sz w:val="22"/>
                          <w:szCs w:val="22"/>
                        </w:rPr>
                        <w:t xml:space="preserve"> rinkinio išlaidos, kai:</w:t>
                      </w:r>
                    </w:p>
                    <w:p w:rsidR="005E51E3" w:rsidRDefault="00A47E9A">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w:t>
                      </w:r>
                      <w:r>
                        <w:rPr>
                          <w:sz w:val="22"/>
                          <w:szCs w:val="22"/>
                        </w:rPr>
                        <w:t>roporcingas paramos dydžiui, bei informavimas apie iš ES gaunamą finansinę paramą;</w:t>
                      </w:r>
                    </w:p>
                    <w:p w:rsidR="005E51E3" w:rsidRDefault="00A47E9A">
                      <w:pPr>
                        <w:jc w:val="center"/>
                        <w:rPr>
                          <w:sz w:val="22"/>
                          <w:szCs w:val="22"/>
                        </w:rPr>
                      </w:pPr>
                      <w:r>
                        <w:rPr>
                          <w:sz w:val="22"/>
                          <w:szCs w:val="22"/>
                        </w:rPr>
                        <w:t>b) projekto įgyvendinimo pradžioje visuomenei gerai matomoje vietoje pakabintas bent vienas ne mažesnio nei A3 formato spausdintas skelbimas (plakatas) arba elektroniniame e</w:t>
                      </w:r>
                      <w:r>
                        <w:rPr>
                          <w:sz w:val="22"/>
                          <w:szCs w:val="22"/>
                        </w:rPr>
                        <w:t>krane paskelbtas lygiavertis pranešimas, kuriame turi būti pateikta informacija apie veiksmą, akcentuojant iš ES gaunamą finansinę paramą;</w:t>
                      </w:r>
                    </w:p>
                    <w:p w:rsidR="005E51E3" w:rsidRDefault="00A47E9A">
                      <w:pPr>
                        <w:jc w:val="center"/>
                        <w:rPr>
                          <w:sz w:val="22"/>
                          <w:szCs w:val="22"/>
                        </w:rPr>
                      </w:pPr>
                      <w:r>
                        <w:rPr>
                          <w:sz w:val="22"/>
                          <w:szCs w:val="22"/>
                        </w:rPr>
                        <w:t>c) visuomenei arba dalyviams skirtuose dokumentuose ir komunikacijos medžiagoje, susijusioje su veiksmo įgyvendinimu,</w:t>
                      </w:r>
                      <w:r>
                        <w:rPr>
                          <w:sz w:val="22"/>
                          <w:szCs w:val="22"/>
                        </w:rPr>
                        <w:t xml:space="preserve"> gerai matomai pateiktas pareiškimas, kuriame akcentuojama gaunama ES parama.</w:t>
                      </w:r>
                    </w:p>
                  </w:tc>
                </w:tr>
                <w:tr w:rsidR="005E51E3">
                  <w:tc>
                    <w:tcPr>
                      <w:tcW w:w="2155" w:type="dxa"/>
                    </w:tcPr>
                    <w:p w:rsidR="005E51E3" w:rsidRDefault="005E51E3">
                      <w:pPr>
                        <w:rPr>
                          <w:sz w:val="8"/>
                          <w:szCs w:val="8"/>
                        </w:rPr>
                      </w:pPr>
                    </w:p>
                    <w:p w:rsidR="005E51E3" w:rsidRDefault="00A47E9A">
                      <w:pPr>
                        <w:overflowPunct w:val="0"/>
                        <w:ind w:firstLine="62"/>
                        <w:jc w:val="center"/>
                        <w:textAlignment w:val="baseline"/>
                        <w:rPr>
                          <w:sz w:val="22"/>
                          <w:szCs w:val="22"/>
                          <w:lang w:eastAsia="lt-LT"/>
                        </w:rPr>
                      </w:pPr>
                      <w:r>
                        <w:rPr>
                          <w:sz w:val="22"/>
                          <w:szCs w:val="22"/>
                          <w:lang w:eastAsia="lt-LT"/>
                        </w:rPr>
                        <w:t>Privalomos projektų matomumo ir informavimo apie projektus priemonės ir išlaidos</w:t>
                      </w:r>
                    </w:p>
                  </w:tc>
                  <w:tc>
                    <w:tcPr>
                      <w:tcW w:w="2268" w:type="dxa"/>
                    </w:tcPr>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t>FS-01-01</w:t>
                      </w:r>
                    </w:p>
                  </w:tc>
                  <w:tc>
                    <w:tcPr>
                      <w:tcW w:w="1701" w:type="dxa"/>
                    </w:tcPr>
                    <w:p w:rsidR="005E51E3" w:rsidRDefault="005E51E3">
                      <w:pPr>
                        <w:rPr>
                          <w:sz w:val="8"/>
                          <w:szCs w:val="8"/>
                        </w:rPr>
                      </w:pPr>
                    </w:p>
                    <w:p w:rsidR="005E51E3" w:rsidRDefault="005E51E3">
                      <w:pPr>
                        <w:overflowPunct w:val="0"/>
                        <w:jc w:val="center"/>
                        <w:textAlignment w:val="baseline"/>
                        <w:rPr>
                          <w:sz w:val="22"/>
                          <w:szCs w:val="22"/>
                          <w:lang w:eastAsia="lt-LT"/>
                        </w:rPr>
                      </w:pPr>
                    </w:p>
                  </w:tc>
                  <w:tc>
                    <w:tcPr>
                      <w:tcW w:w="2268" w:type="dxa"/>
                    </w:tcPr>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t xml:space="preserve">Įgyvendintų privalomų matomumo ir informavimo priemonių apie Europos Sąjungos </w:t>
                      </w:r>
                      <w:r>
                        <w:rPr>
                          <w:sz w:val="22"/>
                          <w:szCs w:val="22"/>
                          <w:lang w:eastAsia="lt-LT"/>
                        </w:rPr>
                        <w:t>fondų investicijų veiklas fiksuotoji suma, pirmojo rinkinio FS be PVM</w:t>
                      </w:r>
                    </w:p>
                  </w:tc>
                  <w:tc>
                    <w:tcPr>
                      <w:tcW w:w="6057" w:type="dxa"/>
                    </w:tcPr>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t>Fiksuotąją sumą sudaro visų pirmojo privalomų matomumo ir informavimo priemonių rinkinio išlaidos, kai:</w:t>
                      </w:r>
                    </w:p>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t>a) projekto įgyvendinimo pradžioje projekto vykdytojo oficialioje interneto svet</w:t>
                      </w:r>
                      <w:r>
                        <w:rPr>
                          <w:sz w:val="22"/>
                          <w:szCs w:val="22"/>
                          <w:lang w:eastAsia="lt-LT"/>
                        </w:rPr>
                        <w:t>ainėje, jei tokia yra, ir socialinės žiniasklaidos svetainėse paskelbta informacija – trumpas veiksmo, įskaitant jo tikslus ir rezultatus, aprašymas, proporcingas paramos dydžiui, bei informavimas apie iš ES gaunamą finansinę paramą;</w:t>
                      </w:r>
                    </w:p>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t>b) projekto įgyvendin</w:t>
                      </w:r>
                      <w:r>
                        <w:rPr>
                          <w:sz w:val="22"/>
                          <w:szCs w:val="22"/>
                          <w:lang w:eastAsia="lt-LT"/>
                        </w:rPr>
                        <w:t>imo pradžioje visuomenei gerai matomoje vietoje pakabintas bent vienas ne mažesnio nei A3 formato spausdintas skelbimas (plakatas) arba elektroniniame ekrane paskelbtas lygiavertis pranešimas, kuriame turi būti pateikta informacija apie veiksmą, akcentuoja</w:t>
                      </w:r>
                      <w:r>
                        <w:rPr>
                          <w:sz w:val="22"/>
                          <w:szCs w:val="22"/>
                          <w:lang w:eastAsia="lt-LT"/>
                        </w:rPr>
                        <w:t>nt iš ES gaunamą finansinę paramą;</w:t>
                      </w:r>
                    </w:p>
                    <w:p w:rsidR="005E51E3" w:rsidRDefault="005E51E3">
                      <w:pPr>
                        <w:rPr>
                          <w:sz w:val="8"/>
                          <w:szCs w:val="8"/>
                        </w:rPr>
                      </w:pPr>
                    </w:p>
                    <w:p w:rsidR="005E51E3" w:rsidRDefault="00A47E9A">
                      <w:pPr>
                        <w:overflowPunct w:val="0"/>
                        <w:jc w:val="center"/>
                        <w:textAlignment w:val="baseline"/>
                        <w:rPr>
                          <w:sz w:val="22"/>
                          <w:szCs w:val="22"/>
                          <w:lang w:eastAsia="lt-LT"/>
                        </w:rPr>
                      </w:pPr>
                      <w:r>
                        <w:rPr>
                          <w:sz w:val="22"/>
                          <w:szCs w:val="22"/>
                          <w:lang w:eastAsia="lt-LT"/>
                        </w:rPr>
                        <w:t>c) visuomenei arba dalyviams skirtuose dokumentuose ir komunikacijos medžiagoje, susijusioje su veiksmo įgyvendinimu, gerai matomai pateiktas pareiškimas, kuriame akcentuojama gaunama ES parama.</w:t>
                      </w:r>
                    </w:p>
                  </w:tc>
                </w:tr>
                <w:tr w:rsidR="005E51E3">
                  <w:trPr>
                    <w:trHeight w:val="556"/>
                  </w:trPr>
                  <w:tc>
                    <w:tcPr>
                      <w:tcW w:w="2155" w:type="dxa"/>
                    </w:tcPr>
                    <w:p w:rsidR="005E51E3" w:rsidRDefault="00A47E9A">
                      <w:pPr>
                        <w:jc w:val="center"/>
                        <w:rPr>
                          <w:sz w:val="22"/>
                          <w:szCs w:val="22"/>
                        </w:rPr>
                      </w:pPr>
                      <w:r>
                        <w:t xml:space="preserve">Privalomos matomumo ir </w:t>
                      </w:r>
                      <w:r>
                        <w:t>informavimo priemonės apie ES fondų investicijų veiklas</w:t>
                      </w:r>
                    </w:p>
                  </w:tc>
                  <w:tc>
                    <w:tcPr>
                      <w:tcW w:w="2268" w:type="dxa"/>
                    </w:tcPr>
                    <w:p w:rsidR="005E51E3" w:rsidRDefault="00A47E9A">
                      <w:pPr>
                        <w:jc w:val="center"/>
                        <w:rPr>
                          <w:sz w:val="22"/>
                          <w:szCs w:val="22"/>
                        </w:rPr>
                      </w:pPr>
                      <w:r>
                        <w:t>FS-01-03</w:t>
                      </w: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t>Įgyvendintų privalomų matomumo ir informavimo priemonių apie ES fondų investicijų veiklas fiksuotoji suma, antrojo rinkinio FS be PVM</w:t>
                      </w:r>
                    </w:p>
                  </w:tc>
                  <w:tc>
                    <w:tcPr>
                      <w:tcW w:w="6057" w:type="dxa"/>
                    </w:tcPr>
                    <w:p w:rsidR="005E51E3" w:rsidRDefault="005E51E3">
                      <w:pPr>
                        <w:jc w:val="center"/>
                        <w:rPr>
                          <w:i/>
                          <w:iCs/>
                          <w:sz w:val="22"/>
                          <w:szCs w:val="22"/>
                        </w:rPr>
                      </w:pPr>
                    </w:p>
                  </w:tc>
                </w:tr>
                <w:tr w:rsidR="005E51E3">
                  <w:tc>
                    <w:tcPr>
                      <w:tcW w:w="2155" w:type="dxa"/>
                    </w:tcPr>
                    <w:p w:rsidR="005E51E3" w:rsidRDefault="00A47E9A">
                      <w:pPr>
                        <w:ind w:firstLine="62"/>
                        <w:jc w:val="center"/>
                        <w:rPr>
                          <w:sz w:val="22"/>
                          <w:szCs w:val="22"/>
                        </w:rPr>
                      </w:pPr>
                      <w:r>
                        <w:t xml:space="preserve">Privalomos matomumo ir informavimo priemonės apie ES </w:t>
                      </w:r>
                      <w:r>
                        <w:t>fondų investicijų veiklas</w:t>
                      </w:r>
                    </w:p>
                  </w:tc>
                  <w:tc>
                    <w:tcPr>
                      <w:tcW w:w="2268" w:type="dxa"/>
                    </w:tcPr>
                    <w:p w:rsidR="005E51E3" w:rsidRDefault="00A47E9A">
                      <w:pPr>
                        <w:jc w:val="center"/>
                        <w:rPr>
                          <w:sz w:val="22"/>
                          <w:szCs w:val="22"/>
                        </w:rPr>
                      </w:pPr>
                      <w:r>
                        <w:t>FS-01-04</w:t>
                      </w: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t>Įgyvendintų privalomų matomumo ir informavimo priemonių apie ES fondų investicijų veiklas fiksuotoji suma, antrojo rinkinio FS su PVM</w:t>
                      </w:r>
                    </w:p>
                  </w:tc>
                  <w:tc>
                    <w:tcPr>
                      <w:tcW w:w="6057" w:type="dxa"/>
                    </w:tcPr>
                    <w:p w:rsidR="005E51E3" w:rsidRDefault="005E51E3">
                      <w:pPr>
                        <w:jc w:val="center"/>
                        <w:rPr>
                          <w:iCs/>
                          <w:sz w:val="22"/>
                          <w:szCs w:val="22"/>
                        </w:rPr>
                      </w:pPr>
                    </w:p>
                  </w:tc>
                </w:tr>
                <w:tr w:rsidR="005E51E3">
                  <w:tc>
                    <w:tcPr>
                      <w:tcW w:w="2155" w:type="dxa"/>
                    </w:tcPr>
                    <w:p w:rsidR="005E51E3" w:rsidRDefault="00A47E9A">
                      <w:pPr>
                        <w:jc w:val="center"/>
                        <w:rPr>
                          <w:szCs w:val="24"/>
                        </w:rPr>
                      </w:pPr>
                      <w:r>
                        <w:rPr>
                          <w:szCs w:val="24"/>
                        </w:rPr>
                        <w:t xml:space="preserve">Projektą vykdančio personalo darbo užmokesčio išlaidų dalis per mėnesį, skirta kasmetinėms atostogoms, kuri apskaičiuojama nuo tinkamų finansuoti faktiškai patirtų darbo užmokesčio išlaidų už faktiškai dirbtą laiką </w:t>
                      </w:r>
                    </w:p>
                    <w:p w:rsidR="005E51E3" w:rsidRDefault="00A47E9A">
                      <w:pPr>
                        <w:ind w:firstLine="62"/>
                        <w:jc w:val="center"/>
                        <w:rPr>
                          <w:sz w:val="22"/>
                          <w:szCs w:val="22"/>
                        </w:rPr>
                      </w:pPr>
                      <w:r>
                        <w:rPr>
                          <w:szCs w:val="24"/>
                        </w:rPr>
                        <w:t>(8,63 proc.)</w:t>
                      </w:r>
                    </w:p>
                  </w:tc>
                  <w:tc>
                    <w:tcPr>
                      <w:tcW w:w="2268" w:type="dxa"/>
                    </w:tcPr>
                    <w:p w:rsidR="005E51E3" w:rsidRDefault="00A47E9A">
                      <w:pPr>
                        <w:jc w:val="center"/>
                        <w:rPr>
                          <w:sz w:val="22"/>
                          <w:szCs w:val="22"/>
                        </w:rPr>
                      </w:pPr>
                      <w:r>
                        <w:rPr>
                          <w:szCs w:val="24"/>
                        </w:rPr>
                        <w:t>FN-05-01</w:t>
                      </w: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 xml:space="preserve">Fiksuotoji norma </w:t>
                      </w:r>
                      <w:r>
                        <w:rPr>
                          <w:szCs w:val="24"/>
                        </w:rPr>
                        <w:t>taikoma, kai priklauso 20 darbo dienos (toliau – d. d.) (jeigu dirbama 5 d. d. per savaitę) arba 24 d. d. (jeigu dirbama 6 d. d. per savaitę) kasmetinės atostogos</w:t>
                      </w:r>
                    </w:p>
                  </w:tc>
                  <w:tc>
                    <w:tcPr>
                      <w:tcW w:w="6057" w:type="dxa"/>
                    </w:tcPr>
                    <w:p w:rsidR="005E51E3" w:rsidRDefault="00A47E9A">
                      <w:pPr>
                        <w:jc w:val="center"/>
                        <w:rPr>
                          <w:iCs/>
                          <w:sz w:val="22"/>
                          <w:szCs w:val="22"/>
                        </w:rPr>
                      </w:pPr>
                      <w:r>
                        <w:rPr>
                          <w:szCs w:val="24"/>
                        </w:rPr>
                        <w:t>Projektą vykdančio personalo darbo užmokesčio išlaidos už kasmetines atostogas, kurios apskai</w:t>
                      </w:r>
                      <w:r>
                        <w:rPr>
                          <w:szCs w:val="24"/>
                        </w:rPr>
                        <w:t>čiuojamos nuo tinkamų finansuoti faktiškai patirtų vykdančiojo personalo darbo užmokesčio išlaidų.</w:t>
                      </w:r>
                    </w:p>
                  </w:tc>
                </w:tr>
                <w:tr w:rsidR="005E51E3">
                  <w:tc>
                    <w:tcPr>
                      <w:tcW w:w="2155" w:type="dxa"/>
                    </w:tcPr>
                    <w:p w:rsidR="005E51E3" w:rsidRDefault="00A47E9A">
                      <w:pPr>
                        <w:jc w:val="center"/>
                        <w:rPr>
                          <w:szCs w:val="24"/>
                        </w:rPr>
                      </w:pPr>
                      <w:r>
                        <w:rPr>
                          <w:szCs w:val="24"/>
                        </w:rPr>
                        <w:t>Darbo užmokesčio išlaidų dalis per mėnesį, skirta kasmetinėms atostogoms, kuri apskaičiuojama nuo tinkamų finansuoti faktiškai patirtų darbo užmokesčio išla</w:t>
                      </w:r>
                      <w:r>
                        <w:rPr>
                          <w:szCs w:val="24"/>
                        </w:rPr>
                        <w:t xml:space="preserve">idų už faktiškai dirbtą laiką </w:t>
                      </w:r>
                    </w:p>
                    <w:p w:rsidR="005E51E3" w:rsidRDefault="00A47E9A">
                      <w:pPr>
                        <w:ind w:firstLine="62"/>
                        <w:jc w:val="center"/>
                        <w:rPr>
                          <w:sz w:val="22"/>
                          <w:szCs w:val="22"/>
                        </w:rPr>
                      </w:pPr>
                      <w:r>
                        <w:rPr>
                          <w:szCs w:val="24"/>
                        </w:rPr>
                        <w:t>(10,44 proc.)</w:t>
                      </w:r>
                    </w:p>
                  </w:tc>
                  <w:tc>
                    <w:tcPr>
                      <w:tcW w:w="2268" w:type="dxa"/>
                    </w:tcPr>
                    <w:p w:rsidR="005E51E3" w:rsidRDefault="00A47E9A">
                      <w:pPr>
                        <w:jc w:val="center"/>
                        <w:rPr>
                          <w:sz w:val="22"/>
                          <w:szCs w:val="22"/>
                        </w:rPr>
                      </w:pPr>
                      <w:r>
                        <w:rPr>
                          <w:szCs w:val="24"/>
                        </w:rPr>
                        <w:t>FN-05-02</w:t>
                      </w: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Fiksuotoji norma taikoma, kai priklauso nuo 21 iki 25 d. d. (jeigu dirbama 5 d. d. per savaitę) arba nuo 25 iki 30 d. d. (jeigu dirbama 6 d. d. per savaitę) kasmetinės atostogos</w:t>
                      </w:r>
                    </w:p>
                  </w:tc>
                  <w:tc>
                    <w:tcPr>
                      <w:tcW w:w="6057" w:type="dxa"/>
                    </w:tcPr>
                    <w:p w:rsidR="005E51E3" w:rsidRDefault="00A47E9A">
                      <w:pPr>
                        <w:jc w:val="center"/>
                        <w:rPr>
                          <w:iCs/>
                          <w:sz w:val="22"/>
                          <w:szCs w:val="22"/>
                        </w:rPr>
                      </w:pPr>
                      <w:r>
                        <w:rPr>
                          <w:szCs w:val="24"/>
                        </w:rPr>
                        <w:t>Projektą vykdančio pers</w:t>
                      </w:r>
                      <w:r>
                        <w:rPr>
                          <w:szCs w:val="24"/>
                        </w:rPr>
                        <w:t>onalo darbo užmokesčio išlaidos už kasmetines atostogas, kurios apskaičiuojamos nuo tinkamų finansuoti faktiškai patirtų vykdančiojo personalo darbo užmokesčio išlaidų.</w:t>
                      </w:r>
                    </w:p>
                  </w:tc>
                </w:tr>
                <w:tr w:rsidR="005E51E3">
                  <w:tc>
                    <w:tcPr>
                      <w:tcW w:w="2155" w:type="dxa"/>
                    </w:tcPr>
                    <w:p w:rsidR="005E51E3" w:rsidRDefault="00A47E9A">
                      <w:pPr>
                        <w:ind w:firstLine="62"/>
                        <w:jc w:val="center"/>
                        <w:rPr>
                          <w:sz w:val="22"/>
                          <w:szCs w:val="22"/>
                        </w:rPr>
                      </w:pPr>
                      <w:r>
                        <w:rPr>
                          <w:szCs w:val="24"/>
                        </w:rPr>
                        <w:t>Darbo užmokesčio išlaidų dalis per mėnesį, skirta kasmetinėms atostogoms, kuri apskaič</w:t>
                      </w:r>
                      <w:r>
                        <w:rPr>
                          <w:szCs w:val="24"/>
                        </w:rPr>
                        <w:t>iuojama nuo tinkamų finansuoti faktiškai patirtų darbo užmokesčio išlaidų už faktiškai dirbtą laiką (12,35 proc.)</w:t>
                      </w:r>
                    </w:p>
                  </w:tc>
                  <w:tc>
                    <w:tcPr>
                      <w:tcW w:w="2268" w:type="dxa"/>
                    </w:tcPr>
                    <w:p w:rsidR="005E51E3" w:rsidRDefault="00A47E9A">
                      <w:pPr>
                        <w:jc w:val="center"/>
                        <w:rPr>
                          <w:sz w:val="22"/>
                          <w:szCs w:val="22"/>
                        </w:rPr>
                      </w:pPr>
                      <w:r>
                        <w:rPr>
                          <w:szCs w:val="24"/>
                        </w:rPr>
                        <w:t>FN-05-03</w:t>
                      </w: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 xml:space="preserve">Fiksuotoji norma taikoma, kai priklauso nuo 26 iki 30 d. d. (jeigu dirbama 5 d. d. per savaitę) arba nuo 31 iki 36 d. d. (jeigu </w:t>
                      </w:r>
                      <w:r>
                        <w:rPr>
                          <w:szCs w:val="24"/>
                        </w:rPr>
                        <w:t>dirbama 6 d. d. per savaitę) kasmetinės atostogos</w:t>
                      </w:r>
                    </w:p>
                  </w:tc>
                  <w:tc>
                    <w:tcPr>
                      <w:tcW w:w="6057" w:type="dxa"/>
                    </w:tcPr>
                    <w:p w:rsidR="005E51E3" w:rsidRDefault="00A47E9A">
                      <w:pPr>
                        <w:jc w:val="center"/>
                        <w:rPr>
                          <w:iCs/>
                          <w:sz w:val="22"/>
                          <w:szCs w:val="22"/>
                        </w:rPr>
                      </w:pPr>
                      <w:r>
                        <w:rPr>
                          <w:szCs w:val="24"/>
                        </w:rPr>
                        <w:t>Projektą vykdančio personalo darbo užmokesčio išlaidos už kasmetines atostogas, kurios apskaičiuojamos nuo tinkamų finansuoti faktiškai patirtų vykdančiojo personalo darbo užmokesčio išlaidų.</w:t>
                      </w:r>
                    </w:p>
                  </w:tc>
                </w:tr>
                <w:tr w:rsidR="005E51E3">
                  <w:tc>
                    <w:tcPr>
                      <w:tcW w:w="2155" w:type="dxa"/>
                    </w:tcPr>
                    <w:p w:rsidR="005E51E3" w:rsidRDefault="00A47E9A">
                      <w:pPr>
                        <w:jc w:val="center"/>
                        <w:rPr>
                          <w:lang w:eastAsia="lt-LT"/>
                        </w:rPr>
                      </w:pPr>
                      <w:r>
                        <w:rPr>
                          <w:lang w:eastAsia="lt-LT"/>
                        </w:rPr>
                        <w:t>Darbo užmokes</w:t>
                      </w:r>
                      <w:r>
                        <w:rPr>
                          <w:lang w:eastAsia="lt-LT"/>
                        </w:rPr>
                        <w:t xml:space="preserve">čio išlaidų dalis per mėnesį, skirta kasmetinėms atostogoms, kuri apskaičiuojama nuo tinkamų finansuoti faktiškai patirtų darbo užmokesčio išlaidų už faktiškai dirbtą laiką </w:t>
                      </w:r>
                    </w:p>
                    <w:p w:rsidR="005E51E3" w:rsidRDefault="00A47E9A">
                      <w:pPr>
                        <w:ind w:firstLine="62"/>
                        <w:jc w:val="center"/>
                        <w:rPr>
                          <w:sz w:val="22"/>
                          <w:szCs w:val="22"/>
                        </w:rPr>
                      </w:pPr>
                      <w:r>
                        <w:rPr>
                          <w:lang w:eastAsia="lt-LT"/>
                        </w:rPr>
                        <w:t>(14,99 proc.)</w:t>
                      </w:r>
                    </w:p>
                  </w:tc>
                  <w:tc>
                    <w:tcPr>
                      <w:tcW w:w="2268" w:type="dxa"/>
                    </w:tcPr>
                    <w:p w:rsidR="005E51E3" w:rsidRDefault="00A47E9A">
                      <w:pPr>
                        <w:jc w:val="center"/>
                        <w:rPr>
                          <w:szCs w:val="24"/>
                        </w:rPr>
                      </w:pPr>
                      <w:r>
                        <w:rPr>
                          <w:szCs w:val="24"/>
                        </w:rPr>
                        <w:t>FN-05-04</w:t>
                      </w:r>
                    </w:p>
                    <w:p w:rsidR="005E51E3" w:rsidRDefault="005E51E3">
                      <w:pPr>
                        <w:jc w:val="center"/>
                        <w:rPr>
                          <w:sz w:val="22"/>
                          <w:szCs w:val="22"/>
                        </w:rPr>
                      </w:pP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lang w:eastAsia="lt-LT"/>
                        </w:rPr>
                        <w:t xml:space="preserve">Fiksuotoji norma taikoma, kai priklauso nuo 31 iki 36 d. </w:t>
                      </w:r>
                      <w:r>
                        <w:rPr>
                          <w:lang w:eastAsia="lt-LT"/>
                        </w:rPr>
                        <w:t>d. (jeigu dirbama 5 d. d. per savaitę) arba nuo 37 iki 42 d. d. (jeigu dirbama 6 d. d. per savaitę) kasmetinės atostogos</w:t>
                      </w:r>
                    </w:p>
                  </w:tc>
                  <w:tc>
                    <w:tcPr>
                      <w:tcW w:w="6057" w:type="dxa"/>
                    </w:tcPr>
                    <w:p w:rsidR="005E51E3" w:rsidRDefault="00A47E9A">
                      <w:pPr>
                        <w:jc w:val="center"/>
                        <w:rPr>
                          <w:iCs/>
                          <w:sz w:val="22"/>
                          <w:szCs w:val="22"/>
                        </w:rPr>
                      </w:pPr>
                      <w:r>
                        <w:rPr>
                          <w:lang w:eastAsia="lt-LT"/>
                        </w:rPr>
                        <w:t>Projektą vykdančio personalo darbo užmokesčio išlaidos už kasmetines atostogas, kurios apskaičiuojamos nuo tinkamų finansuoti faktiškai</w:t>
                      </w:r>
                      <w:r>
                        <w:rPr>
                          <w:lang w:eastAsia="lt-LT"/>
                        </w:rPr>
                        <w:t xml:space="preserve"> patirtų vykdančiojo personalo darbo užmokesčio išlaidų.</w:t>
                      </w:r>
                    </w:p>
                  </w:tc>
                </w:tr>
                <w:tr w:rsidR="005E51E3">
                  <w:tc>
                    <w:tcPr>
                      <w:tcW w:w="2155" w:type="dxa"/>
                    </w:tcPr>
                    <w:p w:rsidR="005E51E3" w:rsidRDefault="00A47E9A">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p w:rsidR="005E51E3" w:rsidRDefault="00A47E9A">
                      <w:pPr>
                        <w:ind w:firstLine="62"/>
                        <w:jc w:val="center"/>
                        <w:rPr>
                          <w:sz w:val="22"/>
                          <w:szCs w:val="22"/>
                        </w:rPr>
                      </w:pPr>
                      <w:r>
                        <w:rPr>
                          <w:szCs w:val="24"/>
                        </w:rPr>
                        <w:t>(14,99 proc</w:t>
                      </w:r>
                      <w:r>
                        <w:rPr>
                          <w:szCs w:val="24"/>
                        </w:rPr>
                        <w:t>.)</w:t>
                      </w:r>
                    </w:p>
                  </w:tc>
                  <w:tc>
                    <w:tcPr>
                      <w:tcW w:w="2268" w:type="dxa"/>
                    </w:tcPr>
                    <w:p w:rsidR="005E51E3" w:rsidRDefault="00A47E9A">
                      <w:pPr>
                        <w:jc w:val="center"/>
                        <w:rPr>
                          <w:szCs w:val="24"/>
                        </w:rPr>
                      </w:pPr>
                      <w:r>
                        <w:rPr>
                          <w:szCs w:val="24"/>
                        </w:rPr>
                        <w:t>FN-05-05</w:t>
                      </w:r>
                    </w:p>
                    <w:p w:rsidR="005E51E3" w:rsidRDefault="005E51E3">
                      <w:pPr>
                        <w:jc w:val="center"/>
                        <w:rPr>
                          <w:sz w:val="22"/>
                          <w:szCs w:val="22"/>
                        </w:rPr>
                      </w:pP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Fiksuotoji norma taikoma, kai priklauso nuo 31 iki 36 d. d. (jeigu dirbama 5 d. d. per savaitę) arba nuo 37 iki 42 d. d. (jeigu dirbama 6 d. d. per savaitę) kasmetinės atostogos</w:t>
                      </w:r>
                    </w:p>
                  </w:tc>
                  <w:tc>
                    <w:tcPr>
                      <w:tcW w:w="6057" w:type="dxa"/>
                    </w:tcPr>
                    <w:p w:rsidR="005E51E3" w:rsidRDefault="00A47E9A">
                      <w:pPr>
                        <w:jc w:val="center"/>
                        <w:rPr>
                          <w:iCs/>
                          <w:sz w:val="22"/>
                          <w:szCs w:val="22"/>
                        </w:rPr>
                      </w:pPr>
                      <w:r>
                        <w:rPr>
                          <w:szCs w:val="24"/>
                        </w:rPr>
                        <w:t xml:space="preserve">Projektą vykdančio personalo darbo užmokesčio išlaidos už </w:t>
                      </w:r>
                      <w:r>
                        <w:rPr>
                          <w:szCs w:val="24"/>
                        </w:rPr>
                        <w:t>kasmetines atostogas, kurios apskaičiuojamos nuo tinkamų finansuoti faktiškai patirtų vykdančiojo personalo darbo užmokesčio išlaidų.</w:t>
                      </w:r>
                    </w:p>
                  </w:tc>
                </w:tr>
                <w:tr w:rsidR="005E51E3">
                  <w:tc>
                    <w:tcPr>
                      <w:tcW w:w="2155" w:type="dxa"/>
                    </w:tcPr>
                    <w:p w:rsidR="005E51E3" w:rsidRDefault="00A47E9A">
                      <w:pPr>
                        <w:jc w:val="center"/>
                        <w:rPr>
                          <w:szCs w:val="24"/>
                        </w:rPr>
                      </w:pPr>
                      <w:r>
                        <w:rPr>
                          <w:szCs w:val="24"/>
                        </w:rPr>
                        <w:t>Darbo užmokesčio išlaidų dalis per mėnesį, skirta kasmetinėms atostogoms, kuri apskaičiuojama nuo tinkamų finansuoti fakt</w:t>
                      </w:r>
                      <w:r>
                        <w:rPr>
                          <w:szCs w:val="24"/>
                        </w:rPr>
                        <w:t xml:space="preserve">iškai patirtų darbo užmokesčio išlaidų už faktiškai dirbtą laiką </w:t>
                      </w:r>
                    </w:p>
                    <w:p w:rsidR="005E51E3" w:rsidRDefault="00A47E9A">
                      <w:pPr>
                        <w:ind w:firstLine="62"/>
                        <w:jc w:val="center"/>
                        <w:rPr>
                          <w:sz w:val="22"/>
                          <w:szCs w:val="22"/>
                        </w:rPr>
                      </w:pPr>
                      <w:r>
                        <w:rPr>
                          <w:szCs w:val="24"/>
                        </w:rPr>
                        <w:t>(18,89 proc.)</w:t>
                      </w:r>
                    </w:p>
                  </w:tc>
                  <w:tc>
                    <w:tcPr>
                      <w:tcW w:w="2268" w:type="dxa"/>
                    </w:tcPr>
                    <w:p w:rsidR="005E51E3" w:rsidRDefault="00A47E9A">
                      <w:pPr>
                        <w:jc w:val="center"/>
                        <w:rPr>
                          <w:szCs w:val="24"/>
                        </w:rPr>
                      </w:pPr>
                      <w:r>
                        <w:rPr>
                          <w:szCs w:val="24"/>
                        </w:rPr>
                        <w:t>FN-05-06</w:t>
                      </w:r>
                    </w:p>
                    <w:p w:rsidR="005E51E3" w:rsidRDefault="005E51E3">
                      <w:pPr>
                        <w:jc w:val="center"/>
                        <w:rPr>
                          <w:sz w:val="22"/>
                          <w:szCs w:val="22"/>
                        </w:rPr>
                      </w:pP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Fiksuotoji norma taikoma, kai priklauso 40 d. d. (jeigu dirbama 5 d. d. per savaitę) arba 48 d. d. (jeigu dirbama 6 d. d. per savaitę) kasmetinės atostogos</w:t>
                      </w:r>
                    </w:p>
                  </w:tc>
                  <w:tc>
                    <w:tcPr>
                      <w:tcW w:w="6057" w:type="dxa"/>
                    </w:tcPr>
                    <w:p w:rsidR="005E51E3" w:rsidRDefault="00A47E9A">
                      <w:pPr>
                        <w:jc w:val="center"/>
                        <w:rPr>
                          <w:iCs/>
                          <w:sz w:val="22"/>
                          <w:szCs w:val="22"/>
                        </w:rPr>
                      </w:pPr>
                      <w:r>
                        <w:rPr>
                          <w:szCs w:val="24"/>
                        </w:rPr>
                        <w:t xml:space="preserve">Projektą </w:t>
                      </w:r>
                      <w:r>
                        <w:rPr>
                          <w:szCs w:val="24"/>
                        </w:rPr>
                        <w:t>vykdančio personalo darbo užmokesčio išlaidos už kasmetines atostogas, kurios apskaičiuojamos nuo tinkamų finansuoti faktiškai patirtų vykdančiojo personalo darbo užmokesčio išlaidų.</w:t>
                      </w:r>
                    </w:p>
                  </w:tc>
                </w:tr>
                <w:tr w:rsidR="005E51E3">
                  <w:tc>
                    <w:tcPr>
                      <w:tcW w:w="2155" w:type="dxa"/>
                    </w:tcPr>
                    <w:p w:rsidR="005E51E3" w:rsidRDefault="00A47E9A">
                      <w:pPr>
                        <w:jc w:val="center"/>
                        <w:rPr>
                          <w:szCs w:val="24"/>
                        </w:rPr>
                      </w:pPr>
                      <w:r>
                        <w:rPr>
                          <w:szCs w:val="24"/>
                        </w:rPr>
                        <w:t>Darbo užmokesčio išlaidų dalis per mėnesį, skirta kasmetinėms atostogoms</w:t>
                      </w:r>
                      <w:r>
                        <w:rPr>
                          <w:szCs w:val="24"/>
                        </w:rPr>
                        <w:t xml:space="preserve">, kuri apskaičiuojama nuo tinkamų finansuoti faktiškai patirtų darbo užmokesčio išlaidų už faktiškai dirbtą laiką </w:t>
                      </w:r>
                    </w:p>
                    <w:p w:rsidR="005E51E3" w:rsidRDefault="00A47E9A">
                      <w:pPr>
                        <w:ind w:firstLine="62"/>
                        <w:jc w:val="center"/>
                        <w:rPr>
                          <w:sz w:val="22"/>
                          <w:szCs w:val="22"/>
                        </w:rPr>
                      </w:pPr>
                      <w:r>
                        <w:rPr>
                          <w:szCs w:val="24"/>
                        </w:rPr>
                        <w:t>(20,02 proc.)</w:t>
                      </w:r>
                    </w:p>
                  </w:tc>
                  <w:tc>
                    <w:tcPr>
                      <w:tcW w:w="2268" w:type="dxa"/>
                    </w:tcPr>
                    <w:p w:rsidR="005E51E3" w:rsidRDefault="00A47E9A">
                      <w:pPr>
                        <w:jc w:val="center"/>
                        <w:rPr>
                          <w:szCs w:val="24"/>
                        </w:rPr>
                      </w:pPr>
                      <w:r>
                        <w:rPr>
                          <w:szCs w:val="24"/>
                        </w:rPr>
                        <w:t>FN-05-07</w:t>
                      </w:r>
                    </w:p>
                    <w:p w:rsidR="005E51E3" w:rsidRDefault="005E51E3">
                      <w:pPr>
                        <w:jc w:val="center"/>
                        <w:rPr>
                          <w:sz w:val="22"/>
                          <w:szCs w:val="22"/>
                        </w:rPr>
                      </w:pPr>
                    </w:p>
                  </w:tc>
                  <w:tc>
                    <w:tcPr>
                      <w:tcW w:w="1701" w:type="dxa"/>
                    </w:tcPr>
                    <w:p w:rsidR="005E51E3" w:rsidRDefault="005E51E3">
                      <w:pPr>
                        <w:jc w:val="center"/>
                        <w:rPr>
                          <w:sz w:val="22"/>
                          <w:szCs w:val="22"/>
                        </w:rPr>
                      </w:pPr>
                    </w:p>
                  </w:tc>
                  <w:tc>
                    <w:tcPr>
                      <w:tcW w:w="2268" w:type="dxa"/>
                    </w:tcPr>
                    <w:p w:rsidR="005E51E3" w:rsidRDefault="00A47E9A">
                      <w:pPr>
                        <w:jc w:val="center"/>
                        <w:rPr>
                          <w:sz w:val="22"/>
                          <w:szCs w:val="22"/>
                        </w:rPr>
                      </w:pPr>
                      <w:r>
                        <w:rPr>
                          <w:szCs w:val="24"/>
                        </w:rPr>
                        <w:t xml:space="preserve">Fiksuotoji norma taikoma, kai priklauso nuo 41 d. d. (jeigu dirbama 5 d. d. per savaitę) arba nuo 49 d. d. (jeigu </w:t>
                      </w:r>
                      <w:r>
                        <w:rPr>
                          <w:szCs w:val="24"/>
                        </w:rPr>
                        <w:t>dirbama 6 d. d. per savaitę) kasmetinės atostogos</w:t>
                      </w:r>
                    </w:p>
                  </w:tc>
                  <w:tc>
                    <w:tcPr>
                      <w:tcW w:w="6057" w:type="dxa"/>
                    </w:tcPr>
                    <w:p w:rsidR="005E51E3" w:rsidRDefault="00A47E9A">
                      <w:pPr>
                        <w:jc w:val="center"/>
                        <w:rPr>
                          <w:iCs/>
                          <w:sz w:val="22"/>
                          <w:szCs w:val="22"/>
                        </w:rPr>
                      </w:pPr>
                      <w:r>
                        <w:rPr>
                          <w:szCs w:val="24"/>
                        </w:rPr>
                        <w:t>Projektą vykdančio personalo darbo užmokesčio išlaidos už kasmetines atostogas, kurios apskaičiuojamos nuo tinkamų finansuoti faktiškai patirtų vykdančiojo personalo darbo užmokesčio išlaidų.</w:t>
                      </w:r>
                    </w:p>
                  </w:tc>
                </w:tr>
              </w:tbl>
              <w:p w:rsidR="005E51E3" w:rsidRDefault="005E51E3">
                <w:pPr>
                  <w:jc w:val="both"/>
                  <w:rPr>
                    <w:i/>
                    <w:iCs/>
                    <w:sz w:val="22"/>
                    <w:szCs w:val="22"/>
                  </w:rPr>
                </w:pPr>
              </w:p>
              <w:p w:rsidR="005E51E3" w:rsidRDefault="005E51E3">
                <w:pPr>
                  <w:jc w:val="both"/>
                  <w:rPr>
                    <w:i/>
                    <w:iCs/>
                    <w:sz w:val="22"/>
                    <w:szCs w:val="22"/>
                  </w:rPr>
                </w:pPr>
              </w:p>
            </w:tc>
          </w:tr>
        </w:tbl>
        <w:p w:rsidR="005E51E3" w:rsidRDefault="005E51E3">
          <w:pPr>
            <w:rPr>
              <w:sz w:val="22"/>
              <w:szCs w:val="22"/>
            </w:rPr>
          </w:pPr>
        </w:p>
        <w:sdt>
          <w:sdtPr>
            <w:rPr>
              <w:rFonts w:eastAsia="Calibri"/>
              <w:sz w:val="22"/>
              <w:szCs w:val="22"/>
            </w:rPr>
            <w:alias w:val="pabaiga"/>
            <w:tag w:val="part_fbf90b9454174842b7442962dea159d6"/>
            <w:id w:val="156587732"/>
            <w:lock w:val="sdtLocked"/>
            <w:placeholder>
              <w:docPart w:val="DefaultPlaceholder_-1854013440"/>
            </w:placeholder>
          </w:sdtPr>
          <w:sdtContent>
            <w:p w:rsidR="005E51E3" w:rsidRDefault="00A47E9A" w:rsidP="00A47E9A">
              <w:pPr>
                <w:spacing w:line="276" w:lineRule="auto"/>
                <w:jc w:val="center"/>
                <w:rPr>
                  <w:sz w:val="22"/>
                  <w:szCs w:val="22"/>
                  <w:lang w:eastAsia="lt-LT"/>
                </w:rPr>
              </w:pPr>
              <w:r>
                <w:rPr>
                  <w:rFonts w:eastAsia="Calibri"/>
                  <w:sz w:val="22"/>
                  <w:szCs w:val="22"/>
                </w:rPr>
                <w:t>________________</w:t>
              </w:r>
            </w:p>
          </w:sdtContent>
        </w:sdt>
      </w:sdtContent>
    </w:sdt>
    <w:sdt>
      <w:sdtPr>
        <w:alias w:val="pr."/>
        <w:tag w:val="part_b7e3bdb5f0f54d6f837a34709227990a"/>
        <w:id w:val="-745961137"/>
        <w:lock w:val="sdtLocked"/>
      </w:sdtPr>
      <w:sdtEndPr/>
      <w:sdtContent>
        <w:p w:rsidR="00A47E9A" w:rsidRDefault="00A47E9A">
          <w:pPr>
            <w:ind w:left="10206"/>
            <w:jc w:val="both"/>
            <w:sectPr w:rsidR="00A47E9A">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pgNumType w:start="1"/>
              <w:cols w:space="1296"/>
              <w:titlePg/>
              <w:docGrid w:linePitch="360"/>
            </w:sectPr>
          </w:pPr>
        </w:p>
        <w:p w:rsidR="005E51E3" w:rsidRDefault="00A47E9A">
          <w:pPr>
            <w:ind w:left="10206"/>
            <w:jc w:val="both"/>
            <w:rPr>
              <w:bCs/>
              <w:szCs w:val="24"/>
            </w:rPr>
          </w:pPr>
          <w:r>
            <w:rPr>
              <w:bCs/>
              <w:szCs w:val="24"/>
            </w:rPr>
            <w:t>3 priedo „2021–2030 m. plėtros programos valdytojos Lietuvos Respublikos švietimo, mokslo ir sporto ministerijos švietimo plėtros programos pažangos priemonės Nr. 12-003-03-01-04 „Užtikr</w:t>
          </w:r>
          <w:r>
            <w:rPr>
              <w:bCs/>
              <w:szCs w:val="24"/>
            </w:rPr>
            <w:t xml:space="preserve">inti visiems prieinamą ankstyvąjį ugdymą“ projektų finansavimo sąlygų aprašas Nr. 3“ </w:t>
          </w:r>
        </w:p>
        <w:p w:rsidR="005E51E3" w:rsidRDefault="00A47E9A">
          <w:pPr>
            <w:ind w:left="10206"/>
            <w:jc w:val="both"/>
            <w:rPr>
              <w:bCs/>
              <w:szCs w:val="24"/>
            </w:rPr>
          </w:pPr>
          <w:r>
            <w:rPr>
              <w:bCs/>
              <w:szCs w:val="24"/>
            </w:rPr>
            <w:t>priedas</w:t>
          </w:r>
        </w:p>
        <w:p w:rsidR="005E51E3" w:rsidRDefault="005E51E3">
          <w:pPr>
            <w:spacing w:line="276" w:lineRule="auto"/>
            <w:jc w:val="center"/>
            <w:rPr>
              <w:rFonts w:eastAsia="Calibri"/>
              <w:szCs w:val="24"/>
            </w:rPr>
          </w:pPr>
        </w:p>
        <w:p w:rsidR="005E51E3" w:rsidRDefault="005E51E3">
          <w:pPr>
            <w:spacing w:line="276" w:lineRule="auto"/>
            <w:jc w:val="center"/>
            <w:rPr>
              <w:szCs w:val="24"/>
            </w:rPr>
          </w:pPr>
        </w:p>
        <w:p w:rsidR="005E51E3" w:rsidRDefault="00A47E9A">
          <w:pPr>
            <w:jc w:val="center"/>
            <w:rPr>
              <w:rFonts w:eastAsia="Calibri"/>
              <w:b/>
              <w:bCs/>
              <w:szCs w:val="24"/>
            </w:rPr>
          </w:pPr>
          <w:sdt>
            <w:sdtPr>
              <w:alias w:val="Pavadinimas"/>
              <w:tag w:val="title_b7e3bdb5f0f54d6f837a34709227990a"/>
              <w:id w:val="-1986384718"/>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5E51E3" w:rsidRDefault="005E51E3">
          <w:pPr>
            <w:jc w:val="center"/>
            <w:rPr>
              <w:rFonts w:eastAsia="Calibri"/>
              <w:b/>
              <w:bCs/>
              <w:szCs w:val="24"/>
            </w:rPr>
          </w:pPr>
        </w:p>
        <w:p w:rsidR="005E51E3" w:rsidRDefault="00A47E9A">
          <w:pPr>
            <w:spacing w:line="276" w:lineRule="auto"/>
            <w:jc w:val="both"/>
            <w:rPr>
              <w:rFonts w:eastAsia="Calibri"/>
              <w:bCs/>
              <w:szCs w:val="24"/>
            </w:rPr>
          </w:pPr>
          <w:r>
            <w:rPr>
              <w:rFonts w:eastAsia="Calibri"/>
              <w:bCs/>
              <w:szCs w:val="24"/>
            </w:rPr>
            <w:t>Finansavimo šaltinis, pa</w:t>
          </w:r>
          <w:r>
            <w:rPr>
              <w:rFonts w:eastAsia="Calibri"/>
              <w:bCs/>
              <w:szCs w:val="24"/>
            </w:rPr>
            <w:t>gal kurį finansuojamas projektas (</w:t>
          </w:r>
          <w:r>
            <w:rPr>
              <w:rFonts w:eastAsia="Calibri"/>
              <w:bCs/>
              <w:i/>
              <w:szCs w:val="24"/>
            </w:rPr>
            <w:t>pažymėkite tinkamą</w:t>
          </w:r>
          <w:r>
            <w:rPr>
              <w:rFonts w:eastAsia="Calibri"/>
              <w:bCs/>
              <w:szCs w:val="24"/>
            </w:rPr>
            <w:t>):</w:t>
          </w:r>
        </w:p>
        <w:p w:rsidR="005E51E3" w:rsidRDefault="00A47E9A">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5E51E3" w:rsidRDefault="00A47E9A">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rsidR="005E51E3" w:rsidRDefault="005E51E3">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079"/>
            <w:gridCol w:w="3225"/>
          </w:tblGrid>
          <w:tr w:rsidR="005E51E3">
            <w:tc>
              <w:tcPr>
                <w:tcW w:w="3545" w:type="dxa"/>
              </w:tcPr>
              <w:p w:rsidR="005E51E3" w:rsidRDefault="00A47E9A">
                <w:pPr>
                  <w:jc w:val="center"/>
                  <w:rPr>
                    <w:b/>
                    <w:sz w:val="22"/>
                    <w:szCs w:val="22"/>
                  </w:rPr>
                </w:pPr>
                <w:r>
                  <w:rPr>
                    <w:b/>
                    <w:sz w:val="22"/>
                    <w:szCs w:val="22"/>
                  </w:rPr>
                  <w:t>Aplinkos tikslai</w:t>
                </w:r>
              </w:p>
              <w:p w:rsidR="005E51E3" w:rsidRDefault="005E51E3">
                <w:pPr>
                  <w:jc w:val="center"/>
                  <w:rPr>
                    <w:b/>
                    <w:sz w:val="22"/>
                    <w:szCs w:val="22"/>
                  </w:rPr>
                </w:pPr>
              </w:p>
            </w:tc>
            <w:tc>
              <w:tcPr>
                <w:tcW w:w="8079" w:type="dxa"/>
              </w:tcPr>
              <w:p w:rsidR="005E51E3" w:rsidRDefault="00A47E9A">
                <w:pPr>
                  <w:jc w:val="center"/>
                  <w:rPr>
                    <w:b/>
                    <w:sz w:val="22"/>
                    <w:szCs w:val="22"/>
                  </w:rPr>
                </w:pPr>
                <w:r>
                  <w:rPr>
                    <w:b/>
                    <w:sz w:val="22"/>
                    <w:szCs w:val="22"/>
                  </w:rPr>
                  <w:t>Pagrindimas</w:t>
                </w:r>
              </w:p>
              <w:p w:rsidR="005E51E3" w:rsidRDefault="005E51E3">
                <w:pPr>
                  <w:jc w:val="center"/>
                  <w:rPr>
                    <w:b/>
                    <w:sz w:val="22"/>
                    <w:szCs w:val="22"/>
                  </w:rPr>
                </w:pPr>
              </w:p>
            </w:tc>
            <w:tc>
              <w:tcPr>
                <w:tcW w:w="3225" w:type="dxa"/>
              </w:tcPr>
              <w:p w:rsidR="005E51E3" w:rsidRDefault="00A47E9A">
                <w:pPr>
                  <w:jc w:val="center"/>
                  <w:rPr>
                    <w:i/>
                    <w:sz w:val="22"/>
                    <w:szCs w:val="22"/>
                  </w:rPr>
                </w:pPr>
                <w:r>
                  <w:rPr>
                    <w:b/>
                    <w:sz w:val="22"/>
                    <w:szCs w:val="22"/>
                  </w:rPr>
                  <w:t>Pagrindimo dokumentai</w:t>
                </w:r>
              </w:p>
              <w:p w:rsidR="005E51E3" w:rsidRDefault="005E51E3">
                <w:pPr>
                  <w:jc w:val="center"/>
                  <w:rPr>
                    <w:i/>
                    <w:sz w:val="22"/>
                    <w:szCs w:val="22"/>
                  </w:rPr>
                </w:pPr>
              </w:p>
            </w:tc>
          </w:tr>
          <w:tr w:rsidR="005E51E3">
            <w:tc>
              <w:tcPr>
                <w:tcW w:w="3545" w:type="dxa"/>
              </w:tcPr>
              <w:p w:rsidR="005E51E3" w:rsidRDefault="00A47E9A">
                <w:pPr>
                  <w:rPr>
                    <w:sz w:val="22"/>
                    <w:szCs w:val="22"/>
                  </w:rPr>
                </w:pPr>
                <w:r>
                  <w:rPr>
                    <w:sz w:val="22"/>
                    <w:szCs w:val="22"/>
                  </w:rPr>
                  <w:t>1. Klimato</w:t>
                </w:r>
                <w:r>
                  <w:rPr>
                    <w:sz w:val="22"/>
                    <w:szCs w:val="22"/>
                  </w:rPr>
                  <w:t xml:space="preserve"> kaitos švelninimas</w:t>
                </w:r>
              </w:p>
            </w:tc>
            <w:tc>
              <w:tcPr>
                <w:tcW w:w="8079" w:type="dxa"/>
              </w:tcPr>
              <w:p w:rsidR="005E51E3" w:rsidRDefault="00A47E9A">
                <w:pPr>
                  <w:jc w:val="both"/>
                  <w:rPr>
                    <w:i/>
                    <w:iCs/>
                    <w:sz w:val="22"/>
                    <w:szCs w:val="22"/>
                  </w:rPr>
                </w:pPr>
                <w:r>
                  <w:rPr>
                    <w:sz w:val="22"/>
                    <w:szCs w:val="22"/>
                  </w:rPr>
                  <w:t>Vertinama, kad planuojama įgyvendinti priemonė neturi jokio numatomo poveikio šiam aplinkos tikslui arba numatomas jos poveikis yra nereikšmingas, t. y. neplanuojama, kad įgyvendinama priemonė prisidės prie išmetamų šiltnamio efektą suk</w:t>
                </w:r>
                <w:r>
                  <w:rPr>
                    <w:sz w:val="22"/>
                    <w:szCs w:val="22"/>
                  </w:rPr>
                  <w:t>eliančių dujų (ŠESD) išsiskyrimo. Planuojama priemonės veikla (pagal savo pobūdį) neturi jokio tiesioginio ar netiesioginio neigiamo poveikio šiam aplinkos tikslui. Bus finansuojamas</w:t>
                </w:r>
                <w:r>
                  <w:rPr>
                    <w:bCs/>
                    <w:iCs/>
                    <w:sz w:val="22"/>
                    <w:szCs w:val="22"/>
                  </w:rPr>
                  <w:t xml:space="preserve"> įstaigų, vykdančių ikimokyklinio ugdymo programas, stiprinimo paketas, ap</w:t>
                </w:r>
                <w:r>
                  <w:rPr>
                    <w:bCs/>
                    <w:iCs/>
                    <w:sz w:val="22"/>
                    <w:szCs w:val="22"/>
                  </w:rPr>
                  <w:t xml:space="preserve">imantis mokymąsi vieniems iš kitų (angl. </w:t>
                </w:r>
                <w:proofErr w:type="spellStart"/>
                <w:r>
                  <w:rPr>
                    <w:bCs/>
                    <w:i/>
                    <w:sz w:val="22"/>
                    <w:szCs w:val="22"/>
                  </w:rPr>
                  <w:t>peer-learning</w:t>
                </w:r>
                <w:proofErr w:type="spellEnd"/>
                <w:r>
                  <w:rPr>
                    <w:bCs/>
                    <w:iCs/>
                    <w:sz w:val="22"/>
                    <w:szCs w:val="22"/>
                  </w:rPr>
                  <w:t xml:space="preserve">), ikimokyklinio ugdymo mokytojų kompetencijų atnaujinimą ir stiprinimą, aprūpinimą moderniomis darbo vietomis. </w:t>
                </w:r>
                <w:r>
                  <w:rPr>
                    <w:sz w:val="22"/>
                    <w:szCs w:val="22"/>
                  </w:rPr>
                  <w:t>Ši veikla neturės jokio neigiamo tiesioginio ar netiesioginio poveikio klimato kaitos švel</w:t>
                </w:r>
                <w:r>
                  <w:rPr>
                    <w:sz w:val="22"/>
                    <w:szCs w:val="22"/>
                  </w:rPr>
                  <w:t xml:space="preserve">ninimo tikslui, nes nenumatoma, kad įgyvendinant veiklas galėtų būti ŠESD išsiskyrimas. </w:t>
                </w:r>
              </w:p>
              <w:p w:rsidR="005E51E3" w:rsidRDefault="005E51E3">
                <w:pPr>
                  <w:rPr>
                    <w:bCs/>
                    <w:i/>
                    <w:sz w:val="22"/>
                    <w:szCs w:val="22"/>
                  </w:rPr>
                </w:pPr>
              </w:p>
            </w:tc>
            <w:tc>
              <w:tcPr>
                <w:tcW w:w="3225" w:type="dxa"/>
              </w:tcPr>
              <w:p w:rsidR="005E51E3" w:rsidRDefault="00A47E9A">
                <w:pPr>
                  <w:jc w:val="both"/>
                  <w:rPr>
                    <w:sz w:val="22"/>
                    <w:szCs w:val="22"/>
                  </w:rPr>
                </w:pPr>
                <w:r>
                  <w:rPr>
                    <w:sz w:val="22"/>
                    <w:szCs w:val="22"/>
                  </w:rPr>
                  <w:t>Netaikoma. Numatomos veiklos neturi neigiamo poveikio, todėl papildomi dokumentai neteikiami.</w:t>
                </w:r>
              </w:p>
              <w:p w:rsidR="005E51E3" w:rsidRDefault="005E51E3">
                <w:pPr>
                  <w:jc w:val="both"/>
                  <w:rPr>
                    <w:i/>
                    <w:sz w:val="22"/>
                    <w:szCs w:val="22"/>
                  </w:rPr>
                </w:pPr>
              </w:p>
            </w:tc>
          </w:tr>
          <w:tr w:rsidR="005E51E3">
            <w:tc>
              <w:tcPr>
                <w:tcW w:w="3545" w:type="dxa"/>
              </w:tcPr>
              <w:p w:rsidR="005E51E3" w:rsidRDefault="00A47E9A">
                <w:pPr>
                  <w:rPr>
                    <w:sz w:val="22"/>
                    <w:szCs w:val="22"/>
                  </w:rPr>
                </w:pPr>
                <w:r>
                  <w:rPr>
                    <w:sz w:val="22"/>
                    <w:szCs w:val="22"/>
                  </w:rPr>
                  <w:t>2. Prisitaikymas prie klimato kaitos</w:t>
                </w:r>
              </w:p>
            </w:tc>
            <w:tc>
              <w:tcPr>
                <w:tcW w:w="8079" w:type="dxa"/>
              </w:tcPr>
              <w:p w:rsidR="005E51E3" w:rsidRDefault="00A47E9A">
                <w:pPr>
                  <w:jc w:val="both"/>
                  <w:rPr>
                    <w:sz w:val="22"/>
                    <w:szCs w:val="22"/>
                  </w:rPr>
                </w:pPr>
                <w:r>
                  <w:rPr>
                    <w:sz w:val="22"/>
                    <w:szCs w:val="22"/>
                  </w:rPr>
                  <w:t>Vertinama, kad planuojama įgyvend</w:t>
                </w:r>
                <w:r>
                  <w:rPr>
                    <w:sz w:val="22"/>
                    <w:szCs w:val="22"/>
                  </w:rPr>
                  <w:t xml:space="preserve">inti priemonė neturi jokio numatomo poveikio šiam aplinkos tikslui arba numatomas jos poveikis yra nereikšmingas, t. y. neplanuojama, kad įgyvendinama priemonė didina neigiamą dabartinio ir ateities klimato poveikį ar daro neigiamą poveikį žmonėms, gamtai </w:t>
                </w:r>
                <w:r>
                  <w:rPr>
                    <w:sz w:val="22"/>
                    <w:szCs w:val="22"/>
                  </w:rPr>
                  <w:t>ar turtui: priemonės veiklos (pagal savo pobūdį) neturi jokio tiesioginio ar netiesioginio neigiamo poveikio šiam aplinkos tikslui.</w:t>
                </w:r>
              </w:p>
              <w:p w:rsidR="005E51E3" w:rsidRDefault="005E51E3">
                <w:pPr>
                  <w:jc w:val="both"/>
                  <w:rPr>
                    <w:sz w:val="22"/>
                    <w:szCs w:val="22"/>
                  </w:rPr>
                </w:pPr>
              </w:p>
            </w:tc>
            <w:tc>
              <w:tcPr>
                <w:tcW w:w="3225" w:type="dxa"/>
              </w:tcPr>
              <w:p w:rsidR="005E51E3" w:rsidRDefault="00A47E9A">
                <w:pPr>
                  <w:jc w:val="both"/>
                  <w:rPr>
                    <w:sz w:val="22"/>
                    <w:szCs w:val="22"/>
                  </w:rPr>
                </w:pPr>
                <w:r>
                  <w:rPr>
                    <w:sz w:val="22"/>
                    <w:szCs w:val="22"/>
                  </w:rPr>
                  <w:t>Netaikoma. Numatomos veiklos neturi neigiamo poveikio, todėl papildomi dokumentai neteikiami.</w:t>
                </w:r>
              </w:p>
              <w:p w:rsidR="005E51E3" w:rsidRDefault="005E51E3">
                <w:pPr>
                  <w:jc w:val="both"/>
                  <w:rPr>
                    <w:b/>
                    <w:sz w:val="22"/>
                    <w:szCs w:val="22"/>
                  </w:rPr>
                </w:pPr>
              </w:p>
            </w:tc>
          </w:tr>
          <w:tr w:rsidR="005E51E3">
            <w:tc>
              <w:tcPr>
                <w:tcW w:w="3545" w:type="dxa"/>
              </w:tcPr>
              <w:p w:rsidR="005E51E3" w:rsidRDefault="00A47E9A">
                <w:pPr>
                  <w:rPr>
                    <w:sz w:val="22"/>
                    <w:szCs w:val="22"/>
                  </w:rPr>
                </w:pPr>
                <w:r>
                  <w:rPr>
                    <w:sz w:val="22"/>
                    <w:szCs w:val="22"/>
                  </w:rPr>
                  <w:t xml:space="preserve">3. Tausus vandens ir jūrų </w:t>
                </w:r>
                <w:r>
                  <w:rPr>
                    <w:sz w:val="22"/>
                    <w:szCs w:val="22"/>
                  </w:rPr>
                  <w:t>išteklių naudojimas ir apsauga</w:t>
                </w:r>
              </w:p>
            </w:tc>
            <w:tc>
              <w:tcPr>
                <w:tcW w:w="8079" w:type="dxa"/>
              </w:tcPr>
              <w:p w:rsidR="005E51E3" w:rsidRDefault="00A47E9A">
                <w:pPr>
                  <w:jc w:val="both"/>
                  <w:rPr>
                    <w:sz w:val="22"/>
                    <w:szCs w:val="22"/>
                  </w:rPr>
                </w:pPr>
                <w:r>
                  <w:rPr>
                    <w:sz w:val="22"/>
                    <w:szCs w:val="22"/>
                  </w:rPr>
                  <w:t xml:space="preserve">Vertinama, kad planuojama įgyvendinti priemonė neturi jokio numatomo poveikio šiam aplinkos tikslui arba numatomas jos poveikis yra nereikšmingas, t. y. nedaro tiesioginio ir pirminio netiesioginio poveikio per visą gyvavimo </w:t>
                </w:r>
                <w:r>
                  <w:rPr>
                    <w:sz w:val="22"/>
                    <w:szCs w:val="22"/>
                  </w:rPr>
                  <w:t>ciklą, ir laikoma, kad ji atitinka tausaus išteklių naudojimo ir apsaugos tikslą. Įgyvendinant priemonę nenumatoma atnaujinti infrastruktūros, todėl ji neturi poveikio tausiam vandens ir jūrų išteklių naudojimui: veiklos (pagal savo pobūdį) neturi jokio ti</w:t>
                </w:r>
                <w:r>
                  <w:rPr>
                    <w:sz w:val="22"/>
                    <w:szCs w:val="22"/>
                  </w:rPr>
                  <w:t>esioginio ar netiesioginio neigiamo poveikio šiam aplinkos tikslui.</w:t>
                </w:r>
              </w:p>
            </w:tc>
            <w:tc>
              <w:tcPr>
                <w:tcW w:w="3225" w:type="dxa"/>
              </w:tcPr>
              <w:p w:rsidR="005E51E3" w:rsidRDefault="00A47E9A">
                <w:pPr>
                  <w:jc w:val="both"/>
                  <w:rPr>
                    <w:sz w:val="22"/>
                    <w:szCs w:val="22"/>
                  </w:rPr>
                </w:pPr>
                <w:r>
                  <w:rPr>
                    <w:sz w:val="22"/>
                    <w:szCs w:val="22"/>
                  </w:rPr>
                  <w:t>Netaikoma. Numatomos veiklos neturi neigiamo poveikio, todėl papildomi dokumentai neteikiami.</w:t>
                </w:r>
              </w:p>
              <w:p w:rsidR="005E51E3" w:rsidRDefault="005E51E3">
                <w:pPr>
                  <w:jc w:val="both"/>
                  <w:rPr>
                    <w:bCs/>
                    <w:sz w:val="22"/>
                    <w:szCs w:val="22"/>
                  </w:rPr>
                </w:pPr>
              </w:p>
            </w:tc>
          </w:tr>
          <w:tr w:rsidR="005E51E3">
            <w:tc>
              <w:tcPr>
                <w:tcW w:w="3545" w:type="dxa"/>
              </w:tcPr>
              <w:p w:rsidR="005E51E3" w:rsidRDefault="00A47E9A">
                <w:pPr>
                  <w:rPr>
                    <w:sz w:val="22"/>
                    <w:szCs w:val="22"/>
                  </w:rPr>
                </w:pPr>
                <w:r>
                  <w:rPr>
                    <w:sz w:val="22"/>
                    <w:szCs w:val="22"/>
                  </w:rPr>
                  <w:t>4. Perėjimas prie žiedinės ekonomikos, įskaitant atliekų prevenciją ir perdirbimą</w:t>
                </w:r>
              </w:p>
            </w:tc>
            <w:tc>
              <w:tcPr>
                <w:tcW w:w="8079" w:type="dxa"/>
              </w:tcPr>
              <w:p w:rsidR="005E51E3" w:rsidRDefault="00A47E9A">
                <w:pPr>
                  <w:jc w:val="both"/>
                  <w:rPr>
                    <w:sz w:val="22"/>
                    <w:szCs w:val="22"/>
                  </w:rPr>
                </w:pPr>
                <w:r>
                  <w:rPr>
                    <w:sz w:val="22"/>
                    <w:szCs w:val="22"/>
                  </w:rPr>
                  <w:t>Vertinama,</w:t>
                </w:r>
                <w:r>
                  <w:rPr>
                    <w:sz w:val="22"/>
                    <w:szCs w:val="22"/>
                  </w:rPr>
                  <w:t xml:space="preserve"> kad planuojama įgyvendinti priemonė neturi jokio numatomo poveikio šiam aplinkos tikslui arba numatomas jos poveikis yra nereikšmingas, kadangi įgyvendinant investicijas nenumatoma kurti infrastruktūros, kuri daro žalą žiedinei ekonomikai, įskaitant atlie</w:t>
                </w:r>
                <w:r>
                  <w:rPr>
                    <w:sz w:val="22"/>
                    <w:szCs w:val="22"/>
                  </w:rPr>
                  <w:t xml:space="preserve">kų prevenciją ir perdirbimą: veiklos (pagal savo pobūdį) neturi jokio tiesioginio ar netiesioginio neigiamo poveikio šiam aplinkos tikslui. </w:t>
                </w:r>
              </w:p>
            </w:tc>
            <w:tc>
              <w:tcPr>
                <w:tcW w:w="3225" w:type="dxa"/>
              </w:tcPr>
              <w:p w:rsidR="005E51E3" w:rsidRDefault="00A47E9A">
                <w:pPr>
                  <w:jc w:val="both"/>
                  <w:rPr>
                    <w:sz w:val="22"/>
                    <w:szCs w:val="22"/>
                  </w:rPr>
                </w:pPr>
                <w:r>
                  <w:rPr>
                    <w:sz w:val="22"/>
                    <w:szCs w:val="22"/>
                  </w:rPr>
                  <w:t>Netaikoma. Numatomos veiklos neturi neigiamo poveikio, todėl papildomi dokumentai neteikiami.</w:t>
                </w:r>
              </w:p>
              <w:p w:rsidR="005E51E3" w:rsidRDefault="005E51E3">
                <w:pPr>
                  <w:jc w:val="both"/>
                  <w:rPr>
                    <w:sz w:val="22"/>
                    <w:szCs w:val="22"/>
                  </w:rPr>
                </w:pPr>
              </w:p>
            </w:tc>
          </w:tr>
          <w:tr w:rsidR="005E51E3">
            <w:tc>
              <w:tcPr>
                <w:tcW w:w="3545" w:type="dxa"/>
              </w:tcPr>
              <w:p w:rsidR="005E51E3" w:rsidRDefault="00A47E9A">
                <w:pPr>
                  <w:rPr>
                    <w:sz w:val="22"/>
                    <w:szCs w:val="22"/>
                  </w:rPr>
                </w:pPr>
                <w:r>
                  <w:rPr>
                    <w:sz w:val="22"/>
                    <w:szCs w:val="22"/>
                  </w:rPr>
                  <w:t xml:space="preserve">5. </w:t>
                </w:r>
                <w:r>
                  <w:rPr>
                    <w:bCs/>
                    <w:sz w:val="22"/>
                    <w:szCs w:val="22"/>
                  </w:rPr>
                  <w:t xml:space="preserve">Oro, vandens ar </w:t>
                </w:r>
                <w:r>
                  <w:rPr>
                    <w:bCs/>
                    <w:sz w:val="22"/>
                    <w:szCs w:val="22"/>
                  </w:rPr>
                  <w:t>žemės taršos prevencija ir kontrolė</w:t>
                </w:r>
              </w:p>
            </w:tc>
            <w:tc>
              <w:tcPr>
                <w:tcW w:w="8079" w:type="dxa"/>
              </w:tcPr>
              <w:p w:rsidR="005E51E3" w:rsidRDefault="00A47E9A">
                <w:pPr>
                  <w:jc w:val="both"/>
                  <w:rPr>
                    <w:sz w:val="22"/>
                    <w:szCs w:val="22"/>
                  </w:rPr>
                </w:pPr>
                <w:r>
                  <w:rPr>
                    <w:sz w:val="22"/>
                    <w:szCs w:val="22"/>
                  </w:rPr>
                  <w:t>Vertinama, kad planuojama įgyvendinti priemonė neturi jokio numatomo poveikio šiam aplinkos tikslui arba numatomas jos poveikis yra nereikšmingas, t. y. nedaro tiesioginio ir pirminio netiesioginio poveikio per visą gyva</w:t>
                </w:r>
                <w:r>
                  <w:rPr>
                    <w:sz w:val="22"/>
                    <w:szCs w:val="22"/>
                  </w:rPr>
                  <w:t>vimo ciklą, ir laikoma, kad ji atitinka oro, vandens ar žemės taršos prevencijos ir kontrolės tikslą: įgyvendinant priemonę nenumatoma kurti infrastruktūros, kuri turėtų įtakos reikšmingai oro, vandens ir dirvožemio taršai susidaryti: veiklos (pagal savo p</w:t>
                </w:r>
                <w:r>
                  <w:rPr>
                    <w:sz w:val="22"/>
                    <w:szCs w:val="22"/>
                  </w:rPr>
                  <w:t xml:space="preserve">obūdį) neturi jokio tiesioginio ar netiesioginio neigiamo poveikio šiam aplinkos tikslui. </w:t>
                </w:r>
              </w:p>
            </w:tc>
            <w:tc>
              <w:tcPr>
                <w:tcW w:w="3225" w:type="dxa"/>
              </w:tcPr>
              <w:p w:rsidR="005E51E3" w:rsidRDefault="00A47E9A">
                <w:pPr>
                  <w:jc w:val="both"/>
                  <w:rPr>
                    <w:sz w:val="22"/>
                    <w:szCs w:val="22"/>
                  </w:rPr>
                </w:pPr>
                <w:r>
                  <w:rPr>
                    <w:sz w:val="22"/>
                    <w:szCs w:val="22"/>
                  </w:rPr>
                  <w:t>Netaikoma. Numatomos veiklos neturi neigiamo poveikio, todėl papildomi dokumentai neteikiami.</w:t>
                </w:r>
              </w:p>
              <w:p w:rsidR="005E51E3" w:rsidRDefault="005E51E3">
                <w:pPr>
                  <w:jc w:val="both"/>
                  <w:rPr>
                    <w:sz w:val="22"/>
                    <w:szCs w:val="22"/>
                  </w:rPr>
                </w:pPr>
              </w:p>
            </w:tc>
          </w:tr>
          <w:tr w:rsidR="005E51E3">
            <w:tc>
              <w:tcPr>
                <w:tcW w:w="3545" w:type="dxa"/>
              </w:tcPr>
              <w:p w:rsidR="005E51E3" w:rsidRDefault="00A47E9A">
                <w:pPr>
                  <w:rPr>
                    <w:sz w:val="22"/>
                    <w:szCs w:val="22"/>
                  </w:rPr>
                </w:pPr>
                <w:r>
                  <w:rPr>
                    <w:sz w:val="22"/>
                    <w:szCs w:val="22"/>
                  </w:rPr>
                  <w:t>6. Biologinės įvairovės ir ekosistemų apsauga ir atkūrimas</w:t>
                </w:r>
              </w:p>
            </w:tc>
            <w:tc>
              <w:tcPr>
                <w:tcW w:w="8079" w:type="dxa"/>
              </w:tcPr>
              <w:p w:rsidR="005E51E3" w:rsidRDefault="00A47E9A">
                <w:pPr>
                  <w:jc w:val="both"/>
                  <w:rPr>
                    <w:sz w:val="22"/>
                    <w:szCs w:val="22"/>
                  </w:rPr>
                </w:pPr>
                <w:r>
                  <w:rPr>
                    <w:sz w:val="22"/>
                    <w:szCs w:val="22"/>
                  </w:rPr>
                  <w:t xml:space="preserve">Vertinama, kad planuojama įgyvendinti priemonė neturi jokio numatomo poveikio šiam aplinkos tikslui arba numatomas poveikis yra nereikšmingas, t. y. nedaro tiesioginio ir pirminio netiesioginio poveikio per visą gyvavimo ciklą, ir laikoma, kad ši priemonė </w:t>
                </w:r>
                <w:r>
                  <w:rPr>
                    <w:sz w:val="22"/>
                    <w:szCs w:val="22"/>
                  </w:rPr>
                  <w:t xml:space="preserve">atitinka biologinės įvairovės ir ekosistemų apsaugos ir atkūrimo tikslą: nenumatoma, kad priemonės veiklos turės neigiamą poveikį biologinei įvairovei ar ekosistemų apsaugai.   </w:t>
                </w:r>
              </w:p>
            </w:tc>
            <w:tc>
              <w:tcPr>
                <w:tcW w:w="3225" w:type="dxa"/>
              </w:tcPr>
              <w:p w:rsidR="005E51E3" w:rsidRDefault="00A47E9A">
                <w:pPr>
                  <w:jc w:val="both"/>
                  <w:rPr>
                    <w:sz w:val="22"/>
                    <w:szCs w:val="22"/>
                  </w:rPr>
                </w:pPr>
                <w:r>
                  <w:rPr>
                    <w:sz w:val="22"/>
                    <w:szCs w:val="22"/>
                  </w:rPr>
                  <w:t>Netaikoma. Numatomos veiklos neturi neigiamo poveikio, todėl papildomi dokumen</w:t>
                </w:r>
                <w:r>
                  <w:rPr>
                    <w:sz w:val="22"/>
                    <w:szCs w:val="22"/>
                  </w:rPr>
                  <w:t>tai neteikiami.</w:t>
                </w:r>
              </w:p>
              <w:p w:rsidR="005E51E3" w:rsidRDefault="005E51E3">
                <w:pPr>
                  <w:jc w:val="both"/>
                  <w:rPr>
                    <w:sz w:val="22"/>
                    <w:szCs w:val="22"/>
                  </w:rPr>
                </w:pPr>
              </w:p>
            </w:tc>
          </w:tr>
        </w:tbl>
        <w:sdt>
          <w:sdtPr>
            <w:alias w:val="pabaiga"/>
            <w:tag w:val="part_e6119164e17648b3be774d6719637875"/>
            <w:id w:val="-348795455"/>
            <w:lock w:val="sdtLocked"/>
          </w:sdtPr>
          <w:sdtEndPr/>
          <w:sdtContent>
            <w:bookmarkStart w:id="0" w:name="_GoBack" w:displacedByCustomXml="prev"/>
            <w:p w:rsidR="005E51E3" w:rsidRDefault="00A47E9A">
              <w:pPr>
                <w:spacing w:line="276" w:lineRule="auto"/>
                <w:jc w:val="center"/>
                <w:rPr>
                  <w:sz w:val="22"/>
                  <w:szCs w:val="22"/>
                  <w:u w:val="single"/>
                </w:rPr>
              </w:pPr>
              <w:r>
                <w:rPr>
                  <w:rFonts w:ascii="Calibri" w:eastAsia="Calibri" w:hAnsi="Calibri"/>
                  <w:sz w:val="22"/>
                  <w:szCs w:val="22"/>
                  <w:u w:val="single"/>
                </w:rPr>
                <w:t>________________</w:t>
              </w:r>
            </w:p>
            <w:p w:rsidR="005E51E3" w:rsidRDefault="00A47E9A">
              <w:pPr>
                <w:spacing w:line="276" w:lineRule="auto"/>
                <w:jc w:val="center"/>
                <w:rPr>
                  <w:szCs w:val="24"/>
                </w:rPr>
              </w:pPr>
            </w:p>
            <w:bookmarkEnd w:id="0" w:displacedByCustomXml="next"/>
          </w:sdtContent>
        </w:sdt>
      </w:sdtContent>
    </w:sdt>
    <w:sectPr w:rsidR="005E51E3">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51E3" w:rsidRDefault="00A47E9A">
      <w:pPr>
        <w:rPr>
          <w:sz w:val="22"/>
          <w:szCs w:val="22"/>
        </w:rPr>
      </w:pPr>
      <w:r>
        <w:rPr>
          <w:sz w:val="22"/>
          <w:szCs w:val="22"/>
        </w:rPr>
        <w:separator/>
      </w:r>
    </w:p>
  </w:endnote>
  <w:endnote w:type="continuationSeparator" w:id="0">
    <w:p w:rsidR="005E51E3" w:rsidRDefault="00A47E9A">
      <w:pPr>
        <w:rPr>
          <w:sz w:val="22"/>
          <w:szCs w:val="22"/>
        </w:rPr>
      </w:pPr>
      <w:r>
        <w:rPr>
          <w:sz w:val="22"/>
          <w:szCs w:val="22"/>
        </w:rPr>
        <w:continuationSeparator/>
      </w:r>
    </w:p>
  </w:endnote>
  <w:endnote w:type="continuationNotice" w:id="1">
    <w:p w:rsidR="005E51E3" w:rsidRDefault="005E51E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5E51E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5E51E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5E51E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51E3" w:rsidRDefault="00A47E9A">
      <w:pPr>
        <w:rPr>
          <w:sz w:val="22"/>
          <w:szCs w:val="22"/>
        </w:rPr>
      </w:pPr>
      <w:r>
        <w:rPr>
          <w:sz w:val="22"/>
          <w:szCs w:val="22"/>
        </w:rPr>
        <w:separator/>
      </w:r>
    </w:p>
  </w:footnote>
  <w:footnote w:type="continuationSeparator" w:id="0">
    <w:p w:rsidR="005E51E3" w:rsidRDefault="00A47E9A">
      <w:pPr>
        <w:rPr>
          <w:sz w:val="22"/>
          <w:szCs w:val="22"/>
        </w:rPr>
      </w:pPr>
      <w:r>
        <w:rPr>
          <w:sz w:val="22"/>
          <w:szCs w:val="22"/>
        </w:rPr>
        <w:continuationSeparator/>
      </w:r>
    </w:p>
  </w:footnote>
  <w:footnote w:type="continuationNotice" w:id="1">
    <w:p w:rsidR="005E51E3" w:rsidRDefault="005E51E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5E51E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A47E9A">
    <w:pPr>
      <w:tabs>
        <w:tab w:val="center" w:pos="4819"/>
        <w:tab w:val="right" w:pos="9638"/>
      </w:tabs>
      <w:jc w:val="center"/>
      <w:rPr>
        <w:sz w:val="22"/>
        <w:szCs w:val="22"/>
      </w:rPr>
    </w:pPr>
    <w:r>
      <w:rPr>
        <w:szCs w:val="22"/>
      </w:rPr>
      <w:fldChar w:fldCharType="begin"/>
    </w:r>
    <w:r>
      <w:rPr>
        <w:szCs w:val="22"/>
      </w:rPr>
      <w:instrText xml:space="preserve">PAGE </w:instrText>
    </w:r>
    <w:r>
      <w:rPr>
        <w:szCs w:val="22"/>
      </w:rPr>
      <w:instrText xml:space="preserve">  \* MERGEFORMAT</w:instrText>
    </w:r>
    <w:r>
      <w:rPr>
        <w:szCs w:val="22"/>
      </w:rPr>
      <w:fldChar w:fldCharType="separate"/>
    </w:r>
    <w:r>
      <w:rPr>
        <w:noProof/>
        <w:szCs w:val="22"/>
      </w:rPr>
      <w:t>2</w:t>
    </w:r>
    <w:r>
      <w:rPr>
        <w:szCs w:val="22"/>
      </w:rPr>
      <w:fldChar w:fldCharType="end"/>
    </w:r>
  </w:p>
  <w:p w:rsidR="005E51E3" w:rsidRDefault="005E51E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51E3" w:rsidRDefault="005E51E3">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E51E3"/>
    <w:rsid w:val="00A361B0"/>
    <w:rsid w:val="00A47E9A"/>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47E9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99897037">
      <w:bodyDiv w:val="1"/>
      <w:marLeft w:val="0"/>
      <w:marRight w:val="0"/>
      <w:marTop w:val="0"/>
      <w:marBottom w:val="0"/>
      <w:divBdr>
        <w:top w:val="none" w:sz="0" w:space="0" w:color="auto"/>
        <w:left w:val="none" w:sz="0" w:space="0" w:color="auto"/>
        <w:bottom w:val="none" w:sz="0" w:space="0" w:color="auto"/>
        <w:right w:val="none" w:sz="0" w:space="0" w:color="auto"/>
      </w:divBdr>
    </w:div>
    <w:div w:id="279993037">
      <w:bodyDiv w:val="1"/>
      <w:marLeft w:val="0"/>
      <w:marRight w:val="0"/>
      <w:marTop w:val="0"/>
      <w:marBottom w:val="0"/>
      <w:divBdr>
        <w:top w:val="none" w:sz="0" w:space="0" w:color="auto"/>
        <w:left w:val="none" w:sz="0" w:space="0" w:color="auto"/>
        <w:bottom w:val="none" w:sz="0" w:space="0" w:color="auto"/>
        <w:right w:val="none" w:sz="0" w:space="0" w:color="auto"/>
      </w:divBdr>
    </w:div>
    <w:div w:id="566039286">
      <w:bodyDiv w:val="1"/>
      <w:marLeft w:val="0"/>
      <w:marRight w:val="0"/>
      <w:marTop w:val="0"/>
      <w:marBottom w:val="0"/>
      <w:divBdr>
        <w:top w:val="none" w:sz="0" w:space="0" w:color="auto"/>
        <w:left w:val="none" w:sz="0" w:space="0" w:color="auto"/>
        <w:bottom w:val="none" w:sz="0" w:space="0" w:color="auto"/>
        <w:right w:val="none" w:sz="0" w:space="0" w:color="auto"/>
      </w:divBdr>
    </w:div>
    <w:div w:id="85924381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7558845">
      <w:bodyDiv w:val="1"/>
      <w:marLeft w:val="0"/>
      <w:marRight w:val="0"/>
      <w:marTop w:val="0"/>
      <w:marBottom w:val="0"/>
      <w:divBdr>
        <w:top w:val="none" w:sz="0" w:space="0" w:color="auto"/>
        <w:left w:val="none" w:sz="0" w:space="0" w:color="auto"/>
        <w:bottom w:val="none" w:sz="0" w:space="0" w:color="auto"/>
        <w:right w:val="none" w:sz="0" w:space="0" w:color="auto"/>
      </w:divBdr>
    </w:div>
    <w:div w:id="1152794452">
      <w:bodyDiv w:val="1"/>
      <w:marLeft w:val="0"/>
      <w:marRight w:val="0"/>
      <w:marTop w:val="0"/>
      <w:marBottom w:val="0"/>
      <w:divBdr>
        <w:top w:val="none" w:sz="0" w:space="0" w:color="auto"/>
        <w:left w:val="none" w:sz="0" w:space="0" w:color="auto"/>
        <w:bottom w:val="none" w:sz="0" w:space="0" w:color="auto"/>
        <w:right w:val="none" w:sz="0" w:space="0" w:color="auto"/>
      </w:divBdr>
    </w:div>
    <w:div w:id="141528175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E341585-82BA-4D75-92E3-492DF6D9CF8E}"/>
      </w:docPartPr>
      <w:docPartBody>
        <w:p w:rsidR="00000000" w:rsidRDefault="00D71799">
          <w:r w:rsidRPr="00923DF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1799"/>
    <w:rsid w:val="00D717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717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3" Abbr="3 pr." Title="2021–2030 M. PLĖTROS PROGRAMOS VALDYTOJOS LIETUVOS RESPUBLIKOS ŠVIETIMO, MOKSLO IR SPORTO MINISTERIJOS ŠVIETIMO PLĖTROS PROGRAMOS PAŽANGOS PRIEMONĖS NR. 12-003-03-01-04 „UŽTIKRINTI VISIEMS PRIEINAMĄ ANKSTYVĄJĮ UGDYMĄ“ PROJEKTŲ FINANSAVIMO SĄLYGŲ APRAŠAS NR. 3" DocPartId="8033284b7709433e9d4810ee3f700eb5" PartId="2d9095f5368942e2b0ff7470d00ba9d1">
    <Part Type="pabaiga" DocPartId="93fcbc699eed4fbfb2f2f2bb4a59e3f8" PartId="fbf90b9454174842b7442962dea159d6"/>
  </Part>
  <Part Type="priedas" Abbr="pr." Title="3 priedo priedas  PROJEKTO (ĮSKAITANT JUNGTINĮ PROJEKTĄ) ATITIKTIES REIKŠMINGOS ŽALOS NEDARYMO HORIZONTALIAJAM PRINCIPUI VERTINIMO REIKALAVIMŲ APRAŠAS" DocPartId="3d0b14c7ba5c4d4f88f2a1c4976d74a4" PartId="b7e3bdb5f0f54d6f837a34709227990a">
    <Part Type="pabaiga" DocPartId="5e17076718f847028b49d27427b82500" PartId="e6119164e17648b3be774d6719637875"/>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0B8D3BB-D5B5-45F5-9BB0-20FED1796D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71D5EAFB-FBD6-41B2-8A28-C956EEA3A13B}">
  <ds:schemaRefs>
    <ds:schemaRef ds:uri="http://lrs.lt/TAIS/DocParts"/>
  </ds:schemaRefs>
</ds:datastoreItem>
</file>

<file path=customXml/itemProps5.xml><?xml version="1.0" encoding="utf-8"?>
<ds:datastoreItem xmlns:ds="http://schemas.openxmlformats.org/officeDocument/2006/customXml" ds:itemID="{E12AE7FB-E7B6-4F39-945C-4C0514D95F17}">
  <ds:schemaRefs>
    <ds:schemaRef ds:uri="http://schemas.openxmlformats.org/officeDocument/2006/bibliography"/>
  </ds:schemaRefs>
</ds:datastoreItem>
</file>

<file path=customXml/itemProps6.xml><?xml version="1.0" encoding="utf-8"?>
<ds:datastoreItem xmlns:ds="http://schemas.openxmlformats.org/officeDocument/2006/customXml" ds:itemID="{5483CA31-1F70-404C-ACCB-3BAA18C5EC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18528</Words>
  <Characters>10562</Characters>
  <Application>Microsoft Office Word</Application>
  <DocSecurity>0</DocSecurity>
  <Lines>88</Lines>
  <Paragraphs>58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1e315d4f-a1ba-453f-95b6-e78fa9ab5924</vt:lpstr>
      <vt:lpstr>1e315d4f-a1ba-453f-95b6-e78fa9ab5924</vt:lpstr>
    </vt:vector>
  </TitlesOfParts>
  <Company>HP Inc.</Company>
  <LinksUpToDate>false</LinksUpToDate>
  <CharactersWithSpaces>29032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1e315d4f-a1ba-453f-95b6-e78fa9ab5924</dc:title>
  <dc:creator>Virginija Levinskienė</dc:creator>
  <cp:lastModifiedBy>DZIKAITĖ Jolanta</cp:lastModifiedBy>
  <cp:revision>3</cp:revision>
  <cp:lastPrinted>2023-01-04T12:41:00Z</cp:lastPrinted>
  <dcterms:created xsi:type="dcterms:W3CDTF">2025-03-12T13:39:00Z</dcterms:created>
  <dcterms:modified xsi:type="dcterms:W3CDTF">2025-03-12T14:03:00Z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1110;#Jurgita Jurkynienė;#63;#Eglė Vizbarė;#1119;#Mantas Bernotas;#1206;#Jurgita Merkevičienė;#166;#Margarita Kairienė</vt:lpwstr>
  </property>
  <property fmtid="{D5CDD505-2E9C-101B-9397-08002B2CF9AE}" pid="6" name="TaxCatchAll">
    <vt:lpwstr/>
  </property>
  <property fmtid="{D5CDD505-2E9C-101B-9397-08002B2CF9AE}" pid="7" name="Komentarai">
    <vt:lpwstr>Pridėta vizavimo metu</vt:lpwstr>
  </property>
</Properties>
</file>