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f9d94724851e46b18e80945b9e85b234"/>
        <w:lock w:val="sdtLocked"/>
        <w:richText/>
      </w:sdtPr>
      <w:sdtContent>
        <w:p w14:paraId="7ECB21C6" w14:textId="77777777">
          <w:pPr>
            <w:tabs>
              <w:tab w:val="center" w:pos="4819"/>
              <w:tab w:val="right" w:pos="9638"/>
            </w:tabs>
            <w:rPr>
              <w:sz w:val="22"/>
              <w:szCs w:val="22"/>
            </w:rPr>
          </w:pPr>
        </w:p>
        <w:p w14:paraId="47312F93" w14:textId="25B78A3A">
          <w:pPr>
            <w:ind w:left="9214" w:right="678"/>
            <w:jc w:val="both"/>
            <w:rPr>
              <w:szCs w:val="24"/>
            </w:rPr>
          </w:pPr>
          <w:r>
            <w:rPr>
              <w:szCs w:val="24"/>
            </w:rPr>
            <w:t>7 priedo „2021–2030 m. plėtros programos valdytojos Lietuvos Respublikos švietimo, mokslo ir sporto ministerijos švietimo plėtros programos pažangos priemonės Nr. 12-003-03-04-03 „Sukurti rinkos poreikius atliepiančią profesinio mokymo sistemą“ projektų finansavimo sąlygų aprašo Nr. 7“</w:t>
          </w:r>
        </w:p>
        <w:p w14:paraId="2D6F8FF4" w14:textId="1C920781">
          <w:pPr>
            <w:ind w:left="9214" w:right="678"/>
            <w:jc w:val="both"/>
            <w:rPr>
              <w:szCs w:val="24"/>
            </w:rPr>
          </w:pPr>
          <w:r>
            <w:rPr>
              <w:szCs w:val="24"/>
            </w:rPr>
            <w:t>priedas</w:t>
          </w:r>
        </w:p>
        <w:p w14:paraId="37B52666" w14:textId="54467126">
          <w:pPr>
            <w:ind w:left="7785" w:firstLine="844"/>
            <w:jc w:val="both"/>
            <w:rPr>
              <w:szCs w:val="24"/>
            </w:rPr>
          </w:pPr>
        </w:p>
        <w:p w14:paraId="3B8EE97A" w14:textId="77777777">
          <w:pPr>
            <w:ind w:right="678"/>
            <w:jc w:val="center"/>
            <w:rPr>
              <w:rFonts w:eastAsia="Calibri"/>
              <w:b/>
              <w:bCs/>
              <w:szCs w:val="24"/>
            </w:rPr>
          </w:pPr>
          <w:sdt>
            <w:sdtPr>
              <w:alias w:val="Pavadinimas"/>
              <w:tag w:val="title_f9d94724851e46b18e80945b9e85b234"/>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749FBFAA" w14:textId="77777777">
          <w:pPr>
            <w:jc w:val="center"/>
            <w:rPr>
              <w:rFonts w:eastAsia="Calibri"/>
              <w:b/>
              <w:bCs/>
              <w:szCs w:val="24"/>
            </w:rPr>
          </w:pPr>
        </w:p>
        <w:p w14:paraId="2F88CE80"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E66D426" w14:textId="77777777">
          <w:pPr>
            <w:spacing w:line="276" w:lineRule="auto"/>
            <w:ind w:firstLine="124"/>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Pr>
              <w:rFonts w:eastAsia="Calibri"/>
              <w:sz w:val="22"/>
              <w:szCs w:val="22"/>
              <w:shd w:val="clear" w:color="auto" w:fill="FFFFFF"/>
            </w:rPr>
            <w:fldChar w:fldCharType="separate"/>
          </w:r>
          <w:r>
            <w:rPr>
              <w:rFonts w:eastAsia="Calibri"/>
              <w:sz w:val="22"/>
              <w:szCs w:val="22"/>
              <w:shd w:val="clear" w:color="auto" w:fill="FFFFFF"/>
            </w:rPr>
            <w:fldChar w:fldCharType="end"/>
          </w:r>
          <w:r>
            <w:rPr>
              <w:rFonts w:eastAsia="Calibri"/>
              <w:bCs/>
              <w:szCs w:val="24"/>
            </w:rPr>
            <w:t>Ekonomikos gaivinimo ir atsparumo didinimo priemonė (toliau – EGADP)</w:t>
          </w:r>
        </w:p>
        <w:p w14:paraId="39E592DE" w14:textId="77777777">
          <w:pPr>
            <w:spacing w:line="276" w:lineRule="auto"/>
            <w:ind w:firstLine="114"/>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t>Europos Sąjungos fondų i</w:t>
          </w:r>
          <w:r>
            <w:rPr>
              <w:rFonts w:eastAsia="Calibri"/>
              <w:bCs/>
              <w:szCs w:val="24"/>
            </w:rPr>
            <w:t>nvesticijų programa (toliau – ESIP)</w:t>
          </w:r>
        </w:p>
        <w:p w14:paraId="3740190E"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14:paraId="122D8CE9" w14:textId="77777777">
            <w:tc>
              <w:tcPr>
                <w:tcW w:w="4933" w:type="dxa"/>
                <w:tcBorders>
                  <w:top w:val="single" w:sz="4" w:space="0" w:color="auto"/>
                  <w:left w:val="single" w:sz="4" w:space="0" w:color="auto"/>
                  <w:bottom w:val="single" w:sz="4" w:space="0" w:color="auto"/>
                  <w:right w:val="single" w:sz="4" w:space="0" w:color="auto"/>
                </w:tcBorders>
              </w:tcPr>
              <w:p w14:paraId="310DEFB9" w14:textId="77777777">
                <w:pPr>
                  <w:jc w:val="center"/>
                  <w:rPr>
                    <w:rFonts w:eastAsia="Calibri"/>
                    <w:szCs w:val="24"/>
                  </w:rPr>
                </w:pPr>
                <w:r>
                  <w:rPr>
                    <w:rFonts w:eastAsia="Calibri"/>
                    <w:szCs w:val="24"/>
                  </w:rPr>
                  <w:t>Aplinkos tikslai</w:t>
                </w:r>
              </w:p>
              <w:p w14:paraId="7EB26A8A" w14:textId="77777777">
                <w:pPr>
                  <w:jc w:val="center"/>
                  <w:rPr>
                    <w:rFonts w:eastAsia="Calibri"/>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1DAE2446" w14:textId="77777777">
                <w:pPr>
                  <w:jc w:val="center"/>
                  <w:rPr>
                    <w:rFonts w:eastAsia="Calibri"/>
                    <w:szCs w:val="24"/>
                  </w:rPr>
                </w:pPr>
                <w:r>
                  <w:rPr>
                    <w:rFonts w:eastAsia="Calibri"/>
                    <w:szCs w:val="24"/>
                  </w:rPr>
                  <w:t>Pagrindimas</w:t>
                </w:r>
              </w:p>
              <w:p w14:paraId="3CB259E3" w14:textId="77777777">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dalį,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212F25BE" w14:textId="77777777">
                <w:pPr>
                  <w:jc w:val="center"/>
                  <w:rPr>
                    <w:rFonts w:eastAsia="Calibri"/>
                    <w:szCs w:val="24"/>
                  </w:rPr>
                </w:pPr>
                <w:r>
                  <w:rPr>
                    <w:rFonts w:eastAsia="Calibri"/>
                    <w:szCs w:val="24"/>
                  </w:rPr>
                  <w:t>Pagrindimo dokumentai</w:t>
                </w:r>
              </w:p>
              <w:p w14:paraId="28C7C06B" w14:textId="77777777">
                <w:pPr>
                  <w:jc w:val="center"/>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14:paraId="0CFE4EA7" w14:textId="77777777">
            <w:tc>
              <w:tcPr>
                <w:tcW w:w="4933" w:type="dxa"/>
                <w:tcBorders>
                  <w:top w:val="single" w:sz="4" w:space="0" w:color="auto"/>
                  <w:left w:val="single" w:sz="4" w:space="0" w:color="auto"/>
                  <w:bottom w:val="single" w:sz="4" w:space="0" w:color="auto"/>
                  <w:right w:val="single" w:sz="4" w:space="0" w:color="auto"/>
                </w:tcBorders>
              </w:tcPr>
              <w:p w14:paraId="7883776B" w14:textId="77777777">
                <w:pPr>
                  <w:ind w:left="29"/>
                  <w:rPr>
                    <w:rFonts w:eastAsia="Calibri"/>
                    <w:szCs w:val="24"/>
                  </w:rPr>
                </w:pPr>
                <w:r>
                  <w:rPr>
                    <w:rFonts w:eastAsia="Calibri"/>
                    <w:szCs w:val="24"/>
                  </w:rPr>
                  <w:t>1.</w:t>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66894D96" w14:textId="3FB1BC2D">
                <w:pPr>
                  <w:jc w:val="center"/>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Projekto veiklos bus skirtos profesinio mokymo prieinamumo gerinimui </w:t>
                </w:r>
                <w:r>
                  <w:t xml:space="preserve">mokiniams, turintiems specialiųjų ugdymosi poreikių, ir mokiniams iš nepalankaus SEK. Veiklos </w:t>
                </w:r>
                <w:r>
                  <w:rPr>
                    <w:rFonts w:eastAsia="Calibri"/>
                    <w:szCs w:val="24"/>
                  </w:rPr>
                  <w:t xml:space="preserve">apims šiems mokiniams pritaikytų </w:t>
                </w:r>
                <w:r>
                  <w:t xml:space="preserve">metodinių priemonių parengimą, neformaliojo švietimo veiklų / </w:t>
                </w:r>
                <w:r>
                  <w:rPr>
                    <w:color w:val="000000"/>
                    <w:shd w:val="clear" w:color="auto" w:fill="FFFFFF"/>
                  </w:rPr>
                  <w:t xml:space="preserve">mokymų organizavimą, aprūpinimą </w:t>
                </w:r>
                <w:r>
                  <w:t>priemonėmis, įranga, finansinių paskatų suteikimą, mokytojų ir švietimo pagalbos specialistų kompetencijų tobulinimą.</w:t>
                </w:r>
                <w:r>
                  <w:rPr>
                    <w:rFonts w:eastAsia="Calibri"/>
                    <w:szCs w:val="24"/>
                  </w:rPr>
                  <w:t xml:space="preserve"> Ši veikla neturės jokio neigiamo tiesioginio ar netiesioginio poveikio klimato kaitos švelninimo tikslui, nes nenumatoma, kad įgyvendinant veiklas galėtų būti ŠESD išsiskyrimas.    </w:t>
                </w:r>
              </w:p>
            </w:tc>
            <w:tc>
              <w:tcPr>
                <w:tcW w:w="5387" w:type="dxa"/>
                <w:tcBorders>
                  <w:top w:val="single" w:sz="4" w:space="0" w:color="auto"/>
                  <w:left w:val="single" w:sz="4" w:space="0" w:color="auto"/>
                  <w:bottom w:val="single" w:sz="4" w:space="0" w:color="auto"/>
                  <w:right w:val="single" w:sz="4" w:space="0" w:color="auto"/>
                </w:tcBorders>
              </w:tcPr>
              <w:p w14:paraId="3C726E4D" w14:textId="77777777">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 xml:space="preserve">mokiniams, turintiems specialiųjų ugdymosi poreikių, ir mokiniams iš nepalankaus SEK. </w:t>
                </w:r>
              </w:p>
            </w:tc>
          </w:tr>
          <w:tr w14:paraId="5880F787" w14:textId="77777777">
            <w:tc>
              <w:tcPr>
                <w:tcW w:w="4933" w:type="dxa"/>
                <w:tcBorders>
                  <w:top w:val="single" w:sz="4" w:space="0" w:color="auto"/>
                  <w:left w:val="single" w:sz="4" w:space="0" w:color="auto"/>
                  <w:bottom w:val="single" w:sz="4" w:space="0" w:color="auto"/>
                  <w:right w:val="single" w:sz="4" w:space="0" w:color="auto"/>
                </w:tcBorders>
              </w:tcPr>
              <w:p w14:paraId="131C0582" w14:textId="77777777">
                <w:pPr>
                  <w:rPr>
                    <w:rFonts w:eastAsia="Calibri"/>
                    <w:szCs w:val="24"/>
                  </w:rPr>
                </w:pPr>
                <w:r>
                  <w:rPr>
                    <w:rFonts w:eastAsia="Calibri"/>
                    <w:szCs w:val="24"/>
                  </w:rPr>
                  <w:t>2.</w:t>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350BFF7A" w14:textId="77777777">
                <w:pPr>
                  <w:jc w:val="center"/>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Borders>
                  <w:top w:val="single" w:sz="4" w:space="0" w:color="auto"/>
                  <w:left w:val="single" w:sz="4" w:space="0" w:color="auto"/>
                  <w:bottom w:val="single" w:sz="4" w:space="0" w:color="auto"/>
                  <w:right w:val="single" w:sz="4" w:space="0" w:color="auto"/>
                </w:tcBorders>
              </w:tcPr>
              <w:p w14:paraId="2854CE74" w14:textId="77777777">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r w14:paraId="7107005C" w14:textId="77777777">
            <w:tc>
              <w:tcPr>
                <w:tcW w:w="4933" w:type="dxa"/>
                <w:tcBorders>
                  <w:top w:val="single" w:sz="4" w:space="0" w:color="auto"/>
                  <w:left w:val="single" w:sz="4" w:space="0" w:color="auto"/>
                  <w:bottom w:val="single" w:sz="4" w:space="0" w:color="auto"/>
                  <w:right w:val="single" w:sz="4" w:space="0" w:color="auto"/>
                </w:tcBorders>
              </w:tcPr>
              <w:p w14:paraId="66A4E981" w14:textId="77777777">
                <w:pPr>
                  <w:rPr>
                    <w:rFonts w:eastAsia="Calibri"/>
                    <w:szCs w:val="24"/>
                  </w:rPr>
                </w:pPr>
                <w:r>
                  <w:rPr>
                    <w:rFonts w:eastAsia="Calibri"/>
                    <w:szCs w:val="24"/>
                  </w:rPr>
                  <w:t>3.</w:t>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F9EF68B" w14:textId="77777777">
                <w:pPr>
                  <w:jc w:val="center"/>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numatoma kurti infrastruktūra gali apimti tik nedidelius kelių patalpų pritaikymus įrengiant juose multisensorinius kambarius, todėl iš esmės negali turėti poveikio tausiam vandens ir jūrų išteklių naudojimui: pagrindinės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06515EC" w14:textId="77777777">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r w14:paraId="006C06F2" w14:textId="77777777">
            <w:tc>
              <w:tcPr>
                <w:tcW w:w="4933" w:type="dxa"/>
                <w:tcBorders>
                  <w:top w:val="single" w:sz="4" w:space="0" w:color="auto"/>
                  <w:left w:val="single" w:sz="4" w:space="0" w:color="auto"/>
                  <w:bottom w:val="single" w:sz="4" w:space="0" w:color="auto"/>
                  <w:right w:val="single" w:sz="4" w:space="0" w:color="auto"/>
                </w:tcBorders>
              </w:tcPr>
              <w:p w14:paraId="34A5AC8E" w14:textId="77777777">
                <w:pPr>
                  <w:rPr>
                    <w:rFonts w:eastAsia="Calibri"/>
                    <w:szCs w:val="24"/>
                  </w:rPr>
                </w:pPr>
                <w:r>
                  <w:rPr>
                    <w:rFonts w:eastAsia="Calibri"/>
                    <w:szCs w:val="24"/>
                  </w:rPr>
                  <w:t>4.</w:t>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2D9830D" w14:textId="77777777">
                <w:pPr>
                  <w:jc w:val="center"/>
                  <w:rPr>
                    <w:rFonts w:eastAsia="Calibri"/>
                    <w:szCs w:val="24"/>
                  </w:rPr>
                </w:pPr>
                <w:r>
                  <w:rPr>
                    <w:rFonts w:eastAsia="Calibri"/>
                    <w:szCs w:val="24"/>
                  </w:rPr>
                  <w:t xml:space="preserve">Vertinama, kad planuojama įgyvendinti  priemonė neturi jokio numatomo poveikio šiam aplinkos tikslui arba numatomas jos poveikis yra nereikšmingas, kadangi įgyvendinant veiklas iš esmės nenumatoma kurti infrastruktūros, kuri daro žalą žiedinei ekonomikai, įskaitant atliekų prevenciją ir perdirbimą: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D855DCA" w14:textId="77777777">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r w14:paraId="0118DDF1" w14:textId="77777777">
            <w:tc>
              <w:tcPr>
                <w:tcW w:w="4933" w:type="dxa"/>
                <w:tcBorders>
                  <w:top w:val="single" w:sz="4" w:space="0" w:color="auto"/>
                  <w:left w:val="single" w:sz="4" w:space="0" w:color="auto"/>
                  <w:bottom w:val="single" w:sz="4" w:space="0" w:color="auto"/>
                  <w:right w:val="single" w:sz="4" w:space="0" w:color="auto"/>
                </w:tcBorders>
              </w:tcPr>
              <w:p w14:paraId="4B532F6E" w14:textId="77777777">
                <w:pPr>
                  <w:rPr>
                    <w:rFonts w:eastAsia="Calibri"/>
                    <w:szCs w:val="24"/>
                  </w:rPr>
                </w:pPr>
                <w:r>
                  <w:rPr>
                    <w:rFonts w:eastAsia="Calibri"/>
                    <w:szCs w:val="24"/>
                  </w:rPr>
                  <w:t>5.</w:t>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514F6DAC" w14:textId="66CA1C70">
                <w:pPr>
                  <w:jc w:val="center"/>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iš esmės nenumatoma kurti infrastruktūros, kuri turėtų įtakos didelei oro, vandens ir dirvožemio taršai susidaryti: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6F2F3533" w14:textId="77777777">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r w14:paraId="7AA42760" w14:textId="77777777">
            <w:tc>
              <w:tcPr>
                <w:tcW w:w="4933" w:type="dxa"/>
                <w:tcBorders>
                  <w:top w:val="single" w:sz="4" w:space="0" w:color="auto"/>
                  <w:left w:val="single" w:sz="4" w:space="0" w:color="auto"/>
                  <w:bottom w:val="single" w:sz="4" w:space="0" w:color="auto"/>
                  <w:right w:val="single" w:sz="4" w:space="0" w:color="auto"/>
                </w:tcBorders>
              </w:tcPr>
              <w:p w14:paraId="32071622" w14:textId="77777777">
                <w:pPr>
                  <w:rPr>
                    <w:rFonts w:eastAsia="Calibri"/>
                    <w:szCs w:val="24"/>
                  </w:rPr>
                </w:pPr>
                <w:r>
                  <w:rPr>
                    <w:rFonts w:eastAsia="Calibri"/>
                    <w:szCs w:val="24"/>
                  </w:rPr>
                  <w:t>6.</w:t>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54E8D6F1" w14:textId="77777777">
                <w:pPr>
                  <w:jc w:val="center"/>
                  <w:rPr>
                    <w:rFonts w:eastAsia="Calibri"/>
                    <w:szCs w:val="24"/>
                  </w:rPr>
                </w:pPr>
                <w:r>
                  <w:rPr>
                    <w:rFonts w:eastAsia="Calibri"/>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Borders>
                  <w:top w:val="single" w:sz="4" w:space="0" w:color="auto"/>
                  <w:left w:val="single" w:sz="4" w:space="0" w:color="auto"/>
                  <w:bottom w:val="single" w:sz="4" w:space="0" w:color="auto"/>
                  <w:right w:val="single" w:sz="4" w:space="0" w:color="auto"/>
                </w:tcBorders>
              </w:tcPr>
              <w:p w14:paraId="038AB090" w14:textId="77777777">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bl>
        <w:p w14:paraId="06878E61" w14:textId="77777777">
          <w:pPr>
            <w:spacing w:line="276" w:lineRule="auto"/>
            <w:jc w:val="center"/>
            <w:rPr>
              <w:rFonts w:ascii="Calibri" w:eastAsia="Calibri" w:hAnsi="Calibri"/>
              <w:sz w:val="22"/>
              <w:szCs w:val="22"/>
            </w:rPr>
          </w:pPr>
        </w:p>
        <w:p w14:paraId="196DE67F" w14:textId="77777777">
          <w:pPr>
            <w:rPr>
              <w:sz w:val="18"/>
              <w:szCs w:val="18"/>
            </w:rPr>
          </w:pPr>
        </w:p>
        <w:sdt>
          <w:sdtPr>
            <w:alias w:val="pabaiga"/>
            <w:tag w:val="part_4adce01aa67042a19a97aa4d1787e1b0"/>
            <w:lock w:val="sdtLocked"/>
            <w:richText/>
          </w:sdtPr>
          <w:sdtContent>
            <w:p w14:paraId="28306603" w14:textId="77777777">
              <w:pPr>
                <w:spacing w:line="276" w:lineRule="auto"/>
                <w:jc w:val="center"/>
                <w:rPr>
                  <w:szCs w:val="24"/>
                </w:rPr>
              </w:pPr>
              <w:r>
                <w:rPr>
                  <w:rFonts w:ascii="Calibri" w:eastAsia="Calibri" w:hAnsi="Calibri"/>
                  <w:sz w:val="22"/>
                  <w:szCs w:val="22"/>
                </w:rPr>
                <w:t>________________</w:t>
              </w:r>
            </w:p>
            <w:p w14:paraId="63C64CB1" w14:textId="77777777"/>
            <w:p w14:paraId="423FB057"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48CBF" w14:textId="77777777">
      <w:r>
        <w:separator/>
      </w:r>
    </w:p>
  </w:endnote>
  <w:endnote w:type="continuationSeparator" w:id="0">
    <w:p w14:paraId="1CB8BCF2"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F0524"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1F12E"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439B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1C34B7" w14:textId="77777777">
      <w:r>
        <w:separator/>
      </w:r>
    </w:p>
  </w:footnote>
  <w:footnote w:type="continuationSeparator" w:id="0">
    <w:p w14:paraId="22B0D6A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2714A"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CBA4A" w14:textId="2306469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14:paraId="15837E9B"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1743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BA5B"/>
  <w15:docId w15:val="{F6B0EEB3-6D29-4482-B251-73DB648F3A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PROJEKTO (ĮSKAITANT JUNGTINĮ PROJEKTĄ) ATITIKTIES REIKŠMINGOS ŽALOS NEDARYMO HORIZONTALIAJAM PRINCIPUI VERTINIMO REIKALAVIMŲ APRAŠAS" DocPartId="b2a2edadc98e468f812f1dea2856c3f0" PartId="f9d94724851e46b18e80945b9e85b234">
    <Part Type="pabaiga" DocPartId="014956932bb54a0aa6758cddbddba3a6" PartId="4adce01aa67042a19a97aa4d1787e1b0"/>
  </Part>
</Parts>
</file>

<file path=customXml/itemProps1.xml><?xml version="1.0" encoding="utf-8"?>
<ds:datastoreItem xmlns:ds="http://schemas.openxmlformats.org/officeDocument/2006/customXml" ds:itemID="{E20BA0EF-3896-4D4B-A517-5798850987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759</Words>
  <Characters>5412</Characters>
  <Application>Microsoft Office Word</Application>
  <DocSecurity>4</DocSecurity>
  <Lines>159</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2024-02-28T05:37:00Z</dcterms:created>
  <dc:creator>Rotkevičienė Rimantė | ŠMSM</dc:creator>
  <lastModifiedBy>adlibuser</lastModifiedBy>
  <dcterms:modified xsi:type="dcterms:W3CDTF">2024-02-28T05:37:00Z</dcterms:modified>
  <revision>2</revision>
</coreProperties>
</file>