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e236761195be4e86b46e14cd52c240f5"/>
        <w:lock w:val="sdtLocked"/>
        <w:richText/>
      </w:sdtPr>
      <w:sdtContent>
        <w:p w14:paraId="7FBC05A8" w14:textId="77777777">
          <w:pPr>
            <w:tabs>
              <w:tab w:val="center" w:pos="4819"/>
              <w:tab w:val="right" w:pos="9638"/>
            </w:tabs>
          </w:pPr>
        </w:p>
        <w:p w14:paraId="365A63DD" w14:textId="49351BFD">
          <w:pPr>
            <w:tabs>
              <w:tab w:val="left" w:pos="9639"/>
            </w:tabs>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B5D679" w14:textId="62A10329">
          <w:pPr>
            <w:ind w:left="9639"/>
            <w:jc w:val="both"/>
            <w:rPr>
              <w:bCs/>
              <w:szCs w:val="24"/>
            </w:rPr>
          </w:pPr>
          <w:sdt>
            <w:sdtPr>
              <w:alias w:val="Numeris"/>
              <w:tag w:val="nr_e236761195be4e86b46e14cd52c240f5"/>
              <w:lock w:val="sdtLocked"/>
              <w:richText/>
            </w:sdtPr>
            <w:sdtContent>
              <w:r>
                <w:rPr>
                  <w:bCs/>
                  <w:szCs w:val="24"/>
                </w:rPr>
                <w:t>7</w:t>
              </w:r>
            </w:sdtContent>
          </w:sdt>
          <w:r>
            <w:rPr>
              <w:bCs/>
              <w:szCs w:val="24"/>
            </w:rPr>
            <w:t xml:space="preserve"> priedas</w:t>
          </w:r>
        </w:p>
        <w:p w14:paraId="0EF1BAD9" w14:textId="77777777">
          <w:pPr>
            <w:jc w:val="center"/>
          </w:pPr>
        </w:p>
        <w:p w14:paraId="31B9D969" w14:textId="6D9E243C">
          <w:pPr>
            <w:jc w:val="center"/>
            <w:rPr>
              <w:szCs w:val="24"/>
            </w:rPr>
          </w:pPr>
          <w:sdt>
            <w:sdtPr>
              <w:alias w:val="Pavadinimas"/>
              <w:tag w:val="title_e236761195be4e86b46e14cd52c240f5"/>
              <w:lock w:val="sdtLocked"/>
              <w:richText/>
            </w:sdtPr>
            <w:sdtContent>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w:t>
              </w:r>
            </w:sdtContent>
          </w:sdt>
        </w:p>
        <w:p w14:paraId="41D66F8E" w14:textId="77777777">
          <w:pPr>
            <w:spacing w:line="259" w:lineRule="auto"/>
            <w:jc w:val="center"/>
            <w:rPr>
              <w:b/>
              <w:bCs/>
              <w:sz w:val="22"/>
              <w:szCs w:val="22"/>
            </w:rPr>
          </w:pPr>
        </w:p>
        <w:p w14:paraId="5A826F54" w14:textId="77777777">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14:paraId="69D54EE3" w14:textId="71A202CE">
            <w:tc>
              <w:tcPr>
                <w:tcW w:w="15441" w:type="dxa"/>
                <w:gridSpan w:val="14"/>
                <w:vAlign w:val="center"/>
              </w:tcPr>
              <w:p w14:paraId="6F529FEE" w14:textId="69ACB144">
                <w:pPr>
                  <w:jc w:val="center"/>
                  <w:rPr>
                    <w:b/>
                    <w:bCs/>
                    <w:sz w:val="22"/>
                    <w:szCs w:val="22"/>
                  </w:rPr>
                </w:pPr>
                <w:r>
                  <w:rPr>
                    <w:b/>
                    <w:bCs/>
                    <w:sz w:val="22"/>
                    <w:szCs w:val="22"/>
                  </w:rPr>
                  <w:t>VEIKLOS AR POVEIKLĖS, KURIOMS NUSTATOMOS PROJEKTŲ FINANSAVIMO SĄLYGOS</w:t>
                </w:r>
              </w:p>
            </w:tc>
          </w:tr>
          <w:tr w14:paraId="5796977F" w14:textId="4FCE5A7B">
            <w:trPr>
              <w:gridAfter w:val="1"/>
              <w:wAfter w:w="12" w:type="dxa"/>
            </w:trPr>
            <w:tc>
              <w:tcPr>
                <w:tcW w:w="1413" w:type="dxa"/>
                <w:vAlign w:val="center"/>
              </w:tcPr>
              <w:p w14:paraId="37405BF1" w14:textId="584ADCF0">
                <w:pPr>
                  <w:jc w:val="center"/>
                  <w:rPr>
                    <w:b/>
                    <w:bCs/>
                    <w:sz w:val="20"/>
                  </w:rPr>
                </w:pPr>
                <w:r>
                  <w:rPr>
                    <w:b/>
                    <w:bCs/>
                    <w:sz w:val="20"/>
                  </w:rPr>
                  <w:t>Veiklos ar poveiklės pavadinimas</w:t>
                </w:r>
              </w:p>
            </w:tc>
            <w:tc>
              <w:tcPr>
                <w:tcW w:w="963" w:type="dxa"/>
                <w:vAlign w:val="center"/>
              </w:tcPr>
              <w:p w14:paraId="3B140198" w14:textId="6CDED723">
                <w:pPr>
                  <w:jc w:val="center"/>
                  <w:rPr>
                    <w:b/>
                    <w:bCs/>
                    <w:sz w:val="20"/>
                  </w:rPr>
                </w:pPr>
                <w:r>
                  <w:rPr>
                    <w:b/>
                    <w:bCs/>
                    <w:sz w:val="20"/>
                  </w:rPr>
                  <w:t>Finansa-vimo šaltinis</w:t>
                </w:r>
              </w:p>
            </w:tc>
            <w:tc>
              <w:tcPr>
                <w:tcW w:w="1134" w:type="dxa"/>
                <w:vAlign w:val="center"/>
              </w:tcPr>
              <w:p w14:paraId="098E0448" w14:textId="2F084F81">
                <w:pPr>
                  <w:jc w:val="center"/>
                  <w:rPr>
                    <w:b/>
                    <w:bCs/>
                    <w:sz w:val="20"/>
                  </w:rPr>
                </w:pPr>
                <w:r>
                  <w:rPr>
                    <w:b/>
                    <w:bCs/>
                    <w:sz w:val="20"/>
                  </w:rPr>
                  <w:t>Prioritetas ar kompo-nentas</w:t>
                </w:r>
              </w:p>
            </w:tc>
            <w:tc>
              <w:tcPr>
                <w:tcW w:w="1275" w:type="dxa"/>
                <w:vAlign w:val="center"/>
              </w:tcPr>
              <w:p w14:paraId="2846EC64" w14:textId="77777777">
                <w:pPr>
                  <w:jc w:val="center"/>
                  <w:rPr>
                    <w:b/>
                    <w:bCs/>
                    <w:sz w:val="20"/>
                  </w:rPr>
                </w:pPr>
                <w:r>
                  <w:rPr>
                    <w:b/>
                    <w:bCs/>
                    <w:sz w:val="20"/>
                  </w:rPr>
                  <w:t>Uždavinys ar priemonė</w:t>
                </w:r>
              </w:p>
            </w:tc>
            <w:tc>
              <w:tcPr>
                <w:tcW w:w="993" w:type="dxa"/>
                <w:vAlign w:val="center"/>
              </w:tcPr>
              <w:p w14:paraId="43E76E94" w14:textId="77777777">
                <w:pPr>
                  <w:jc w:val="center"/>
                  <w:rPr>
                    <w:b/>
                    <w:bCs/>
                    <w:sz w:val="20"/>
                  </w:rPr>
                </w:pPr>
                <w:r>
                  <w:rPr>
                    <w:b/>
                    <w:bCs/>
                    <w:sz w:val="20"/>
                  </w:rPr>
                  <w:t>Veikla ar poveiklė</w:t>
                </w:r>
              </w:p>
            </w:tc>
            <w:tc>
              <w:tcPr>
                <w:tcW w:w="1134" w:type="dxa"/>
                <w:vAlign w:val="center"/>
              </w:tcPr>
              <w:p w14:paraId="2089EABA" w14:textId="3B71F52E">
                <w:pPr>
                  <w:jc w:val="center"/>
                  <w:rPr>
                    <w:b/>
                    <w:bCs/>
                    <w:sz w:val="20"/>
                  </w:rPr>
                </w:pPr>
                <w:r>
                  <w:rPr>
                    <w:b/>
                    <w:bCs/>
                    <w:sz w:val="20"/>
                  </w:rPr>
                  <w:t>Intervencinės priemonės kodas</w:t>
                </w:r>
              </w:p>
            </w:tc>
            <w:tc>
              <w:tcPr>
                <w:tcW w:w="1133" w:type="dxa"/>
                <w:vAlign w:val="center"/>
              </w:tcPr>
              <w:p w14:paraId="65FE9592" w14:textId="77777777">
                <w:pPr>
                  <w:jc w:val="center"/>
                  <w:rPr>
                    <w:b/>
                    <w:bCs/>
                    <w:sz w:val="20"/>
                  </w:rPr>
                </w:pPr>
                <w:r>
                  <w:rPr>
                    <w:b/>
                    <w:bCs/>
                    <w:sz w:val="20"/>
                  </w:rPr>
                  <w:t>Regionas, kuriam priskiria-ma veikla ar poveiklė</w:t>
                </w:r>
              </w:p>
            </w:tc>
            <w:tc>
              <w:tcPr>
                <w:tcW w:w="1000" w:type="dxa"/>
                <w:vAlign w:val="center"/>
              </w:tcPr>
              <w:p w14:paraId="72BCDE20" w14:textId="09F954B2">
                <w:pPr>
                  <w:jc w:val="center"/>
                  <w:rPr>
                    <w:b/>
                    <w:bCs/>
                    <w:sz w:val="20"/>
                  </w:rPr>
                </w:pPr>
                <w:r>
                  <w:rPr>
                    <w:b/>
                    <w:bCs/>
                    <w:sz w:val="20"/>
                  </w:rPr>
                  <w:t>Para-mos formos kodas</w:t>
                </w:r>
              </w:p>
            </w:tc>
            <w:tc>
              <w:tcPr>
                <w:tcW w:w="1319" w:type="dxa"/>
                <w:vAlign w:val="center"/>
              </w:tcPr>
              <w:p w14:paraId="52A25488" w14:textId="77777777">
                <w:pPr>
                  <w:jc w:val="center"/>
                  <w:rPr>
                    <w:b/>
                    <w:bCs/>
                    <w:sz w:val="20"/>
                  </w:rPr>
                </w:pPr>
                <w:r>
                  <w:rPr>
                    <w:b/>
                    <w:bCs/>
                    <w:sz w:val="20"/>
                  </w:rPr>
                  <w:t>Pagrindinės teritorinės srities kodas (-ai)</w:t>
                </w:r>
              </w:p>
            </w:tc>
            <w:tc>
              <w:tcPr>
                <w:tcW w:w="1221" w:type="dxa"/>
                <w:vAlign w:val="center"/>
              </w:tcPr>
              <w:p w14:paraId="3891B641" w14:textId="13D5B0EF">
                <w:pPr>
                  <w:jc w:val="center"/>
                  <w:rPr>
                    <w:b/>
                    <w:bCs/>
                    <w:sz w:val="20"/>
                  </w:rPr>
                </w:pPr>
                <w:r>
                  <w:rPr>
                    <w:b/>
                    <w:bCs/>
                    <w:sz w:val="20"/>
                  </w:rPr>
                  <w:t>Ekonomi-nės veiklos kodas (-ai)</w:t>
                </w:r>
              </w:p>
            </w:tc>
            <w:tc>
              <w:tcPr>
                <w:tcW w:w="1287" w:type="dxa"/>
                <w:vAlign w:val="center"/>
              </w:tcPr>
              <w:p w14:paraId="4909B514" w14:textId="77777777">
                <w:pPr>
                  <w:jc w:val="center"/>
                  <w:rPr>
                    <w:b/>
                    <w:bCs/>
                    <w:sz w:val="20"/>
                  </w:rPr>
                </w:pPr>
                <w:r>
                  <w:rPr>
                    <w:b/>
                    <w:bCs/>
                    <w:sz w:val="20"/>
                  </w:rPr>
                  <w:t>„Europos socialinio fondo +“ antrinių temų kodai</w:t>
                </w:r>
              </w:p>
            </w:tc>
            <w:tc>
              <w:tcPr>
                <w:tcW w:w="1280" w:type="dxa"/>
                <w:vAlign w:val="center"/>
              </w:tcPr>
              <w:p w14:paraId="14749576" w14:textId="77777777">
                <w:pPr>
                  <w:jc w:val="center"/>
                  <w:rPr>
                    <w:b/>
                    <w:bCs/>
                    <w:sz w:val="20"/>
                  </w:rPr>
                </w:pPr>
                <w:r>
                  <w:rPr>
                    <w:b/>
                    <w:bCs/>
                    <w:sz w:val="20"/>
                  </w:rPr>
                  <w:t>Lyčių lygybės matmens kodas</w:t>
                </w:r>
              </w:p>
            </w:tc>
            <w:tc>
              <w:tcPr>
                <w:tcW w:w="1277" w:type="dxa"/>
              </w:tcPr>
              <w:p w14:paraId="43653CC7" w14:textId="77777777">
                <w:pPr>
                  <w:jc w:val="center"/>
                  <w:rPr>
                    <w:b/>
                    <w:sz w:val="20"/>
                  </w:rPr>
                </w:pPr>
                <w:r>
                  <w:rPr>
                    <w:b/>
                    <w:sz w:val="20"/>
                  </w:rPr>
                  <w:t>Nepanau-dotos Ekonomi-kos gaivinimo ir atsparumo didinimo priemonės lėšos</w:t>
                </w:r>
              </w:p>
              <w:p w14:paraId="3A72059D" w14:textId="1DD96E8B">
                <w:pPr>
                  <w:jc w:val="center"/>
                  <w:rPr>
                    <w:b/>
                    <w:bCs/>
                    <w:sz w:val="20"/>
                  </w:rPr>
                </w:pPr>
                <w:r>
                  <w:rPr>
                    <w:b/>
                    <w:sz w:val="20"/>
                  </w:rPr>
                  <w:t>(Taip / Ne)</w:t>
                </w:r>
              </w:p>
            </w:tc>
          </w:tr>
          <w:tr w14:paraId="16D996C3" w14:textId="434E2536">
            <w:trPr>
              <w:gridAfter w:val="1"/>
              <w:wAfter w:w="12" w:type="dxa"/>
              <w:trHeight w:val="278"/>
            </w:trPr>
            <w:tc>
              <w:tcPr>
                <w:tcW w:w="1413" w:type="dxa"/>
                <w:tcMar>
                  <w:left w:w="28" w:type="dxa"/>
                  <w:right w:w="28" w:type="dxa"/>
                </w:tcMar>
              </w:tcPr>
              <w:p w14:paraId="509EE98E" w14:textId="2E2CB18C">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pPr>
                  <w:rPr>
                    <w:sz w:val="22"/>
                    <w:szCs w:val="22"/>
                  </w:rPr>
                </w:pPr>
              </w:p>
            </w:tc>
            <w:tc>
              <w:tcPr>
                <w:tcW w:w="1134" w:type="dxa"/>
                <w:tcMar>
                  <w:left w:w="28" w:type="dxa"/>
                  <w:right w:w="28" w:type="dxa"/>
                </w:tcMar>
              </w:tcPr>
              <w:p w14:paraId="2D6C7B4F" w14:textId="25A3B5A4">
                <w:pPr>
                  <w:rPr>
                    <w:sz w:val="22"/>
                    <w:szCs w:val="22"/>
                  </w:rPr>
                </w:pPr>
              </w:p>
            </w:tc>
            <w:tc>
              <w:tcPr>
                <w:tcW w:w="1275" w:type="dxa"/>
                <w:tcMar>
                  <w:left w:w="28" w:type="dxa"/>
                  <w:right w:w="28" w:type="dxa"/>
                </w:tcMar>
              </w:tcPr>
              <w:p w14:paraId="740446F8" w14:textId="77777777">
                <w:pPr>
                  <w:rPr>
                    <w:b/>
                    <w:bCs/>
                    <w:sz w:val="22"/>
                    <w:szCs w:val="22"/>
                  </w:rPr>
                </w:pPr>
              </w:p>
            </w:tc>
            <w:tc>
              <w:tcPr>
                <w:tcW w:w="993" w:type="dxa"/>
                <w:tcMar>
                  <w:left w:w="28" w:type="dxa"/>
                  <w:right w:w="28" w:type="dxa"/>
                </w:tcMar>
              </w:tcPr>
              <w:p w14:paraId="6537E891" w14:textId="45247A61">
                <w:pPr>
                  <w:rPr>
                    <w:sz w:val="22"/>
                    <w:szCs w:val="22"/>
                  </w:rPr>
                </w:pPr>
              </w:p>
            </w:tc>
            <w:tc>
              <w:tcPr>
                <w:tcW w:w="1134" w:type="dxa"/>
                <w:tcMar>
                  <w:left w:w="28" w:type="dxa"/>
                  <w:right w:w="28" w:type="dxa"/>
                </w:tcMar>
              </w:tcPr>
              <w:p w14:paraId="3B98B5E3" w14:textId="475D11D2">
                <w:pPr>
                  <w:rPr>
                    <w:sz w:val="22"/>
                    <w:szCs w:val="22"/>
                  </w:rPr>
                </w:pPr>
              </w:p>
            </w:tc>
            <w:tc>
              <w:tcPr>
                <w:tcW w:w="1133" w:type="dxa"/>
                <w:tcMar>
                  <w:left w:w="28" w:type="dxa"/>
                  <w:right w:w="28" w:type="dxa"/>
                </w:tcMar>
              </w:tcPr>
              <w:p w14:paraId="6C869E1A" w14:textId="608226DF">
                <w:pPr>
                  <w:rPr>
                    <w:sz w:val="22"/>
                    <w:szCs w:val="22"/>
                  </w:rPr>
                </w:pPr>
              </w:p>
            </w:tc>
            <w:tc>
              <w:tcPr>
                <w:tcW w:w="1000" w:type="dxa"/>
                <w:tcMar>
                  <w:left w:w="28" w:type="dxa"/>
                  <w:right w:w="28" w:type="dxa"/>
                </w:tcMar>
              </w:tcPr>
              <w:p w14:paraId="036C4715" w14:textId="79F75918">
                <w:pPr>
                  <w:rPr>
                    <w:b/>
                    <w:bCs/>
                    <w:sz w:val="22"/>
                    <w:szCs w:val="22"/>
                  </w:rPr>
                </w:pPr>
              </w:p>
            </w:tc>
            <w:tc>
              <w:tcPr>
                <w:tcW w:w="1319" w:type="dxa"/>
                <w:tcMar>
                  <w:left w:w="28" w:type="dxa"/>
                  <w:right w:w="28" w:type="dxa"/>
                </w:tcMar>
              </w:tcPr>
              <w:p w14:paraId="6BEF9903" w14:textId="268484FC">
                <w:pPr>
                  <w:rPr>
                    <w:b/>
                    <w:bCs/>
                    <w:sz w:val="22"/>
                    <w:szCs w:val="22"/>
                  </w:rPr>
                </w:pPr>
              </w:p>
            </w:tc>
            <w:tc>
              <w:tcPr>
                <w:tcW w:w="1221" w:type="dxa"/>
                <w:tcMar>
                  <w:left w:w="28" w:type="dxa"/>
                  <w:right w:w="28" w:type="dxa"/>
                </w:tcMar>
              </w:tcPr>
              <w:p w14:paraId="61CE049E" w14:textId="1DC1DAAB">
                <w:pPr>
                  <w:rPr>
                    <w:b/>
                    <w:bCs/>
                    <w:sz w:val="22"/>
                    <w:szCs w:val="22"/>
                  </w:rPr>
                </w:pPr>
              </w:p>
            </w:tc>
            <w:tc>
              <w:tcPr>
                <w:tcW w:w="1287" w:type="dxa"/>
                <w:tcMar>
                  <w:left w:w="28" w:type="dxa"/>
                  <w:right w:w="28" w:type="dxa"/>
                </w:tcMar>
              </w:tcPr>
              <w:p w14:paraId="4838E9DC" w14:textId="77777777">
                <w:pPr>
                  <w:rPr>
                    <w:sz w:val="22"/>
                    <w:szCs w:val="22"/>
                  </w:rPr>
                </w:pPr>
              </w:p>
            </w:tc>
            <w:tc>
              <w:tcPr>
                <w:tcW w:w="1280" w:type="dxa"/>
                <w:tcMar>
                  <w:left w:w="28" w:type="dxa"/>
                  <w:right w:w="28" w:type="dxa"/>
                </w:tcMar>
              </w:tcPr>
              <w:p w14:paraId="578EA840" w14:textId="77777777">
                <w:pPr>
                  <w:rPr>
                    <w:sz w:val="22"/>
                    <w:szCs w:val="22"/>
                  </w:rPr>
                </w:pPr>
              </w:p>
            </w:tc>
            <w:tc>
              <w:tcPr>
                <w:tcW w:w="1277" w:type="dxa"/>
              </w:tcPr>
              <w:p w14:paraId="27F665E8" w14:textId="77777777">
                <w:pPr>
                  <w:rPr>
                    <w:sz w:val="22"/>
                    <w:szCs w:val="22"/>
                  </w:rPr>
                </w:pPr>
              </w:p>
            </w:tc>
          </w:tr>
          <w:tr w14:paraId="414643BC" w14:textId="32B02E3A">
            <w:trPr>
              <w:gridAfter w:val="1"/>
              <w:wAfter w:w="12" w:type="dxa"/>
              <w:trHeight w:val="278"/>
            </w:trPr>
            <w:tc>
              <w:tcPr>
                <w:tcW w:w="1413" w:type="dxa"/>
                <w:tcMar>
                  <w:left w:w="28" w:type="dxa"/>
                  <w:right w:w="28" w:type="dxa"/>
                </w:tcMar>
              </w:tcPr>
              <w:p w14:paraId="034B6264" w14:textId="732AB20C">
                <w:pPr>
                  <w:jc w:val="center"/>
                  <w:rPr>
                    <w:iCs/>
                    <w:sz w:val="22"/>
                    <w:szCs w:val="22"/>
                  </w:rPr>
                </w:pPr>
                <w:r>
                  <w:rPr>
                    <w:sz w:val="22"/>
                    <w:szCs w:val="22"/>
                  </w:rPr>
                  <w:t>6.1 Profesinio mokymo prieinamumo gerinimo parama mokiniams iš nepalankias sąlygas turinčių asmenų grupių</w:t>
                </w:r>
                <w:r>
                  <w:rPr>
                    <w:sz w:val="22"/>
                    <w:szCs w:val="22"/>
                    <w:lang w:eastAsia="lt-LT"/>
                  </w:rPr>
                  <w:t xml:space="preserve"> Sostinės regione</w:t>
                </w:r>
              </w:p>
            </w:tc>
            <w:tc>
              <w:tcPr>
                <w:tcW w:w="963" w:type="dxa"/>
                <w:tcMar>
                  <w:left w:w="28" w:type="dxa"/>
                  <w:right w:w="28" w:type="dxa"/>
                </w:tcMar>
              </w:tcPr>
              <w:p w14:paraId="7E0A5497" w14:textId="455F74F1">
                <w:pPr>
                  <w:shd w:val="clear" w:color="000000" w:fill="auto"/>
                  <w:ind w:right="-57"/>
                  <w:jc w:val="center"/>
                  <w:rPr>
                    <w:sz w:val="22"/>
                    <w:szCs w:val="22"/>
                  </w:rPr>
                </w:pPr>
                <w:r>
                  <w:rPr>
                    <w:rFonts w:eastAsia="Calibri"/>
                    <w:sz w:val="22"/>
                    <w:szCs w:val="22"/>
                  </w:rPr>
                  <w:t xml:space="preserve">Europos Sąjungos fondų ir bendro finansavimo </w:t>
                </w:r>
                <w:r>
                  <w:rPr>
                    <w:sz w:val="22"/>
                    <w:szCs w:val="22"/>
                  </w:rPr>
                  <w:t>lėšos</w:t>
                </w:r>
              </w:p>
            </w:tc>
            <w:tc>
              <w:tcPr>
                <w:tcW w:w="1134" w:type="dxa"/>
                <w:tcMar>
                  <w:left w:w="28" w:type="dxa"/>
                  <w:right w:w="28" w:type="dxa"/>
                </w:tcMar>
              </w:tcPr>
              <w:p w14:paraId="6D5C22E2" w14:textId="74B64689">
                <w:pPr>
                  <w:jc w:val="center"/>
                  <w:rPr>
                    <w:sz w:val="22"/>
                    <w:szCs w:val="22"/>
                  </w:rPr>
                </w:pPr>
                <w:r>
                  <w:rPr>
                    <w:sz w:val="22"/>
                    <w:szCs w:val="22"/>
                  </w:rPr>
                  <w:t>4</w:t>
                </w:r>
              </w:p>
            </w:tc>
            <w:tc>
              <w:tcPr>
                <w:tcW w:w="1275" w:type="dxa"/>
                <w:tcMar>
                  <w:left w:w="28" w:type="dxa"/>
                  <w:right w:w="28" w:type="dxa"/>
                </w:tcMar>
              </w:tcPr>
              <w:p w14:paraId="02B33CF4" w14:textId="442769FD">
                <w:pPr>
                  <w:jc w:val="center"/>
                  <w:textAlignment w:val="baseline"/>
                  <w:rPr>
                    <w:sz w:val="22"/>
                    <w:szCs w:val="22"/>
                  </w:rPr>
                </w:pPr>
                <w:r>
                  <w:rPr>
                    <w:sz w:val="22"/>
                    <w:szCs w:val="22"/>
                  </w:rPr>
                  <w:t>4.3</w:t>
                </w:r>
              </w:p>
            </w:tc>
            <w:tc>
              <w:tcPr>
                <w:tcW w:w="993" w:type="dxa"/>
                <w:tcMar>
                  <w:left w:w="28" w:type="dxa"/>
                  <w:right w:w="28" w:type="dxa"/>
                </w:tcMar>
              </w:tcPr>
              <w:p w14:paraId="31361211" w14:textId="47BA4881">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025FDD37" w14:textId="751A60EA">
                <w:pPr>
                  <w:jc w:val="center"/>
                  <w:rPr>
                    <w:sz w:val="22"/>
                    <w:szCs w:val="22"/>
                  </w:rPr>
                </w:pPr>
                <w:r>
                  <w:rPr>
                    <w:sz w:val="22"/>
                    <w:szCs w:val="22"/>
                  </w:rPr>
                  <w:t>150</w:t>
                </w:r>
              </w:p>
            </w:tc>
            <w:tc>
              <w:tcPr>
                <w:tcW w:w="1133" w:type="dxa"/>
                <w:tcMar>
                  <w:left w:w="28" w:type="dxa"/>
                  <w:right w:w="28" w:type="dxa"/>
                </w:tcMar>
              </w:tcPr>
              <w:p w14:paraId="32B63297" w14:textId="1EE8E070">
                <w:pPr>
                  <w:jc w:val="center"/>
                  <w:rPr>
                    <w:sz w:val="22"/>
                    <w:szCs w:val="22"/>
                  </w:rPr>
                </w:pPr>
                <w:r>
                  <w:rPr>
                    <w:sz w:val="22"/>
                    <w:szCs w:val="22"/>
                  </w:rPr>
                  <w:t>Sostinės regionas</w:t>
                </w:r>
              </w:p>
            </w:tc>
            <w:tc>
              <w:tcPr>
                <w:tcW w:w="1000" w:type="dxa"/>
                <w:tcMar>
                  <w:left w:w="28" w:type="dxa"/>
                  <w:right w:w="28" w:type="dxa"/>
                </w:tcMar>
              </w:tcPr>
              <w:p w14:paraId="12BF99C3" w14:textId="7A1617A4">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pPr>
                  <w:jc w:val="center"/>
                  <w:rPr>
                    <w:sz w:val="22"/>
                    <w:szCs w:val="22"/>
                  </w:rPr>
                </w:pPr>
                <w:r>
                  <w:rPr>
                    <w:iCs/>
                    <w:sz w:val="22"/>
                    <w:szCs w:val="22"/>
                  </w:rPr>
                  <w:t>03 – Neutralumas lyties požiūriu</w:t>
                </w:r>
              </w:p>
            </w:tc>
            <w:tc>
              <w:tcPr>
                <w:tcW w:w="1277" w:type="dxa"/>
              </w:tcPr>
              <w:p w14:paraId="2BEA42B6" w14:textId="77777777">
                <w:pPr>
                  <w:jc w:val="center"/>
                  <w:rPr>
                    <w:iCs/>
                    <w:sz w:val="22"/>
                    <w:szCs w:val="22"/>
                  </w:rPr>
                </w:pPr>
              </w:p>
            </w:tc>
          </w:tr>
        </w:tbl>
        <w:p w14:paraId="43A9B6D7" w14:textId="649BB347">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14:paraId="5C6F723F" w14:textId="77777777">
            <w:trPr>
              <w:trHeight w:val="405"/>
            </w:trPr>
            <w:tc>
              <w:tcPr>
                <w:tcW w:w="8359" w:type="dxa"/>
                <w:shd w:val="clear" w:color="auto" w:fill="auto"/>
                <w:vAlign w:val="center"/>
              </w:tcPr>
              <w:p w14:paraId="347985D1" w14:textId="77777777">
                <w:pPr>
                  <w:jc w:val="center"/>
                  <w:rPr>
                    <w:sz w:val="22"/>
                    <w:szCs w:val="22"/>
                  </w:rPr>
                </w:pPr>
                <w:r>
                  <w:rPr>
                    <w:sz w:val="22"/>
                    <w:szCs w:val="22"/>
                  </w:rPr>
                  <w:t>Rodiklio pavadinimas</w:t>
                </w:r>
              </w:p>
            </w:tc>
            <w:tc>
              <w:tcPr>
                <w:tcW w:w="2664" w:type="dxa"/>
                <w:shd w:val="clear" w:color="auto" w:fill="auto"/>
                <w:vAlign w:val="center"/>
              </w:tcPr>
              <w:p w14:paraId="350F67A3" w14:textId="77777777">
                <w:pPr>
                  <w:jc w:val="center"/>
                  <w:rPr>
                    <w:sz w:val="22"/>
                    <w:szCs w:val="22"/>
                  </w:rPr>
                </w:pPr>
                <w:r>
                  <w:rPr>
                    <w:sz w:val="22"/>
                    <w:szCs w:val="22"/>
                  </w:rPr>
                  <w:t>Rodiklio kodas</w:t>
                </w:r>
              </w:p>
            </w:tc>
            <w:tc>
              <w:tcPr>
                <w:tcW w:w="1984" w:type="dxa"/>
                <w:shd w:val="clear" w:color="auto" w:fill="auto"/>
                <w:vAlign w:val="center"/>
              </w:tcPr>
              <w:p w14:paraId="2B07A159" w14:textId="77777777">
                <w:pPr>
                  <w:jc w:val="center"/>
                  <w:rPr>
                    <w:sz w:val="22"/>
                    <w:szCs w:val="22"/>
                  </w:rPr>
                </w:pPr>
                <w:r>
                  <w:rPr>
                    <w:sz w:val="22"/>
                    <w:szCs w:val="22"/>
                  </w:rPr>
                  <w:t>Matavimo vienetai</w:t>
                </w:r>
              </w:p>
            </w:tc>
            <w:tc>
              <w:tcPr>
                <w:tcW w:w="2410" w:type="dxa"/>
                <w:shd w:val="clear" w:color="auto" w:fill="auto"/>
                <w:vAlign w:val="center"/>
              </w:tcPr>
              <w:p w14:paraId="5EC59199" w14:textId="4C05D771">
                <w:pPr>
                  <w:jc w:val="center"/>
                  <w:rPr>
                    <w:sz w:val="22"/>
                    <w:szCs w:val="22"/>
                  </w:rPr>
                </w:pPr>
                <w:r>
                  <w:rPr>
                    <w:sz w:val="22"/>
                    <w:szCs w:val="22"/>
                  </w:rPr>
                  <w:t>Siektina reikšmė ir pasiekimo data</w:t>
                </w:r>
              </w:p>
            </w:tc>
          </w:tr>
          <w:tr w14:paraId="5C0F6250" w14:textId="77777777">
            <w:trPr>
              <w:trHeight w:val="587"/>
            </w:trPr>
            <w:tc>
              <w:tcPr>
                <w:tcW w:w="8359" w:type="dxa"/>
              </w:tcPr>
              <w:p w14:paraId="3A7EC8A8" w14:textId="650DDA49">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2CE4B2D8" w14:textId="372B0BD8">
                <w:pPr>
                  <w:jc w:val="center"/>
                  <w:rPr>
                    <w:sz w:val="22"/>
                    <w:szCs w:val="22"/>
                  </w:rPr>
                </w:pPr>
                <w:r>
                  <w:rPr>
                    <w:sz w:val="22"/>
                    <w:szCs w:val="22"/>
                  </w:rPr>
                  <w:t>R-12-003-03-04-03-01 R.S.2.3510</w:t>
                </w:r>
              </w:p>
            </w:tc>
            <w:tc>
              <w:tcPr>
                <w:tcW w:w="1984" w:type="dxa"/>
              </w:tcPr>
              <w:p w14:paraId="5CADCBD4" w14:textId="5A06C65E">
                <w:pPr>
                  <w:jc w:val="center"/>
                  <w:rPr>
                    <w:sz w:val="22"/>
                    <w:szCs w:val="22"/>
                  </w:rPr>
                </w:pPr>
                <w:r>
                  <w:rPr>
                    <w:sz w:val="22"/>
                    <w:szCs w:val="22"/>
                  </w:rPr>
                  <w:t>Procentas</w:t>
                </w:r>
              </w:p>
            </w:tc>
            <w:tc>
              <w:tcPr>
                <w:tcW w:w="2410" w:type="dxa"/>
              </w:tcPr>
              <w:p w14:paraId="23DC78B4" w14:textId="18C9B9FF">
                <w:pPr>
                  <w:jc w:val="center"/>
                  <w:rPr>
                    <w:sz w:val="22"/>
                    <w:szCs w:val="22"/>
                  </w:rPr>
                </w:pPr>
                <w:r>
                  <w:rPr>
                    <w:sz w:val="22"/>
                    <w:szCs w:val="22"/>
                  </w:rPr>
                  <w:t>4</w:t>
                </w:r>
              </w:p>
            </w:tc>
          </w:tr>
          <w:tr w14:paraId="33761EB4" w14:textId="77777777">
            <w:trPr>
              <w:trHeight w:val="555"/>
            </w:trPr>
            <w:tc>
              <w:tcPr>
                <w:tcW w:w="8359" w:type="dxa"/>
              </w:tcPr>
              <w:p w14:paraId="553B777F" w14:textId="0454ADC0">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5641435" w14:textId="7D8FC591">
                <w:pPr>
                  <w:jc w:val="center"/>
                  <w:rPr>
                    <w:sz w:val="22"/>
                    <w:szCs w:val="22"/>
                  </w:rPr>
                </w:pPr>
                <w:r>
                  <w:rPr>
                    <w:sz w:val="22"/>
                    <w:szCs w:val="22"/>
                  </w:rPr>
                  <w:t>P-12-003-03-04-03-05 P.S.2.1505</w:t>
                </w:r>
              </w:p>
            </w:tc>
            <w:tc>
              <w:tcPr>
                <w:tcW w:w="1984" w:type="dxa"/>
              </w:tcPr>
              <w:p w14:paraId="4B68239F" w14:textId="77777777">
                <w:pPr>
                  <w:jc w:val="center"/>
                  <w:rPr>
                    <w:sz w:val="22"/>
                    <w:szCs w:val="22"/>
                  </w:rPr>
                </w:pPr>
                <w:r>
                  <w:rPr>
                    <w:sz w:val="22"/>
                    <w:szCs w:val="22"/>
                  </w:rPr>
                  <w:t>Asmenys</w:t>
                </w:r>
              </w:p>
            </w:tc>
            <w:tc>
              <w:tcPr>
                <w:tcW w:w="2410" w:type="dxa"/>
              </w:tcPr>
              <w:p w14:paraId="1FF274C3" w14:textId="44399557">
                <w:pPr>
                  <w:jc w:val="center"/>
                  <w:rPr>
                    <w:sz w:val="22"/>
                    <w:szCs w:val="22"/>
                  </w:rPr>
                </w:pPr>
                <w:r>
                  <w:rPr>
                    <w:sz w:val="22"/>
                    <w:szCs w:val="22"/>
                    <w:lang w:eastAsia="lt-LT"/>
                  </w:rPr>
                  <w:t>130</w:t>
                </w:r>
              </w:p>
            </w:tc>
          </w:tr>
        </w:tbl>
        <w:p w14:paraId="705CB711" w14:textId="77777777">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14:paraId="3096EC8B" w14:textId="77777777">
            <w:trPr>
              <w:trHeight w:val="298"/>
            </w:trPr>
            <w:tc>
              <w:tcPr>
                <w:tcW w:w="15417" w:type="dxa"/>
              </w:tcPr>
              <w:p w14:paraId="67833BB8" w14:textId="3CAEE3E5">
                <w:pPr>
                  <w:jc w:val="both"/>
                  <w:rPr>
                    <w:szCs w:val="24"/>
                  </w:rPr>
                </w:pPr>
                <w:r>
                  <w:rPr>
                    <w:szCs w:val="24"/>
                  </w:rPr>
                  <w:t>Švietimo, mokslo ir sporto ministerijos stebėsenos rodiklių aprašymo kortelės</w:t>
                </w:r>
              </w:p>
            </w:tc>
          </w:tr>
          <w:tr w14:paraId="1AEB4DAE" w14:textId="77777777">
            <w:trPr>
              <w:trHeight w:val="315"/>
            </w:trPr>
            <w:tc>
              <w:tcPr>
                <w:tcW w:w="15417" w:type="dxa"/>
              </w:tcPr>
              <w:p w14:paraId="28FD5D26" w14:textId="47509BB1">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14:paraId="39623A2A" w14:textId="5743922B">
            <w:trPr>
              <w:gridAfter w:val="1"/>
              <w:wAfter w:w="8" w:type="dxa"/>
            </w:trPr>
            <w:tc>
              <w:tcPr>
                <w:tcW w:w="15417" w:type="dxa"/>
                <w:gridSpan w:val="13"/>
                <w:vAlign w:val="center"/>
              </w:tcPr>
              <w:p w14:paraId="564B5DA0" w14:textId="7522AE97">
                <w:pPr>
                  <w:jc w:val="center"/>
                  <w:rPr>
                    <w:b/>
                    <w:bCs/>
                    <w:sz w:val="22"/>
                    <w:szCs w:val="22"/>
                  </w:rPr>
                </w:pPr>
                <w:r>
                  <w:rPr>
                    <w:b/>
                    <w:bCs/>
                    <w:sz w:val="22"/>
                    <w:szCs w:val="22"/>
                  </w:rPr>
                  <w:t>VEIKLOS AR POVEIKLĖS, KURIOMS NUSTATOMOS PROJEKTŲ FINANSAVIMO SĄLYGOS</w:t>
                </w:r>
              </w:p>
            </w:tc>
          </w:tr>
          <w:tr w14:paraId="2C9CAAC4" w14:textId="2453B372">
            <w:tc>
              <w:tcPr>
                <w:tcW w:w="1413" w:type="dxa"/>
                <w:vAlign w:val="center"/>
              </w:tcPr>
              <w:p w14:paraId="085E3946" w14:textId="64649BE0">
                <w:pPr>
                  <w:jc w:val="center"/>
                  <w:rPr>
                    <w:b/>
                    <w:bCs/>
                    <w:sz w:val="20"/>
                  </w:rPr>
                </w:pPr>
                <w:r>
                  <w:rPr>
                    <w:b/>
                    <w:bCs/>
                    <w:sz w:val="20"/>
                  </w:rPr>
                  <w:t>Veiklos ar poveiklės pavadinimas</w:t>
                </w:r>
              </w:p>
            </w:tc>
            <w:tc>
              <w:tcPr>
                <w:tcW w:w="963" w:type="dxa"/>
                <w:vAlign w:val="center"/>
              </w:tcPr>
              <w:p w14:paraId="21C7E801" w14:textId="513E7CB3">
                <w:pPr>
                  <w:jc w:val="center"/>
                  <w:rPr>
                    <w:b/>
                    <w:bCs/>
                    <w:sz w:val="20"/>
                  </w:rPr>
                </w:pPr>
                <w:r>
                  <w:rPr>
                    <w:b/>
                    <w:bCs/>
                    <w:sz w:val="20"/>
                  </w:rPr>
                  <w:t>Finansa-vimo šaltinis</w:t>
                </w:r>
              </w:p>
            </w:tc>
            <w:tc>
              <w:tcPr>
                <w:tcW w:w="1134" w:type="dxa"/>
                <w:vAlign w:val="center"/>
              </w:tcPr>
              <w:p w14:paraId="0D1C4356" w14:textId="16BA36FE">
                <w:pPr>
                  <w:jc w:val="center"/>
                  <w:rPr>
                    <w:b/>
                    <w:bCs/>
                    <w:sz w:val="20"/>
                  </w:rPr>
                </w:pPr>
                <w:r>
                  <w:rPr>
                    <w:b/>
                    <w:bCs/>
                    <w:sz w:val="20"/>
                  </w:rPr>
                  <w:t>Prioritetas ar kompo-nentas</w:t>
                </w:r>
              </w:p>
            </w:tc>
            <w:tc>
              <w:tcPr>
                <w:tcW w:w="1276" w:type="dxa"/>
                <w:vAlign w:val="center"/>
              </w:tcPr>
              <w:p w14:paraId="104FECF9" w14:textId="5746C752">
                <w:pPr>
                  <w:jc w:val="center"/>
                  <w:rPr>
                    <w:b/>
                    <w:bCs/>
                    <w:sz w:val="20"/>
                  </w:rPr>
                </w:pPr>
                <w:r>
                  <w:rPr>
                    <w:b/>
                    <w:bCs/>
                    <w:sz w:val="20"/>
                  </w:rPr>
                  <w:t>Uždavinys ar priemonė</w:t>
                </w:r>
              </w:p>
            </w:tc>
            <w:tc>
              <w:tcPr>
                <w:tcW w:w="992" w:type="dxa"/>
                <w:vAlign w:val="center"/>
              </w:tcPr>
              <w:p w14:paraId="6542BECF" w14:textId="3A686289">
                <w:pPr>
                  <w:jc w:val="center"/>
                  <w:rPr>
                    <w:b/>
                    <w:bCs/>
                    <w:sz w:val="20"/>
                  </w:rPr>
                </w:pPr>
                <w:r>
                  <w:rPr>
                    <w:b/>
                    <w:bCs/>
                    <w:sz w:val="20"/>
                  </w:rPr>
                  <w:t>Veikla ar poveiklė</w:t>
                </w:r>
              </w:p>
            </w:tc>
            <w:tc>
              <w:tcPr>
                <w:tcW w:w="1134" w:type="dxa"/>
                <w:vAlign w:val="center"/>
              </w:tcPr>
              <w:p w14:paraId="4C9EE76F" w14:textId="54A79B08">
                <w:pPr>
                  <w:jc w:val="center"/>
                  <w:rPr>
                    <w:b/>
                    <w:bCs/>
                    <w:sz w:val="20"/>
                  </w:rPr>
                </w:pPr>
                <w:r>
                  <w:rPr>
                    <w:b/>
                    <w:bCs/>
                    <w:sz w:val="20"/>
                  </w:rPr>
                  <w:t>Intervencinės priemonės kodas</w:t>
                </w:r>
              </w:p>
            </w:tc>
            <w:tc>
              <w:tcPr>
                <w:tcW w:w="1134" w:type="dxa"/>
                <w:vAlign w:val="center"/>
              </w:tcPr>
              <w:p w14:paraId="07217E2C" w14:textId="53A9FDF7">
                <w:pPr>
                  <w:jc w:val="center"/>
                  <w:rPr>
                    <w:b/>
                    <w:bCs/>
                    <w:sz w:val="20"/>
                  </w:rPr>
                </w:pPr>
                <w:r>
                  <w:rPr>
                    <w:b/>
                    <w:bCs/>
                    <w:sz w:val="20"/>
                  </w:rPr>
                  <w:t>Regionas, kuriam priskiria-ma veikla ar poveiklė</w:t>
                </w:r>
              </w:p>
            </w:tc>
            <w:tc>
              <w:tcPr>
                <w:tcW w:w="1000" w:type="dxa"/>
                <w:vAlign w:val="center"/>
              </w:tcPr>
              <w:p w14:paraId="2AF2003A" w14:textId="3C0C810F">
                <w:pPr>
                  <w:jc w:val="center"/>
                  <w:rPr>
                    <w:b/>
                    <w:bCs/>
                    <w:sz w:val="20"/>
                  </w:rPr>
                </w:pPr>
                <w:r>
                  <w:rPr>
                    <w:b/>
                    <w:bCs/>
                    <w:sz w:val="20"/>
                  </w:rPr>
                  <w:t>Para-mos formos kodas</w:t>
                </w:r>
              </w:p>
            </w:tc>
            <w:tc>
              <w:tcPr>
                <w:tcW w:w="1319" w:type="dxa"/>
                <w:vAlign w:val="center"/>
              </w:tcPr>
              <w:p w14:paraId="20FF8B49" w14:textId="34590567">
                <w:pPr>
                  <w:jc w:val="center"/>
                  <w:rPr>
                    <w:b/>
                    <w:bCs/>
                    <w:sz w:val="20"/>
                  </w:rPr>
                </w:pPr>
                <w:r>
                  <w:rPr>
                    <w:b/>
                    <w:bCs/>
                    <w:sz w:val="20"/>
                  </w:rPr>
                  <w:t>Pagrindinės teritorinės srities kodas (-ai)</w:t>
                </w:r>
              </w:p>
            </w:tc>
            <w:tc>
              <w:tcPr>
                <w:tcW w:w="1221" w:type="dxa"/>
                <w:vAlign w:val="center"/>
              </w:tcPr>
              <w:p w14:paraId="068F3DAC" w14:textId="009E2673">
                <w:pPr>
                  <w:jc w:val="center"/>
                  <w:rPr>
                    <w:b/>
                    <w:bCs/>
                    <w:sz w:val="20"/>
                  </w:rPr>
                </w:pPr>
                <w:r>
                  <w:rPr>
                    <w:b/>
                    <w:bCs/>
                    <w:sz w:val="20"/>
                  </w:rPr>
                  <w:t>Ekonomi-nės veiklos kodas (-ai)</w:t>
                </w:r>
              </w:p>
            </w:tc>
            <w:tc>
              <w:tcPr>
                <w:tcW w:w="1287" w:type="dxa"/>
                <w:vAlign w:val="center"/>
              </w:tcPr>
              <w:p w14:paraId="403DB445" w14:textId="5F663905">
                <w:pPr>
                  <w:jc w:val="center"/>
                  <w:rPr>
                    <w:b/>
                    <w:bCs/>
                    <w:sz w:val="20"/>
                  </w:rPr>
                </w:pPr>
                <w:r>
                  <w:rPr>
                    <w:b/>
                    <w:bCs/>
                    <w:sz w:val="20"/>
                  </w:rPr>
                  <w:t>„Europos socialinio fondo +“ antrinių temų kodai</w:t>
                </w:r>
              </w:p>
            </w:tc>
            <w:tc>
              <w:tcPr>
                <w:tcW w:w="1276" w:type="dxa"/>
                <w:vAlign w:val="center"/>
              </w:tcPr>
              <w:p w14:paraId="1A398B2B" w14:textId="7B709672">
                <w:pPr>
                  <w:jc w:val="center"/>
                  <w:rPr>
                    <w:b/>
                    <w:bCs/>
                    <w:sz w:val="20"/>
                  </w:rPr>
                </w:pPr>
                <w:r>
                  <w:rPr>
                    <w:b/>
                    <w:bCs/>
                    <w:sz w:val="20"/>
                  </w:rPr>
                  <w:t>Lyčių lygybės matmens kodas</w:t>
                </w:r>
              </w:p>
            </w:tc>
            <w:tc>
              <w:tcPr>
                <w:tcW w:w="1276" w:type="dxa"/>
                <w:gridSpan w:val="2"/>
              </w:tcPr>
              <w:p w14:paraId="37974BEA" w14:textId="77777777">
                <w:pPr>
                  <w:jc w:val="center"/>
                  <w:rPr>
                    <w:b/>
                    <w:sz w:val="20"/>
                  </w:rPr>
                </w:pPr>
                <w:r>
                  <w:rPr>
                    <w:b/>
                    <w:sz w:val="20"/>
                  </w:rPr>
                  <w:t>Nepanau-dotos Ekonomi-kos gaivinimo ir atsparumo didinimo priemonės lėšos</w:t>
                </w:r>
              </w:p>
              <w:p w14:paraId="3A17DA9B" w14:textId="424826A0">
                <w:pPr>
                  <w:jc w:val="center"/>
                  <w:rPr>
                    <w:b/>
                    <w:bCs/>
                    <w:sz w:val="20"/>
                  </w:rPr>
                </w:pPr>
                <w:r>
                  <w:rPr>
                    <w:b/>
                    <w:sz w:val="20"/>
                  </w:rPr>
                  <w:t>(Taip / Ne)</w:t>
                </w:r>
              </w:p>
            </w:tc>
          </w:tr>
          <w:tr w14:paraId="65F70B10" w14:textId="739B380C">
            <w:trPr>
              <w:trHeight w:val="278"/>
            </w:trPr>
            <w:tc>
              <w:tcPr>
                <w:tcW w:w="1413" w:type="dxa"/>
                <w:tcMar>
                  <w:left w:w="28" w:type="dxa"/>
                  <w:right w:w="28" w:type="dxa"/>
                </w:tcMar>
              </w:tcPr>
              <w:p w14:paraId="498C6439" w14:textId="1FC95014">
                <w:pPr>
                  <w:jc w:val="center"/>
                  <w:rPr>
                    <w:iCs/>
                    <w:sz w:val="22"/>
                    <w:szCs w:val="22"/>
                  </w:rPr>
                </w:pPr>
                <w:r>
                  <w:rPr>
                    <w:sz w:val="22"/>
                    <w:szCs w:val="22"/>
                  </w:rPr>
                  <w:t>6.2. Profesinio mokymo prieinamumo gerinimo parama 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pPr>
                  <w:jc w:val="center"/>
                  <w:rPr>
                    <w:sz w:val="22"/>
                    <w:szCs w:val="22"/>
                  </w:rPr>
                </w:pPr>
                <w:r>
                  <w:rPr>
                    <w:sz w:val="22"/>
                    <w:szCs w:val="22"/>
                  </w:rPr>
                  <w:t>4</w:t>
                </w:r>
              </w:p>
            </w:tc>
            <w:tc>
              <w:tcPr>
                <w:tcW w:w="1276" w:type="dxa"/>
                <w:tcMar>
                  <w:left w:w="28" w:type="dxa"/>
                  <w:right w:w="28" w:type="dxa"/>
                </w:tcMar>
              </w:tcPr>
              <w:p w14:paraId="0ED878E1" w14:textId="1004E9F2">
                <w:pPr>
                  <w:jc w:val="center"/>
                  <w:textAlignment w:val="baseline"/>
                  <w:rPr>
                    <w:sz w:val="22"/>
                    <w:szCs w:val="22"/>
                  </w:rPr>
                </w:pPr>
                <w:r>
                  <w:rPr>
                    <w:sz w:val="22"/>
                    <w:szCs w:val="22"/>
                  </w:rPr>
                  <w:t>4.3</w:t>
                </w:r>
              </w:p>
            </w:tc>
            <w:tc>
              <w:tcPr>
                <w:tcW w:w="992" w:type="dxa"/>
                <w:tcMar>
                  <w:left w:w="28" w:type="dxa"/>
                  <w:right w:w="28" w:type="dxa"/>
                </w:tcMar>
              </w:tcPr>
              <w:p w14:paraId="21A1FF2C" w14:textId="4F987FBB">
                <w:pPr>
                  <w:jc w:val="center"/>
                  <w:rPr>
                    <w:sz w:val="22"/>
                    <w:szCs w:val="22"/>
                  </w:rPr>
                </w:pPr>
                <w:r>
                  <w:rPr>
                    <w:sz w:val="22"/>
                    <w:szCs w:val="22"/>
                  </w:rPr>
                  <w:t>4.3.4. Socialinės ir finansinės paskatos bei pagalba profesinio mokymo įstaigų mokiniams ir aukštųjų mokyklų studentams iš nepalankias sąlygas turinčių grupių</w:t>
                </w:r>
              </w:p>
            </w:tc>
            <w:tc>
              <w:tcPr>
                <w:tcW w:w="1134" w:type="dxa"/>
                <w:tcMar>
                  <w:left w:w="28" w:type="dxa"/>
                  <w:right w:w="28" w:type="dxa"/>
                </w:tcMar>
              </w:tcPr>
              <w:p w14:paraId="191658BA" w14:textId="278FA2FC">
                <w:pPr>
                  <w:jc w:val="center"/>
                  <w:rPr>
                    <w:sz w:val="22"/>
                    <w:szCs w:val="22"/>
                  </w:rPr>
                </w:pPr>
                <w:r>
                  <w:rPr>
                    <w:sz w:val="22"/>
                    <w:szCs w:val="22"/>
                  </w:rPr>
                  <w:t>150</w:t>
                </w:r>
              </w:p>
            </w:tc>
            <w:tc>
              <w:tcPr>
                <w:tcW w:w="1134" w:type="dxa"/>
                <w:tcMar>
                  <w:left w:w="28" w:type="dxa"/>
                  <w:right w:w="28" w:type="dxa"/>
                </w:tcMar>
              </w:tcPr>
              <w:p w14:paraId="0956A1AE" w14:textId="6675C995">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pPr>
                  <w:jc w:val="center"/>
                  <w:rPr>
                    <w:sz w:val="22"/>
                    <w:szCs w:val="22"/>
                  </w:rPr>
                </w:pPr>
                <w:r>
                  <w:rPr>
                    <w:iCs/>
                    <w:sz w:val="22"/>
                    <w:szCs w:val="22"/>
                  </w:rPr>
                  <w:t>03 – Neutralumas lyties požiūriu</w:t>
                </w:r>
              </w:p>
            </w:tc>
            <w:tc>
              <w:tcPr>
                <w:tcW w:w="1276" w:type="dxa"/>
                <w:gridSpan w:val="2"/>
              </w:tcPr>
              <w:p w14:paraId="24C2119B" w14:textId="77777777">
                <w:pPr>
                  <w:jc w:val="center"/>
                  <w:rPr>
                    <w:iCs/>
                    <w:sz w:val="22"/>
                    <w:szCs w:val="22"/>
                  </w:rPr>
                </w:pPr>
              </w:p>
            </w:tc>
          </w:tr>
        </w:tbl>
        <w:p w14:paraId="5E0693EB" w14:textId="06AD661E">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14:paraId="47ED76DD" w14:textId="77777777">
            <w:trPr>
              <w:trHeight w:val="405"/>
            </w:trPr>
            <w:tc>
              <w:tcPr>
                <w:tcW w:w="8359" w:type="dxa"/>
                <w:shd w:val="clear" w:color="auto" w:fill="auto"/>
                <w:vAlign w:val="center"/>
              </w:tcPr>
              <w:p w14:paraId="1DEF2862" w14:textId="77777777">
                <w:pPr>
                  <w:jc w:val="center"/>
                  <w:rPr>
                    <w:sz w:val="22"/>
                    <w:szCs w:val="22"/>
                  </w:rPr>
                </w:pPr>
                <w:r>
                  <w:rPr>
                    <w:sz w:val="22"/>
                    <w:szCs w:val="22"/>
                  </w:rPr>
                  <w:t>Rodiklio pavadinimas</w:t>
                </w:r>
              </w:p>
            </w:tc>
            <w:tc>
              <w:tcPr>
                <w:tcW w:w="2664" w:type="dxa"/>
                <w:shd w:val="clear" w:color="auto" w:fill="auto"/>
                <w:vAlign w:val="center"/>
              </w:tcPr>
              <w:p w14:paraId="7AECEC93" w14:textId="77777777">
                <w:pPr>
                  <w:jc w:val="center"/>
                  <w:rPr>
                    <w:sz w:val="22"/>
                    <w:szCs w:val="22"/>
                  </w:rPr>
                </w:pPr>
                <w:r>
                  <w:rPr>
                    <w:sz w:val="22"/>
                    <w:szCs w:val="22"/>
                  </w:rPr>
                  <w:t>Rodiklio kodas</w:t>
                </w:r>
              </w:p>
            </w:tc>
            <w:tc>
              <w:tcPr>
                <w:tcW w:w="1984" w:type="dxa"/>
                <w:shd w:val="clear" w:color="auto" w:fill="auto"/>
                <w:vAlign w:val="center"/>
              </w:tcPr>
              <w:p w14:paraId="6E3CAD59" w14:textId="77777777">
                <w:pPr>
                  <w:jc w:val="center"/>
                  <w:rPr>
                    <w:sz w:val="22"/>
                    <w:szCs w:val="22"/>
                  </w:rPr>
                </w:pPr>
                <w:r>
                  <w:rPr>
                    <w:sz w:val="22"/>
                    <w:szCs w:val="22"/>
                  </w:rPr>
                  <w:t>Matavimo vienetai</w:t>
                </w:r>
              </w:p>
            </w:tc>
            <w:tc>
              <w:tcPr>
                <w:tcW w:w="2410" w:type="dxa"/>
                <w:shd w:val="clear" w:color="auto" w:fill="auto"/>
                <w:vAlign w:val="center"/>
              </w:tcPr>
              <w:p w14:paraId="28D3298B" w14:textId="331FA6FD">
                <w:pPr>
                  <w:jc w:val="center"/>
                  <w:rPr>
                    <w:sz w:val="22"/>
                    <w:szCs w:val="22"/>
                  </w:rPr>
                </w:pPr>
                <w:r>
                  <w:rPr>
                    <w:sz w:val="22"/>
                    <w:szCs w:val="22"/>
                  </w:rPr>
                  <w:t>Siektina reikšmė ir pasiekimo data</w:t>
                </w:r>
              </w:p>
            </w:tc>
          </w:tr>
          <w:tr w14:paraId="1DE96128" w14:textId="77777777">
            <w:trPr>
              <w:trHeight w:val="685"/>
            </w:trPr>
            <w:tc>
              <w:tcPr>
                <w:tcW w:w="8359" w:type="dxa"/>
              </w:tcPr>
              <w:p w14:paraId="7BF5CD0E" w14:textId="77777777">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pPr>
                  <w:jc w:val="center"/>
                  <w:rPr>
                    <w:sz w:val="22"/>
                    <w:szCs w:val="22"/>
                  </w:rPr>
                </w:pPr>
                <w:r>
                  <w:rPr>
                    <w:sz w:val="22"/>
                    <w:szCs w:val="22"/>
                  </w:rPr>
                  <w:t>R-12-003-03-04-03-01 R.S.2.3510</w:t>
                </w:r>
              </w:p>
            </w:tc>
            <w:tc>
              <w:tcPr>
                <w:tcW w:w="1984" w:type="dxa"/>
              </w:tcPr>
              <w:p w14:paraId="6B873F4D" w14:textId="415DAA38">
                <w:pPr>
                  <w:jc w:val="center"/>
                  <w:rPr>
                    <w:sz w:val="22"/>
                    <w:szCs w:val="22"/>
                  </w:rPr>
                </w:pPr>
                <w:r>
                  <w:rPr>
                    <w:sz w:val="22"/>
                    <w:szCs w:val="22"/>
                  </w:rPr>
                  <w:t>Procentas</w:t>
                </w:r>
              </w:p>
            </w:tc>
            <w:tc>
              <w:tcPr>
                <w:tcW w:w="2410" w:type="dxa"/>
              </w:tcPr>
              <w:p w14:paraId="5D6F9D10" w14:textId="0C1D87B1">
                <w:pPr>
                  <w:jc w:val="center"/>
                  <w:rPr>
                    <w:sz w:val="22"/>
                    <w:szCs w:val="22"/>
                  </w:rPr>
                </w:pPr>
                <w:r>
                  <w:rPr>
                    <w:sz w:val="22"/>
                    <w:szCs w:val="22"/>
                    <w:lang w:eastAsia="lt-LT"/>
                  </w:rPr>
                  <w:t>4</w:t>
                </w:r>
              </w:p>
            </w:tc>
          </w:tr>
          <w:tr w14:paraId="2CE74323" w14:textId="77777777">
            <w:trPr>
              <w:trHeight w:val="555"/>
            </w:trPr>
            <w:tc>
              <w:tcPr>
                <w:tcW w:w="8359" w:type="dxa"/>
              </w:tcPr>
              <w:p w14:paraId="1D40F60D" w14:textId="77777777">
                <w:pPr>
                  <w:rPr>
                    <w:sz w:val="22"/>
                    <w:szCs w:val="22"/>
                  </w:rPr>
                </w:pPr>
                <w:r>
                  <w:rPr>
                    <w:sz w:val="22"/>
                    <w:szCs w:val="22"/>
                    <w:lang w:eastAsia="lt-LT"/>
                  </w:rPr>
                  <w:t>Nepalankias sąlygas turinčių asmenų grupių mokiniai, kuriems buvo skirta parama profesinio mokymo prieinamumui gerinti</w:t>
                </w:r>
              </w:p>
            </w:tc>
            <w:tc>
              <w:tcPr>
                <w:tcW w:w="2664" w:type="dxa"/>
              </w:tcPr>
              <w:p w14:paraId="602C253D" w14:textId="02B99AE4">
                <w:pPr>
                  <w:jc w:val="center"/>
                  <w:rPr>
                    <w:sz w:val="22"/>
                    <w:szCs w:val="22"/>
                    <w:lang w:eastAsia="lt-LT"/>
                  </w:rPr>
                </w:pPr>
                <w:r>
                  <w:rPr>
                    <w:sz w:val="22"/>
                    <w:szCs w:val="22"/>
                  </w:rPr>
                  <w:t>P-12-003-03-04-03-05 P.S.2.1505</w:t>
                </w:r>
              </w:p>
            </w:tc>
            <w:tc>
              <w:tcPr>
                <w:tcW w:w="1984" w:type="dxa"/>
              </w:tcPr>
              <w:p w14:paraId="189D912B" w14:textId="77777777">
                <w:pPr>
                  <w:jc w:val="center"/>
                  <w:rPr>
                    <w:sz w:val="22"/>
                    <w:szCs w:val="22"/>
                  </w:rPr>
                </w:pPr>
                <w:r>
                  <w:rPr>
                    <w:sz w:val="22"/>
                    <w:szCs w:val="22"/>
                  </w:rPr>
                  <w:t>Asmenys</w:t>
                </w:r>
              </w:p>
            </w:tc>
            <w:tc>
              <w:tcPr>
                <w:tcW w:w="2410" w:type="dxa"/>
              </w:tcPr>
              <w:p w14:paraId="22D05205" w14:textId="32FE4B08">
                <w:pPr>
                  <w:jc w:val="center"/>
                  <w:rPr>
                    <w:sz w:val="22"/>
                    <w:szCs w:val="22"/>
                  </w:rPr>
                </w:pPr>
                <w:r>
                  <w:rPr>
                    <w:sz w:val="22"/>
                    <w:szCs w:val="22"/>
                  </w:rPr>
                  <w:t>660</w:t>
                </w:r>
              </w:p>
            </w:tc>
          </w:tr>
          <w:tr w14:paraId="3A2FE583" w14:textId="77777777">
            <w:trPr>
              <w:trHeight w:val="298"/>
            </w:trPr>
            <w:tc>
              <w:tcPr>
                <w:tcW w:w="15417" w:type="dxa"/>
                <w:gridSpan w:val="4"/>
              </w:tcPr>
              <w:p w14:paraId="5A34E487" w14:textId="1C69A3C2">
                <w:pPr>
                  <w:jc w:val="both"/>
                  <w:rPr>
                    <w:szCs w:val="24"/>
                  </w:rPr>
                </w:pPr>
                <w:r>
                  <w:rPr>
                    <w:szCs w:val="24"/>
                  </w:rPr>
                  <w:t>Švietimo, mokslo ir sporto ministerijos stebėsenos rodiklių aprašymo kortelės</w:t>
                </w:r>
              </w:p>
            </w:tc>
          </w:tr>
          <w:tr w14:paraId="2C9EA33E" w14:textId="77777777">
            <w:trPr>
              <w:trHeight w:val="315"/>
            </w:trPr>
            <w:tc>
              <w:tcPr>
                <w:tcW w:w="15417" w:type="dxa"/>
                <w:gridSpan w:val="4"/>
              </w:tcPr>
              <w:p w14:paraId="5A849D97" w14:textId="335A1FAF">
                <w:pPr>
                  <w:jc w:val="both"/>
                  <w:rPr>
                    <w:i/>
                    <w:szCs w:val="24"/>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14:paraId="7DA10928" w14:textId="77777777">
            <w:tc>
              <w:tcPr>
                <w:tcW w:w="15021" w:type="dxa"/>
              </w:tcPr>
              <w:p w14:paraId="3D6598BB" w14:textId="77777777">
                <w:pPr>
                  <w:rPr>
                    <w:b/>
                    <w:szCs w:val="24"/>
                  </w:rPr>
                </w:pPr>
                <w:r>
                  <w:rPr>
                    <w:b/>
                    <w:szCs w:val="24"/>
                  </w:rPr>
                  <w:t>SPECIALIEJI FINANSAVIMO REIKALAVIMAI</w:t>
                </w:r>
              </w:p>
            </w:tc>
          </w:tr>
          <w:tr w14:paraId="02F4BCBC" w14:textId="77777777">
            <w:tc>
              <w:tcPr>
                <w:tcW w:w="15021" w:type="dxa"/>
              </w:tcPr>
              <w:p w14:paraId="25E951D2" w14:textId="77777777">
                <w:pPr>
                  <w:rPr>
                    <w:b/>
                    <w:bCs/>
                    <w:szCs w:val="24"/>
                  </w:rPr>
                </w:pPr>
                <w:r>
                  <w:rPr>
                    <w:b/>
                    <w:bCs/>
                    <w:szCs w:val="24"/>
                  </w:rPr>
                  <w:t>1. Taikomi teisės aktai</w:t>
                </w:r>
              </w:p>
            </w:tc>
          </w:tr>
          <w:tr w14:paraId="516CAA64" w14:textId="77777777">
            <w:tc>
              <w:tcPr>
                <w:tcW w:w="15021" w:type="dxa"/>
                <w:shd w:val="clear" w:color="auto" w:fill="FFFFFF" w:themeFill="background1"/>
              </w:tcPr>
              <w:p w14:paraId="01F92ACD" w14:textId="4D6BC4E7">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7 (toliau – Aprašas Nr. 7) parengtas atsižvelgiant į:</w:t>
                </w:r>
              </w:p>
              <w:p w14:paraId="4EEBBE49" w14:textId="77777777">
                <w:pPr>
                  <w:rPr>
                    <w:sz w:val="6"/>
                    <w:szCs w:val="6"/>
                  </w:rPr>
                </w:pPr>
              </w:p>
              <w:p w14:paraId="44EFCFC1" w14:textId="1E0F9AB8">
                <w:pPr>
                  <w:ind w:left="360" w:hanging="360"/>
                  <w:jc w:val="both"/>
                  <w:rPr>
                    <w:b/>
                    <w:szCs w:val="24"/>
                  </w:rPr>
                </w:pPr>
                <w:r>
                  <w:rPr>
                    <w:b/>
                    <w:szCs w:val="24"/>
                  </w:rPr>
                  <w:t>1.1. Bendruosius teisės aktus:</w:t>
                </w:r>
              </w:p>
              <w:p w14:paraId="7930213F" w14:textId="6C9CCEDB">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pPr>
                  <w:tabs>
                    <w:tab w:val="left" w:pos="885"/>
                  </w:tabs>
                  <w:jc w:val="both"/>
                  <w:rPr>
                    <w:szCs w:val="24"/>
                  </w:rPr>
                </w:pPr>
                <w:r>
                  <w:rPr>
                    <w:szCs w:val="24"/>
                  </w:rPr>
                  <w:t>1.1.2.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pPr>
                  <w:tabs>
                    <w:tab w:val="left" w:pos="885"/>
                  </w:tabs>
                  <w:jc w:val="both"/>
                  <w:rPr>
                    <w:szCs w:val="24"/>
                  </w:rPr>
                </w:pPr>
                <w:r>
                  <w:rPr>
                    <w:szCs w:val="24"/>
                  </w:rPr>
                  <w:t>1.1.3. 2021–2030 metų nacionalinį pažangos planą, patvirtintą Lietuvos Respublikos Vyriausybės 2020 m. rugsėjo 9 d. nutarimu Nr. 998 „Dėl 2021–2030 metų nacionalinio pažangos plano patvirtinimo“;</w:t>
                </w:r>
              </w:p>
              <w:p w14:paraId="7E33B2E7" w14:textId="2D740402">
                <w:pPr>
                  <w:tabs>
                    <w:tab w:val="left" w:pos="885"/>
                  </w:tabs>
                  <w:jc w:val="both"/>
                  <w:rPr>
                    <w:szCs w:val="24"/>
                  </w:rPr>
                </w:pPr>
                <w:r>
                  <w:rPr>
                    <w:szCs w:val="24"/>
                  </w:rPr>
                  <w:t xml:space="preserve">1.1.4.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pPr>
                  <w:tabs>
                    <w:tab w:val="left" w:pos="885"/>
                  </w:tabs>
                  <w:jc w:val="both"/>
                  <w:rPr>
                    <w:szCs w:val="24"/>
                  </w:rPr>
                </w:pPr>
                <w:r>
                  <w:rPr>
                    <w:szCs w:val="24"/>
                  </w:rPr>
                  <w:t xml:space="preserve">1.1.5. Stebėsenos rodiklių nustatymo ir skaičiavimo aprašą, patvirtintą </w:t>
                </w:r>
                <w:r>
                  <w:rPr>
                    <w:color w:val="000000"/>
                  </w:rPr>
                  <w:t>Lietuvos Respublikos finansų ministro 2022 m. birželio 22 d. įsakymu Nr. 1K-237;</w:t>
                </w:r>
              </w:p>
              <w:p w14:paraId="2063565C" w14:textId="56CA8356">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pPr>
                  <w:jc w:val="both"/>
                  <w:rPr>
                    <w:iCs/>
                    <w:szCs w:val="24"/>
                  </w:rPr>
                </w:pPr>
                <w:r>
                  <w:rPr>
                    <w:iCs/>
                    <w:szCs w:val="24"/>
                  </w:rPr>
                  <w:t>1.1.7. 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Taisyklės);</w:t>
                </w:r>
              </w:p>
              <w:p w14:paraId="75B58967" w14:textId="77777777">
                <w:pPr>
                  <w:tabs>
                    <w:tab w:val="left" w:pos="885"/>
                  </w:tabs>
                  <w:jc w:val="both"/>
                  <w:rPr>
                    <w:sz w:val="4"/>
                    <w:szCs w:val="4"/>
                  </w:rPr>
                </w:pPr>
              </w:p>
              <w:p w14:paraId="6D72D151" w14:textId="77777777">
                <w:pPr>
                  <w:tabs>
                    <w:tab w:val="left" w:pos="447"/>
                  </w:tabs>
                  <w:ind w:left="360" w:hanging="360"/>
                  <w:jc w:val="both"/>
                  <w:rPr>
                    <w:b/>
                    <w:szCs w:val="24"/>
                  </w:rPr>
                </w:pPr>
                <w:r>
                  <w:rPr>
                    <w:b/>
                    <w:szCs w:val="24"/>
                  </w:rPr>
                  <w:t>1.2.</w:t>
                  <w:tab/>
                  <w:t>Specialiuosius teisės aktus:</w:t>
                </w:r>
              </w:p>
              <w:p w14:paraId="68D4FD4B" w14:textId="77777777">
                <w:pPr>
                  <w:jc w:val="both"/>
                  <w:rPr>
                    <w:szCs w:val="24"/>
                  </w:rPr>
                </w:pPr>
                <w:r>
                  <w:rPr>
                    <w:szCs w:val="24"/>
                    <w:lang w:eastAsia="lt-LT"/>
                  </w:rPr>
                  <w:t>1.2.1. Lietuvos Respublikos švietimo įstatymą;</w:t>
                </w:r>
              </w:p>
              <w:p w14:paraId="4E06239A" w14:textId="77777777">
                <w:pPr>
                  <w:jc w:val="both"/>
                  <w:rPr>
                    <w:szCs w:val="24"/>
                  </w:rPr>
                </w:pPr>
                <w:r>
                  <w:rPr>
                    <w:szCs w:val="24"/>
                  </w:rPr>
                  <w:t xml:space="preserve">1.2.2. Lietuvos Respublikos profesinio mokymo įstatymą; </w:t>
                </w:r>
              </w:p>
              <w:p w14:paraId="32BBA341" w14:textId="4247FED2">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14:paraId="6B7CBD71" w14:textId="03FD6994">
                <w:pPr>
                  <w:jc w:val="both"/>
                  <w:rPr>
                    <w:rFonts w:eastAsia="Calibri"/>
                    <w:i/>
                  </w:rPr>
                </w:pPr>
                <w:r>
                  <w:rPr>
                    <w:lang w:eastAsia="lt-LT"/>
                  </w:rPr>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pPr>
                  <w:spacing w:line="259" w:lineRule="auto"/>
                  <w:jc w:val="both"/>
                  <w:textAlignment w:val="baseline"/>
                  <w:rPr>
                    <w:lang w:eastAsia="lt-LT"/>
                  </w:rPr>
                </w:pPr>
                <w:r>
                  <w:rPr>
                    <w:lang w:eastAsia="lt-LT"/>
                  </w:rPr>
                  <w:t xml:space="preserve">1.2.5. 2023–2024 ir 2024–2025 mokslo metų pradinio, pagrindinio ir vidurinio ugdymo programų bendruosius ugdymo planus, patvirtintus Lietuvos Respublikos švietimo, mokslo ir sporto ministro 2023 m. balandžio 24 d. įsakymu Nr. V-586 „Dėl 2023–2024 ir 2024–2025 mokslo metų pradinio, pagrindinio ir vidurinio ugdymo programų bendrųjų ugdymo planų patvirtinimo“; </w:t>
                </w:r>
              </w:p>
              <w:p w14:paraId="41CAEC24" w14:textId="17405F39">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r>
                  <w:t xml:space="preserve"> </w:t>
                </w:r>
              </w:p>
              <w:p w14:paraId="24CF5818" w14:textId="7E25494E">
                <w:pPr>
                  <w:jc w:val="both"/>
                  <w:rPr>
                    <w:szCs w:val="24"/>
                  </w:rPr>
                </w:pPr>
                <w:r>
                  <w:t xml:space="preserve">1.2.7. </w:t>
                </w:r>
                <w:r>
                  <w:rPr>
                    <w:color w:val="000000"/>
                    <w:szCs w:val="24"/>
                  </w:rPr>
                  <w:t>Mokinių, turinčių specialiųjų ugdymosi poreikių, grupių nustatymo ir jų specialiųjų ugdymosi poreikių skirstymo į lygius tvarkos aprašą, patvirtintą Lietuvos Respublikos švietimo ir mokslo ministro, Lietuvos Respublikos sveikatos apsaugos ministro ir Lietuvos Respublikos socialinės apsaugos ir darbo ministro 2011 m. liepos 13 d. įsakymu Nr. V-1265/V-685/A1-317 „Dėl Mokinių, turinčių specialiųjų ugdymosi poreikių, grupių nustatymo ir jų specialiųjų ugdymosi poreikių skirstymo į lygius tvarkos aprašo patvirtinimo“;</w:t>
                </w:r>
              </w:p>
              <w:p w14:paraId="33461307" w14:textId="76BA155D">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2023–2024 ir 2024–2025 mokslo metų bendrųjų profesinio mokymo planų patvirtinimo“. </w:t>
                </w:r>
              </w:p>
              <w:p w14:paraId="2254B39C" w14:textId="1D8CE439">
                <w:pPr>
                  <w:ind w:left="22"/>
                  <w:jc w:val="both"/>
                  <w:rPr>
                    <w:szCs w:val="24"/>
                  </w:rPr>
                </w:pPr>
                <w:r>
                  <w:rPr>
                    <w:szCs w:val="24"/>
                  </w:rPr>
                  <w:t>1.3. Apraše Nr. 7 vartojamos sąvokos suprantamos taip, kaip jos apibrėžtos Strateginio valdymo metodikoje, Taisyklėse, Projektų administravimo ir finansavimo taisyklėse, Lietuvos Respublikos švietimo įstatyme ir kituose anksčiau paminėtuose teisės aktuose.</w:t>
                </w:r>
              </w:p>
              <w:p w14:paraId="267B26C3" w14:textId="53A351AE">
                <w:pPr>
                  <w:jc w:val="both"/>
                  <w:rPr>
                    <w:i/>
                    <w:szCs w:val="24"/>
                  </w:rPr>
                </w:pPr>
                <w:r>
                  <w:rPr>
                    <w:szCs w:val="24"/>
                  </w:rPr>
                  <w:t xml:space="preserve">1.4. Apraše Nr. 7 vartojamos kitos sąvokos: </w:t>
                </w:r>
              </w:p>
              <w:p w14:paraId="2DC352FC" w14:textId="76B02226">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 xml:space="preserve">turintys teisę gauti arba gaunantys piniginę socialinę paramą pagal Lietuvos Respublikos socialinės paramos nepasiturintiems gyventojams įstatymą; mokiniai, netekę vieno iš tėvų (globėjų, rūpintojų) ar kitų šeimos narių;  mokiniai, esantys iš šeimų, auginančių 3 ir daugiau vaikų iki 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pPr>
                  <w:jc w:val="both"/>
                  <w:rPr>
                    <w:sz w:val="10"/>
                    <w:szCs w:val="10"/>
                    <w:lang w:eastAsia="lt-LT"/>
                  </w:rPr>
                </w:pPr>
              </w:p>
            </w:tc>
          </w:tr>
          <w:tr w14:paraId="1559E931" w14:textId="77777777">
            <w:tc>
              <w:tcPr>
                <w:tcW w:w="15021" w:type="dxa"/>
              </w:tcPr>
              <w:p w14:paraId="50D1A2A8" w14:textId="722896F7">
                <w:pPr>
                  <w:rPr>
                    <w:b/>
                    <w:szCs w:val="24"/>
                  </w:rPr>
                </w:pPr>
                <w:r>
                  <w:rPr>
                    <w:b/>
                    <w:szCs w:val="24"/>
                  </w:rPr>
                  <w:t>2. Reikalavimai projektams, pareiškėjams ir partneriams</w:t>
                </w:r>
              </w:p>
            </w:tc>
          </w:tr>
          <w:tr w14:paraId="7F9A1E33" w14:textId="77777777">
            <w:tc>
              <w:tcPr>
                <w:tcW w:w="15021" w:type="dxa"/>
              </w:tcPr>
              <w:p w14:paraId="58846C78" w14:textId="7F0C85A6">
                <w:pPr>
                  <w:jc w:val="both"/>
                  <w:rPr>
                    <w:bCs/>
                    <w:szCs w:val="24"/>
                  </w:rPr>
                </w:pPr>
                <w:r>
                  <w:rPr>
                    <w:szCs w:val="24"/>
                  </w:rPr>
                  <w:t xml:space="preserve">2.1. Pagal Aprašą Nr. 7 įgyvendinamos 2021–2030 m. plėtros programos valdytojos Lietuvos Respublikos švietimo, mokslo ir sporto ministerijos švietimo plėtros programos pažangos priemonės Nr. 12-003-03-04-03 „Sukurti rinkos poreikius atliepiančią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pPr>
                  <w:jc w:val="both"/>
                  <w:rPr>
                    <w:szCs w:val="24"/>
                  </w:rPr>
                </w:pPr>
                <w:r>
                  <w:rPr>
                    <w:bCs/>
                    <w:szCs w:val="24"/>
                  </w:rPr>
                  <w:t xml:space="preserve">2.1.1. veikla Nr. 6.1 </w:t>
                </w:r>
                <w:r>
                  <w:rPr>
                    <w:szCs w:val="24"/>
                  </w:rPr>
                  <w:t>Profesinio mokymo prieinamumo gerinimo parama mokiniams iš nepalankias sąlygas turinčių asmenų grupių</w:t>
                </w:r>
                <w:r>
                  <w:rPr>
                    <w:szCs w:val="24"/>
                    <w:lang w:eastAsia="lt-LT"/>
                  </w:rPr>
                  <w:t xml:space="preserve"> Sostinės regione</w:t>
                </w:r>
                <w:r>
                  <w:rPr>
                    <w:szCs w:val="24"/>
                  </w:rPr>
                  <w:t>;</w:t>
                </w:r>
              </w:p>
              <w:p w14:paraId="4462E68F" w14:textId="1D5D3923">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pPr>
                  <w:tabs>
                    <w:tab w:val="left" w:pos="447"/>
                  </w:tabs>
                  <w:jc w:val="both"/>
                  <w:rPr>
                    <w:color w:val="000000"/>
                    <w:szCs w:val="24"/>
                  </w:rPr>
                </w:pPr>
                <w:r>
                  <w:rPr>
                    <w:szCs w:val="24"/>
                  </w:rPr>
                  <w:t xml:space="preserve">2.2. Aprašo Nr. 7 2.1 papunktyje nurodytos finansuojamos veiklos turi būti numatytos viename projekte. Projekto įgyvendintų veiklų rodikliai ir išlaidos gali būti priskirti bet kuriam iš dviejų regionų (Sostinės arba VVL) nepriklausomai nuo to, kuriam regionui atitenka investicijos kuriama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pPr>
                  <w:jc w:val="both"/>
                  <w:rPr>
                    <w:i/>
                    <w:iCs/>
                    <w:szCs w:val="24"/>
                  </w:rPr>
                </w:pPr>
                <w:r>
                  <w:rPr>
                    <w:szCs w:val="24"/>
                  </w:rPr>
                  <w:t xml:space="preserve">2.3. Pagal Aprašą Nr. 7 remiamoms veikloms numatomas </w:t>
                </w:r>
                <w:r>
                  <w:rPr>
                    <w:bCs/>
                    <w:szCs w:val="24"/>
                  </w:rPr>
                  <w:t xml:space="preserve">projektų atrankos būdas </w:t>
                </w:r>
                <w:r>
                  <w:rPr>
                    <w:szCs w:val="24"/>
                  </w:rPr>
                  <w:t>– valstybės projektų planavimas.</w:t>
                </w:r>
              </w:p>
              <w:p w14:paraId="3BFFE36B" w14:textId="10114DA1">
                <w:pPr>
                  <w:jc w:val="both"/>
                  <w:rPr>
                    <w:i/>
                    <w:iCs/>
                    <w:szCs w:val="24"/>
                  </w:rPr>
                </w:pPr>
                <w:r>
                  <w:rPr>
                    <w:szCs w:val="24"/>
                  </w:rPr>
                  <w:t>2.4. Pagal Aprašą Nr. 7 numatoma skelbti 1 kvietimą pareiškėjui teikti projekto įgyvendinimo planą (toliau – PĮP).</w:t>
                </w:r>
              </w:p>
              <w:p w14:paraId="31C8AD76" w14:textId="2BC809B1">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 xml:space="preserve">profesinio mokymo įstaigos, kuriose Lietuvos Respublikos švietimo, mokslo ir sporto ministerija (toliau – Ministerija) įgyvendina savininko (dalininko) teises ir pareigas, </w:t>
                </w:r>
                <w:r>
                  <w:t>Nacionalinė švietimo agentūra, Kvalifikacijų ir profesinio mokymo plėtros centras, Lietuvos įtraukties švietime centras, Lietuvos neformaliojo švietimo agentūra. Partneriais galės būti visos šiame punkte nurodytos įstaigos, teigiamai atsakiusios į projekto vykdytojo el. ryšio priemonėmis pateiktą kvietimą būti projekto partneriais.</w:t>
                </w:r>
              </w:p>
              <w:p w14:paraId="17E502A9" w14:textId="6E8DF946">
                <w:pPr>
                  <w:jc w:val="both"/>
                  <w:rPr>
                    <w:szCs w:val="24"/>
                  </w:rPr>
                </w:pPr>
                <w:r>
                  <w:rPr>
                    <w:szCs w:val="24"/>
                  </w:rPr>
                  <w:t xml:space="preserve">2.6. Pagal Aprašą Nr. 7 </w:t>
                </w:r>
                <w:r>
                  <w:rPr>
                    <w:bCs/>
                    <w:szCs w:val="24"/>
                  </w:rPr>
                  <w:t>finansuojamos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specialistams</w:t>
                </w:r>
                <w:r>
                  <w:rPr>
                    <w:szCs w:val="24"/>
                  </w:rPr>
                  <w:t>:</w:t>
                </w:r>
              </w:p>
              <w:p w14:paraId="1E6B4F62" w14:textId="57A0ED9C">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turintiems SUP, ir mokiniams iš nepalankaus SEK;</w:t>
                </w:r>
              </w:p>
              <w:p w14:paraId="31C5420B" w14:textId="27575933">
                <w:pPr>
                  <w:jc w:val="both"/>
                  <w:rPr>
                    <w:szCs w:val="24"/>
                  </w:rPr>
                </w:pPr>
                <w:r>
                  <w:rPr>
                    <w:szCs w:val="24"/>
                  </w:rPr>
                  <w:t xml:space="preserve">2.6.3. </w:t>
                </w:r>
                <w:r>
                  <w:t xml:space="preserve">mokinių, turinčių SUP, ir mokinių iš nepalankaus SEK aprūpinimas priemonėmis, įranga (pvz., specializuota kompiuterine programine įranga, skirta asmenims, turintiems regos, klausos sutrikimų; virtualios realybės įranga, skirta asmenims su autizmo spektro ar motorikos sutrikimais; planšetiniai kompiuteriai ar kiti liečiamieji kompiuteriai; įranga, skirta stalų aukščiui reguliuoti, dirbti su profesinio mokymo programai pritaikyta reikalinga technika (pavyzdžiui, vežimėliai, smulki technika pritaikytomis rankenomis ar smulkias detales prispaudžianti ir pan.), multisensorinių / poilsio kambarių įrengimas (multisensoriniai / poilsio kambariai bus įrengiami profesinio mokymo įstaigose, kurios atitiks šiuos kriterijus: 1) profesinio mokymo įstaiga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pPr>
                  <w:jc w:val="both"/>
                  <w:rPr>
                    <w:szCs w:val="24"/>
                  </w:rPr>
                </w:pPr>
                <w:r>
                  <w:rPr>
                    <w:szCs w:val="24"/>
                  </w:rPr>
                  <w:t>2.6.4. profesinės mokymo įstaigos mokytojų ir švietimo pagalbos specialistų kompetencijų tobulinimas. Išlaidos šiai veiklai gali būti tinkamos, tik jei nefinansuojamos kitų pažangos priemonių lėšomis;</w:t>
                </w:r>
              </w:p>
              <w:p w14:paraId="57060970" w14:textId="79EA2046">
                <w:pPr>
                  <w:jc w:val="both"/>
                  <w:rPr>
                    <w:kern w:val="2"/>
                    <w:szCs w:val="24"/>
                    <w:shd w:val="clear" w:color="auto" w:fill="FFFFFF"/>
                    <w14:ligatures w14:val="standardContextual"/>
                  </w:rPr>
                </w:pPr>
                <w:r>
                  <w:rPr>
                    <w:szCs w:val="24"/>
                  </w:rPr>
                  <w:t xml:space="preserve">2.6.5. </w:t>
                </w:r>
                <w:r>
                  <w:t xml:space="preserve">diagnostinių įrankių, skirtų mokiniams ištirti ir įvertinti psichofizines savybes, reikalingas darbinei veiklai, bei pagrindinius gebėjimus: kognityvinius, susijusius su darbo atlikimo pobūdžiu, psichomotorinius ir susijusius su kultūros išraiška / bendravimu, bei numatyti galimybes psichofizinių savybių plėtotei individualizuojant profesinį mokymą, komplektų pirkimas ir mokymų jais naudotis organizavimas. Projekto vykdytojui apklausus profesinio mokymo įstaigas ir įvertinus diagnostinių įrankių poreikį: 1) diagnostinių įrankių įsigijimas būtų vykdomas toms profesinio mokymo įstaigoms, kuriose mokinių, turinčių SUP, skaičiaus vidurkis per paskutinius dvejus mokslo metus iki projekto pradžios yra ne mažesnis kaip 40 ir kurios tokių įrankių neturi; 2) mokymai naudotis diagnostiniais įrankiais būtų organizuojami švietimo pagalbos specialistams iš diagnostinius įrankius projekto metu įsigyjančių ir iš diagnostinius įrankius anksčiau įsigijusių, tačiau nebeturinčių pakankamai jais naudotis apmokytų ir teisę jais naudotis turinčių specialistų, profesinio mokymo įstaigų; </w:t>
                </w:r>
                <w:r>
                  <w:rPr>
                    <w:kern w:val="2"/>
                    <w:szCs w:val="24"/>
                    <w:shd w:val="clear" w:color="auto" w:fill="FFFFFF"/>
                    <w14:ligatures w14:val="standardContextual"/>
                  </w:rPr>
                  <w:t xml:space="preserve"> </w:t>
                </w:r>
              </w:p>
              <w:p w14:paraId="29D36AB0" w14:textId="54940D8B">
                <w:pPr>
                  <w:jc w:val="both"/>
                  <w:rPr>
                    <w:szCs w:val="24"/>
                    <w:lang w:eastAsia="lt-LT"/>
                  </w:rPr>
                </w:pPr>
                <w:r>
                  <w:rPr>
                    <w:szCs w:val="24"/>
                    <w:lang w:eastAsia="lt-LT"/>
                  </w:rPr>
                  <w:t xml:space="preserve">2.6.6. kitos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 bei įvertinus jų naudą projekto tikslams pasiekti tai būtų finansinės paskatos mokiniams, turintiems SUP, bei mokiniams iš nepalankaus SEK</w:t>
                </w:r>
                <w:r>
                  <w:rPr>
                    <w:szCs w:val="24"/>
                    <w:lang w:eastAsia="lt-LT"/>
                  </w:rPr>
                  <w:t>.</w:t>
                </w:r>
              </w:p>
              <w:p w14:paraId="701BFC3A" w14:textId="28814567">
                <w:pPr>
                  <w:jc w:val="both"/>
                  <w:rPr>
                    <w:szCs w:val="24"/>
                    <w:highlight w:val="yellow"/>
                  </w:rPr>
                </w:pPr>
                <w:r>
                  <w:rPr>
                    <w:szCs w:val="24"/>
                  </w:rPr>
                  <w:t xml:space="preserve">2.7. </w:t>
                </w:r>
                <w:r>
                  <w:rPr>
                    <w:bCs/>
                    <w:szCs w:val="24"/>
                  </w:rPr>
                  <w:t xml:space="preserve">Projekto veiklos turi būti baigtos </w:t>
                </w:r>
                <w:r>
                  <w:rPr>
                    <w:szCs w:val="24"/>
                  </w:rPr>
                  <w:t>ne vėliau, nei numatyta Projektų administravimo ir finansavimo taisyklių 149 punkte. Projekto veiklų įgyvendinimo terminas gali būti pratęstas, pasikeitus Projektų administravimo ir finansavimo taisyklių 149 punkte nurodytam išlaidų deklaravimo terminui.</w:t>
                </w:r>
              </w:p>
              <w:p w14:paraId="5B9FCB0F" w14:textId="6124B663">
                <w:pPr>
                  <w:jc w:val="both"/>
                  <w:rPr>
                    <w:szCs w:val="24"/>
                  </w:rPr>
                </w:pPr>
                <w:r>
                  <w:rPr>
                    <w:szCs w:val="24"/>
                  </w:rPr>
                  <w:t>2.8. Projektas turi atitikti bendruosius projektų atrankos kriterijus, nurodytus Projektų administravimo ir finansavimo taisyklių 2 priede.</w:t>
                </w:r>
              </w:p>
              <w:p w14:paraId="0ACAAA21" w14:textId="0329B1E6">
                <w:pPr>
                  <w:jc w:val="both"/>
                  <w:rPr>
                    <w:szCs w:val="24"/>
                  </w:rPr>
                </w:pPr>
                <w:r>
                  <w:rPr>
                    <w:szCs w:val="24"/>
                  </w:rPr>
                  <w:t>2.9. Projektų veiklos turi būti vykdomos Lietuvos Respublikoje.</w:t>
                </w:r>
              </w:p>
              <w:p w14:paraId="1BED6512" w14:textId="7B557484">
                <w:pPr>
                  <w:jc w:val="both"/>
                  <w:rPr>
                    <w:szCs w:val="24"/>
                  </w:rPr>
                </w:pPr>
                <w:r>
                  <w:rPr>
                    <w:szCs w:val="24"/>
                  </w:rPr>
                  <w:t xml:space="preserve">2.10. Projekto vykdytojas, įgyvendindamas projektą, privalo pasiekti Apraše Nr. 7 numatytus rezultatus. </w:t>
                </w:r>
              </w:p>
              <w:p w14:paraId="5919EA64" w14:textId="293DC3E2">
                <w:pPr>
                  <w:jc w:val="both"/>
                  <w:rPr>
                    <w:szCs w:val="24"/>
                  </w:rPr>
                </w:pPr>
                <w:r>
                  <w:rPr>
                    <w:szCs w:val="24"/>
                  </w:rPr>
                  <w:t xml:space="preserve">2.11. Projektui galima skirti lėšų suma yra iki 5 682 383 Eur (penkių milijonų šešių šimtų aštuoniasdešimt dviejų tūkstančių trijų šimtų aštuoniasdešimt trijų eurų). Iš kurių: </w:t>
                </w:r>
              </w:p>
              <w:p w14:paraId="5241D47F" w14:textId="719D8196">
                <w:pPr>
                  <w:jc w:val="both"/>
                  <w:rPr>
                    <w:szCs w:val="24"/>
                  </w:rPr>
                </w:pPr>
                <w:r>
                  <w:rPr>
                    <w:szCs w:val="24"/>
                  </w:rPr>
                  <w:t xml:space="preserve">2.11.1. iki 4 496 393 Eur (keturių milijonų keturių šimtų devyniasdešimt šešių 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tūkstančių septynių šimtų septyniasdešimt penkių eurų) VVL regionui; </w:t>
                </w:r>
              </w:p>
              <w:p w14:paraId="4281E1A1" w14:textId="4702D134">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pPr>
                  <w:jc w:val="both"/>
                </w:pPr>
                <w:r>
                  <w:rPr>
                    <w:szCs w:val="24"/>
                  </w:rPr>
                  <w:t>2.12.</w:t>
                </w:r>
                <w:r>
                  <w:t xml:space="preserve"> Privalomi komunikacijos ir informavimo (viešinimo) veiksmai atliekami vadovaujantis Projektų administravimo ir finansavimo taisyklių VIII skyriaus pirmuoju skirsniu „Informavimas apie projektą ir komunikacija“.</w:t>
                </w:r>
              </w:p>
              <w:p w14:paraId="446B8E32" w14:textId="5DD78DD4">
                <w:pPr>
                  <w:jc w:val="both"/>
                  <w:rPr>
                    <w:szCs w:val="24"/>
                  </w:rPr>
                </w:pPr>
                <w:r>
                  <w:rPr>
                    <w:szCs w:val="24"/>
                  </w:rPr>
                  <w:t xml:space="preserve">2.13. Remiantis Ministerijos Investicijų į bendrąjį ugdymą, profesinį ir neformalųjį mokymą valdymo komiteto, patvirtinto Lietuvos Respublikos švietimo, mokslo ir sporto ministro 2023 m. vasario 23 d. įsakymu Nr. V-216 „Dėl Lietuvos Respublikos švietimo, mokslo ir sporto ministerijos valdymo komitetų darbo reglamento patvirtinimo ir komitetų personalinės sudėties sudarymo“ (toliau – Valdymo komitetas), 2023 m. birželio 13 d. posėdžio protokolinio sprendimo „Dėl 2021–2027 m. Europos Sąjungos fondų investicijų programos lėšomis planuojamų finansuoti projektų, kurie turi būti suderinti su Ministerija ir svarstomi Ministerijos valdymo komitete“ nutarimu planinių projektų projektiniai pasiūlymai turi būti svarstomi Valdymo komitete. Prieš teikdamas PĮP Administruojančiai institucijai pareiškėjas turi Ministerijai pateikti projektinį pasiūlymą ir gauti Valdymo komiteto pritarimą. Su Valdymo komitetu suderintą projektinį pasiūlymą pareiškėjas Administruojančiai institucijai pateikia PĮP priedu. </w:t>
                </w:r>
              </w:p>
              <w:p w14:paraId="2DD93F1E" w14:textId="5CA8D0B1">
                <w:pPr>
                  <w:jc w:val="both"/>
                  <w:rPr>
                    <w:szCs w:val="24"/>
                  </w:rPr>
                </w:pPr>
                <w:r>
                  <w:rPr>
                    <w:szCs w:val="24"/>
                  </w:rPr>
                  <w:t xml:space="preserve">2.14. Administruojanti institucija turi informuoti Ministeriją, jeigu PĮP vertinimo metu nustatyta, kad pareiškėjo pateiktas PĮP neatitinka su Valdymo komitetu suderinto projektinio pasiūlymo nuostatų. </w:t>
                </w:r>
              </w:p>
              <w:p w14:paraId="3C0FC5DB" w14:textId="38449E21">
                <w:pPr>
                  <w:jc w:val="both"/>
                  <w:rPr>
                    <w:color w:val="000000"/>
                    <w:szCs w:val="24"/>
                    <w:lang w:eastAsia="lt-LT"/>
                  </w:rPr>
                </w:pPr>
                <w:r>
                  <w:rPr>
                    <w:color w:val="000000"/>
                    <w:szCs w:val="24"/>
                    <w:lang w:eastAsia="lt-LT"/>
                  </w:rPr>
                  <w:t>2.15. Kartu su PĮP turi būti pateikti lietuvių kalba šie dokumentai:</w:t>
                </w:r>
              </w:p>
              <w:p w14:paraId="4426283E" w14:textId="711FFBDB">
                <w:pPr>
                  <w:jc w:val="both"/>
                  <w:rPr>
                    <w:szCs w:val="24"/>
                    <w:lang w:eastAsia="lt-LT"/>
                  </w:rPr>
                </w:pPr>
                <w:r>
                  <w:rPr>
                    <w:szCs w:val="24"/>
                    <w:lang w:eastAsia="lt-LT"/>
                  </w:rPr>
                  <w:t>2.15.1. partnerio (-ių) deklaracijos (Projektų finansavimo ir administravimo taisyklės 1 priedo 1 priedas (kai projektas įgyvendinamas su partneriais);</w:t>
                </w:r>
              </w:p>
              <w:p w14:paraId="06E2A985" w14:textId="41787633">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pPr>
                  <w:jc w:val="both"/>
                  <w:rPr>
                    <w:szCs w:val="24"/>
                    <w:lang w:eastAsia="lt-LT"/>
                  </w:rPr>
                </w:pPr>
                <w:r>
                  <w:rPr>
                    <w:szCs w:val="24"/>
                    <w:lang w:eastAsia="lt-LT"/>
                  </w:rPr>
                  <w:t>2.15.3. turi pateikti dokumentus, pagrindžiančius projekto išlaidų pagrįstumą (sudarytos sutartys, komercinis pasiūlymas, nuorodos į rinkoje esančias kainas).</w:t>
                </w:r>
              </w:p>
              <w:p w14:paraId="44D21CC8" w14:textId="3168D456">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23A5A270">
                <w:pPr>
                  <w:jc w:val="both"/>
                  <w:rPr>
                    <w:szCs w:val="24"/>
                    <w:lang w:eastAsia="lt-LT"/>
                  </w:rPr>
                </w:pPr>
                <w:r>
                  <w:rPr>
                    <w:szCs w:val="24"/>
                    <w:lang w:eastAsia="lt-LT"/>
                  </w:rPr>
                  <w:t>2.17. Projektu nesiekiama viešojo ir privataus sektorių partnerystės įgyvendinimo.</w:t>
                </w:r>
              </w:p>
              <w:p w14:paraId="7B802F0E" w14:textId="45A6DF81">
                <w:pPr>
                  <w:ind w:left="600"/>
                  <w:jc w:val="both"/>
                  <w:rPr>
                    <w:i/>
                    <w:iCs/>
                    <w:sz w:val="6"/>
                    <w:szCs w:val="2"/>
                  </w:rPr>
                </w:pPr>
              </w:p>
            </w:tc>
          </w:tr>
          <w:tr w14:paraId="53456142" w14:textId="77777777">
            <w:trPr>
              <w:trHeight w:val="285"/>
            </w:trPr>
            <w:tc>
              <w:tcPr>
                <w:tcW w:w="15021" w:type="dxa"/>
              </w:tcPr>
              <w:p w14:paraId="79D09DDF" w14:textId="53EAA6D2">
                <w:pPr>
                  <w:rPr>
                    <w:b/>
                    <w:szCs w:val="24"/>
                  </w:rPr>
                </w:pPr>
                <w:r>
                  <w:rPr>
                    <w:b/>
                    <w:szCs w:val="24"/>
                  </w:rPr>
                  <w:t>3.</w:t>
                </w:r>
                <w:r>
                  <w:rPr>
                    <w:szCs w:val="24"/>
                  </w:rPr>
                  <w:t xml:space="preserve"> </w:t>
                </w:r>
                <w:r>
                  <w:rPr>
                    <w:b/>
                    <w:szCs w:val="24"/>
                  </w:rPr>
                  <w:t>Reikalavimai jungtinio projekto projektams ir jungtinio projekto projektų pareiškėjams</w:t>
                </w:r>
              </w:p>
            </w:tc>
          </w:tr>
          <w:tr w14:paraId="2925AC5E" w14:textId="77777777">
            <w:trPr>
              <w:trHeight w:val="200"/>
            </w:trPr>
            <w:tc>
              <w:tcPr>
                <w:tcW w:w="15021" w:type="dxa"/>
              </w:tcPr>
              <w:p w14:paraId="1EC29047" w14:textId="6C969D25">
                <w:pPr>
                  <w:rPr>
                    <w:szCs w:val="24"/>
                  </w:rPr>
                </w:pPr>
                <w:r>
                  <w:rPr>
                    <w:szCs w:val="24"/>
                  </w:rPr>
                  <w:t>Netaikoma.</w:t>
                </w:r>
              </w:p>
            </w:tc>
          </w:tr>
          <w:tr w14:paraId="5E3C9D9C" w14:textId="77777777">
            <w:trPr>
              <w:trHeight w:val="285"/>
            </w:trPr>
            <w:tc>
              <w:tcPr>
                <w:tcW w:w="15021" w:type="dxa"/>
              </w:tcPr>
              <w:p w14:paraId="7FCFB416" w14:textId="5C5C2552">
                <w:pPr>
                  <w:rPr>
                    <w:b/>
                    <w:szCs w:val="24"/>
                  </w:rPr>
                </w:pPr>
                <w:r>
                  <w:rPr>
                    <w:b/>
                    <w:szCs w:val="24"/>
                  </w:rPr>
                  <w:t>4. Projekto tikslinės grupės</w:t>
                </w:r>
              </w:p>
            </w:tc>
          </w:tr>
          <w:tr w14:paraId="04B14111" w14:textId="77777777">
            <w:trPr>
              <w:trHeight w:val="251"/>
            </w:trPr>
            <w:tc>
              <w:tcPr>
                <w:tcW w:w="15021" w:type="dxa"/>
              </w:tcPr>
              <w:p w14:paraId="28125AED" w14:textId="5244F593">
                <w:pPr>
                  <w:jc w:val="both"/>
                  <w:rPr>
                    <w:szCs w:val="24"/>
                  </w:rPr>
                </w:pPr>
                <w:r>
                  <w:rPr>
                    <w:szCs w:val="24"/>
                  </w:rPr>
                  <w:t>4.1. Projekto tikslinė grupė – profesinių mokymo įstaigų mokiniai, mokytojai, švietimo pagalvos specialistai:</w:t>
                </w:r>
              </w:p>
              <w:p w14:paraId="6CB5D2B0" w14:textId="442ADFA4">
                <w:pPr>
                  <w:jc w:val="both"/>
                  <w:rPr>
                    <w:szCs w:val="24"/>
                  </w:rPr>
                </w:pPr>
                <w:r>
                  <w:rPr>
                    <w:szCs w:val="24"/>
                  </w:rPr>
                  <w:t>4.1.1. profesinio mokymo mokinių poreikiai – mokiniams, turintiems specialiųjų ugdymosi poreikių, ir mokiniams iš nepalankaus SEK reikalingos papildomos ir / arba specifinės sąlygos jiems siekiant įgyti profesinio mokymo kvalifikaciją;</w:t>
                </w:r>
              </w:p>
              <w:p w14:paraId="7EC5708A" w14:textId="1339295B">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pPr>
                  <w:jc w:val="both"/>
                  <w:rPr>
                    <w:szCs w:val="24"/>
                  </w:rPr>
                </w:pPr>
                <w:r>
                  <w:rPr>
                    <w:szCs w:val="24"/>
                  </w:rPr>
                  <w:t>4.1.3. švietimo pagalbos specialistų poreikiai – profesinio mokymo įstaigose mokosi nemažai mokinių, turinčių specialiųjų ugdymosi poreikių, ir mokinių iš nepalankaus SEK. Tokių mokinių skaičius nuolat didėja. Švietimo pagalbos specialistams būtina sustiprinti kompetencijas atpažinti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pPr>
                  <w:rPr>
                    <w:b/>
                    <w:szCs w:val="24"/>
                    <w:lang w:eastAsia="lt-LT"/>
                  </w:rPr>
                </w:pPr>
                <w:r>
                  <w:rPr>
                    <w:szCs w:val="24"/>
                    <w:lang w:eastAsia="lt-LT"/>
                  </w:rPr>
                  <w:t>4.2. Projekto tikslinės grupės administravimas bus vykdomas, vadovaujantis Projekto dalyvių informacijos administravimo instrukcija, kuri yra skelbiama adresu: https://www.esinvesticijos.lt/dokumentai/projekto-dalyviu-informacijos-administravimo-instrukcija.</w:t>
                </w:r>
              </w:p>
            </w:tc>
          </w:tr>
          <w:tr w14:paraId="5A17117A" w14:textId="77777777">
            <w:trPr>
              <w:trHeight w:val="285"/>
            </w:trPr>
            <w:tc>
              <w:tcPr>
                <w:tcW w:w="15021" w:type="dxa"/>
              </w:tcPr>
              <w:p w14:paraId="56857CF1" w14:textId="012B81F8">
                <w:pPr>
                  <w:rPr>
                    <w:sz w:val="22"/>
                    <w:szCs w:val="22"/>
                  </w:rPr>
                </w:pPr>
                <w:r>
                  <w:rPr>
                    <w:b/>
                    <w:szCs w:val="24"/>
                  </w:rPr>
                  <w:t>5. Horizontaliųjų principų (toliau – HP) reikalavimai</w:t>
                </w:r>
              </w:p>
            </w:tc>
          </w:tr>
          <w:tr w14:paraId="010799ED" w14:textId="77777777">
            <w:trPr>
              <w:trHeight w:val="698"/>
            </w:trPr>
            <w:tc>
              <w:tcPr>
                <w:tcW w:w="15021" w:type="dxa"/>
              </w:tcPr>
              <w:p w14:paraId="42064CB0" w14:textId="18F3D778">
                <w:pPr>
                  <w:tabs>
                    <w:tab w:val="left" w:pos="459"/>
                  </w:tabs>
                  <w:jc w:val="both"/>
                  <w:rPr>
                    <w:szCs w:val="24"/>
                    <w:lang w:eastAsia="lt-LT"/>
                  </w:rPr>
                </w:pPr>
                <w:r>
                  <w:rPr>
                    <w:szCs w:val="24"/>
                  </w:rPr>
                  <w:t>5.1.</w:t>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06B8CDD7" w14:textId="5A80F190">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pPr>
                  <w:tabs>
                    <w:tab w:val="left" w:pos="459"/>
                  </w:tabs>
                  <w:jc w:val="both"/>
                </w:pPr>
                <w:r>
                  <w:rPr>
                    <w:iCs/>
                    <w:szCs w:val="24"/>
                  </w:rPr>
                  <w:t xml:space="preserve">5.3. </w:t>
                </w:r>
                <w:r>
                  <w:t xml:space="preserve">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t>(ES) Nr. 2020/852</w:t>
                </w:r>
                <w:r>
                  <w:t xml:space="preserve"> dėl sistemos tvariam investavimui palengvinti sukūrimo, kuriuo iš dalies keičiamas Reglamentas </w:t>
                </w:r>
                <w:r>
                  <w:t>(ES) 2019/2088</w:t>
                </w:r>
                <w:r>
                  <w:t>. Projektų (įskaitant jungtinį projektą) atitikties reikšmingos žalos nedarymo HP vertinimo reikalavimai pateikiami Aprašo Nr. 7 priede „Projekto (įskaitant jungtinį projektą) atitikties reikšmingos žalos nedarymo horizontaliajam principui vertinimo reikalavimų aprašas“.</w:t>
                </w:r>
              </w:p>
              <w:p w14:paraId="0838AB13" w14:textId="55D875D9">
                <w:pPr>
                  <w:tabs>
                    <w:tab w:val="left" w:pos="459"/>
                  </w:tabs>
                  <w:jc w:val="both"/>
                </w:pPr>
                <w:r>
                  <w:t>5.4. Tikslinės grupės asmens duomenys tvarkomi gavus duomenų subjekto sutikimą ir laikantis Bendrojo duomenų apsaugos reglamento</w:t>
                </w:r>
                <w:r>
                  <w:rPr>
                    <w:szCs w:val="24"/>
                    <w:vertAlign w:val="superscript"/>
                  </w:rPr>
                  <w:footnoteReference w:id="4"/>
                </w:r>
                <w:r>
                  <w:t xml:space="preserve"> reikalavimų.</w:t>
                </w:r>
              </w:p>
            </w:tc>
          </w:tr>
          <w:tr w14:paraId="32A95883" w14:textId="77777777">
            <w:tc>
              <w:tcPr>
                <w:tcW w:w="15021" w:type="dxa"/>
              </w:tcPr>
              <w:p w14:paraId="1BA8B80C" w14:textId="7D25C13C">
                <w:pPr>
                  <w:spacing w:line="259" w:lineRule="auto"/>
                  <w:jc w:val="both"/>
                  <w:rPr>
                    <w:b/>
                    <w:bCs/>
                  </w:rPr>
                </w:pPr>
                <w:r>
                  <w:rPr>
                    <w:b/>
                    <w:bCs/>
                  </w:rPr>
                  <w:t>6. Europos Sąjungos pagrindinių teisių chartijos (toliau – Chartija) reikalavimai</w:t>
                </w:r>
              </w:p>
            </w:tc>
          </w:tr>
          <w:tr w14:paraId="3B807710" w14:textId="77777777">
            <w:trPr>
              <w:trHeight w:val="394"/>
            </w:trPr>
            <w:tc>
              <w:tcPr>
                <w:tcW w:w="15021" w:type="dxa"/>
              </w:tcPr>
              <w:p w14:paraId="5D024BA3" w14:textId="77C0F9A4">
                <w:pPr>
                  <w:jc w:val="both"/>
                  <w:rPr>
                    <w:szCs w:val="24"/>
                  </w:rPr>
                </w:pPr>
                <w:r>
                  <w:rPr>
                    <w:szCs w:val="24"/>
                  </w:rPr>
                  <w:t>Pagal Aprašą Nr. 7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7 finansuojamų veiklų pobūdį, papildomi reikalavimai dėl aktyvių priemonių Chartijoje įtvirtintoms teisėms propaguoti nėra nustatomi.</w:t>
                </w:r>
              </w:p>
              <w:p w14:paraId="3C1C9617" w14:textId="77777777">
                <w:pPr>
                  <w:rPr>
                    <w:szCs w:val="24"/>
                  </w:rPr>
                </w:pPr>
                <w:r>
                  <w:rPr>
                    <w:szCs w:val="24"/>
                  </w:rPr>
                  <w:t>Projekto vykdytojas privalo nepažeisti Chartijos reikalavimų projekto vykdymo metu.</w:t>
                </w:r>
              </w:p>
              <w:p w14:paraId="25B568C1" w14:textId="7A4AB844">
                <w:pPr>
                  <w:jc w:val="both"/>
                  <w:rPr>
                    <w:i/>
                    <w:iCs/>
                  </w:rPr>
                </w:pPr>
              </w:p>
            </w:tc>
          </w:tr>
          <w:tr w14:paraId="0A95C7E5" w14:textId="77777777">
            <w:tc>
              <w:tcPr>
                <w:tcW w:w="15021" w:type="dxa"/>
              </w:tcPr>
              <w:p w14:paraId="4A6472D2" w14:textId="1F8C1472">
                <w:pPr>
                  <w:rPr>
                    <w:b/>
                    <w:szCs w:val="24"/>
                  </w:rPr>
                </w:pPr>
                <w:r>
                  <w:rPr>
                    <w:b/>
                    <w:szCs w:val="24"/>
                  </w:rPr>
                  <w:t>7. Apskritis, kurioje gali būti įgyvendinami projektai</w:t>
                </w:r>
              </w:p>
            </w:tc>
          </w:tr>
          <w:tr w14:paraId="5417909E" w14:textId="77777777">
            <w:trPr>
              <w:trHeight w:val="417"/>
            </w:trPr>
            <w:tc>
              <w:tcPr>
                <w:tcW w:w="15021" w:type="dxa"/>
              </w:tcPr>
              <w:p w14:paraId="2F225B5B" w14:textId="61E0DBDF">
                <w:pPr>
                  <w:jc w:val="both"/>
                  <w:rPr>
                    <w:szCs w:val="24"/>
                  </w:rPr>
                </w:pPr>
                <w:r>
                  <w:rPr>
                    <w:szCs w:val="24"/>
                  </w:rPr>
                  <w:t>Netaikoma.</w:t>
                </w:r>
              </w:p>
            </w:tc>
          </w:tr>
          <w:tr w14:paraId="40884192" w14:textId="77777777">
            <w:tc>
              <w:tcPr>
                <w:tcW w:w="15021" w:type="dxa"/>
              </w:tcPr>
              <w:p w14:paraId="2713E015" w14:textId="5BF92A1C">
                <w:pPr>
                  <w:jc w:val="both"/>
                  <w:rPr>
                    <w:b/>
                    <w:szCs w:val="24"/>
                  </w:rPr>
                </w:pPr>
                <w:r>
                  <w:rPr>
                    <w:b/>
                    <w:szCs w:val="24"/>
                  </w:rPr>
                  <w:t>8. Reikalavimai valstybės pagalbai (kurie nėra nurodyti kituose Aprašo punktuose)</w:t>
                </w:r>
              </w:p>
            </w:tc>
          </w:tr>
          <w:tr w14:paraId="622C0FB7" w14:textId="77777777">
            <w:trPr>
              <w:trHeight w:val="966"/>
            </w:trPr>
            <w:tc>
              <w:tcPr>
                <w:tcW w:w="15021" w:type="dxa"/>
              </w:tcPr>
              <w:p w14:paraId="464863DE" w14:textId="00D16611">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w:t>
                </w:r>
                <w:r>
                  <w:t>(ES) Nr. 1407/2013</w:t>
                </w:r>
                <w:r>
                  <w:t xml:space="preserve"> dėl Sutarties dėl Europos Sąjungos veikimo 107 ir 108 straipsnių taikymo </w:t>
                </w:r>
                <w:r>
                  <w:rPr>
                    <w:i/>
                  </w:rPr>
                  <w:t>de</w:t>
                </w:r>
                <w:r>
                  <w:t xml:space="preserve"> </w:t>
                </w:r>
                <w:r>
                  <w:rPr>
                    <w:i/>
                  </w:rPr>
                  <w:t>minimis</w:t>
                </w:r>
                <w:r>
                  <w:t xml:space="preserve"> pagalbai nuostatas, neteikiama.</w:t>
                </w:r>
              </w:p>
            </w:tc>
          </w:tr>
          <w:tr w14:paraId="4463DB70" w14:textId="77777777">
            <w:tc>
              <w:tcPr>
                <w:tcW w:w="15021" w:type="dxa"/>
              </w:tcPr>
              <w:p w14:paraId="4F63D80A" w14:textId="7C45513F">
                <w:pPr>
                  <w:ind w:left="426" w:hanging="426"/>
                  <w:jc w:val="both"/>
                  <w:rPr>
                    <w:i/>
                    <w:szCs w:val="24"/>
                  </w:rPr>
                </w:pPr>
                <w:r>
                  <w:rPr>
                    <w:b/>
                    <w:szCs w:val="24"/>
                  </w:rPr>
                  <w:t>9. Projektų atrankos kriterijai</w:t>
                </w:r>
              </w:p>
            </w:tc>
          </w:tr>
          <w:tr w14:paraId="0CE79D92" w14:textId="77777777">
            <w:trPr>
              <w:trHeight w:val="697"/>
            </w:trPr>
            <w:tc>
              <w:tcPr>
                <w:tcW w:w="15021" w:type="dxa"/>
              </w:tcPr>
              <w:p w14:paraId="45E62F6E" w14:textId="0A4ACB23">
                <w:pPr>
                  <w:jc w:val="both"/>
                  <w:rPr>
                    <w:iCs/>
                    <w:szCs w:val="24"/>
                  </w:rPr>
                </w:pPr>
                <w:r>
                  <w:rPr>
                    <w:iCs/>
                    <w:szCs w:val="24"/>
                  </w:rPr>
                  <w:t>9.1. Projekto prioritetiniai atrankos kriterijai nėra nustatomi.</w:t>
                </w:r>
              </w:p>
              <w:p w14:paraId="79F6D21D" w14:textId="725FB648">
                <w:pPr>
                  <w:jc w:val="both"/>
                  <w:rPr>
                    <w:iCs/>
                    <w:szCs w:val="24"/>
                  </w:rPr>
                </w:pPr>
                <w:r>
                  <w:rPr>
                    <w:iCs/>
                    <w:szCs w:val="24"/>
                  </w:rPr>
                  <w:t>9.2. Projekto specialieji atrankos kriterijai nėra nustatomi.</w:t>
                </w:r>
              </w:p>
            </w:tc>
          </w:tr>
          <w:tr w14:paraId="4EF7D2D9" w14:textId="77777777">
            <w:tc>
              <w:tcPr>
                <w:tcW w:w="15021" w:type="dxa"/>
              </w:tcPr>
              <w:p w14:paraId="09A3D14B" w14:textId="77777777">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0826AE42" w14:textId="6CA0D70D">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14:paraId="24F64BF5" w14:textId="77777777">
            <w:tc>
              <w:tcPr>
                <w:tcW w:w="15021" w:type="dxa"/>
              </w:tcPr>
              <w:p w14:paraId="73C9EF82" w14:textId="56927762">
                <w:pPr>
                  <w:rPr>
                    <w:szCs w:val="24"/>
                  </w:rPr>
                </w:pPr>
                <w:r>
                  <w:rPr>
                    <w:szCs w:val="24"/>
                  </w:rPr>
                  <w:t>Netaikoma.</w:t>
                </w:r>
              </w:p>
            </w:tc>
          </w:tr>
          <w:tr w14:paraId="5DE7118D" w14:textId="77777777">
            <w:tc>
              <w:tcPr>
                <w:tcW w:w="15021" w:type="dxa"/>
              </w:tcPr>
              <w:p w14:paraId="2C94A768" w14:textId="5CE0EDAD">
                <w:pPr>
                  <w:rPr>
                    <w:b/>
                    <w:szCs w:val="24"/>
                  </w:rPr>
                </w:pPr>
                <w:r>
                  <w:rPr>
                    <w:b/>
                    <w:szCs w:val="24"/>
                  </w:rPr>
                  <w:t xml:space="preserve">11. Reikalavimai įgyvendinus projektų veiklas </w:t>
                </w:r>
              </w:p>
            </w:tc>
          </w:tr>
          <w:tr w14:paraId="0748C9F2" w14:textId="77777777">
            <w:trPr>
              <w:trHeight w:val="363"/>
            </w:trPr>
            <w:tc>
              <w:tcPr>
                <w:tcW w:w="15021" w:type="dxa"/>
              </w:tcPr>
              <w:p w14:paraId="04994716" w14:textId="3C0AFA10">
                <w:pPr>
                  <w:rPr>
                    <w:iCs/>
                    <w:szCs w:val="24"/>
                  </w:rPr>
                </w:pPr>
                <w:r>
                  <w:rPr>
                    <w:iCs/>
                    <w:szCs w:val="24"/>
                  </w:rPr>
                  <w:t>Papildomi reikalavimai įgyvendinus projekto veiklas, kurie nenumatyti Projektų administravimo ir finansavimo taisyklėse, nėra taikomi.</w:t>
                </w:r>
              </w:p>
            </w:tc>
          </w:tr>
          <w:tr w14:paraId="2F1137DC" w14:textId="77777777">
            <w:tc>
              <w:tcPr>
                <w:tcW w:w="15021" w:type="dxa"/>
              </w:tcPr>
              <w:p w14:paraId="0E78102D" w14:textId="0C280717">
                <w:pPr>
                  <w:rPr>
                    <w:szCs w:val="24"/>
                  </w:rPr>
                </w:pPr>
                <w:r>
                  <w:rPr>
                    <w:b/>
                    <w:szCs w:val="24"/>
                  </w:rPr>
                  <w:t>12. Kiti reikalavimai</w:t>
                </w:r>
              </w:p>
            </w:tc>
          </w:tr>
          <w:tr w14:paraId="78D1FF15" w14:textId="77777777">
            <w:trPr>
              <w:trHeight w:val="415"/>
            </w:trPr>
            <w:tc>
              <w:tcPr>
                <w:tcW w:w="15021" w:type="dxa"/>
              </w:tcPr>
              <w:p w14:paraId="4298BE86" w14:textId="76A4B792">
                <w:pPr>
                  <w:tabs>
                    <w:tab w:val="left" w:pos="1134"/>
                  </w:tabs>
                  <w:jc w:val="both"/>
                </w:pPr>
                <w:r>
                  <w:t xml:space="preserve">Kiti reikalavimai, kurie nenumatyti Projektų administravimo ir finansavimo taisyklėse, nėra taikomi.  </w:t>
                </w:r>
              </w:p>
            </w:tc>
          </w:tr>
          <w:tr w14:paraId="79370CF4" w14:textId="77777777">
            <w:tc>
              <w:tcPr>
                <w:tcW w:w="15021" w:type="dxa"/>
              </w:tcPr>
              <w:p w14:paraId="2B33B1C1" w14:textId="77777777">
                <w:pPr>
                  <w:rPr>
                    <w:b/>
                    <w:szCs w:val="24"/>
                  </w:rPr>
                </w:pPr>
                <w:r>
                  <w:rPr>
                    <w:b/>
                    <w:szCs w:val="24"/>
                  </w:rPr>
                  <w:t>IŠLAIDŲ TINKAMUMO FINANSUOTI REIKALAVIMAI</w:t>
                </w:r>
              </w:p>
            </w:tc>
          </w:tr>
          <w:tr w14:paraId="1D1B7B5A" w14:textId="77777777">
            <w:tc>
              <w:tcPr>
                <w:tcW w:w="15021" w:type="dxa"/>
              </w:tcPr>
              <w:p w14:paraId="4FF8F6A8" w14:textId="2823616A">
                <w:pPr>
                  <w:jc w:val="both"/>
                  <w:rPr>
                    <w:b/>
                    <w:szCs w:val="24"/>
                  </w:rPr>
                </w:pPr>
                <w:r>
                  <w:rPr>
                    <w:b/>
                    <w:szCs w:val="24"/>
                  </w:rPr>
                  <w:t>13. Išlaidų tinkamumo finansuoti reikalavimai</w:t>
                </w:r>
              </w:p>
            </w:tc>
          </w:tr>
          <w:tr w14:paraId="25FECF96" w14:textId="77777777">
            <w:trPr>
              <w:trHeight w:val="913"/>
            </w:trPr>
            <w:tc>
              <w:tcPr>
                <w:tcW w:w="15021" w:type="dxa"/>
              </w:tcPr>
              <w:p w14:paraId="4257E9E3" w14:textId="705CDF45">
                <w:pPr>
                  <w:jc w:val="both"/>
                  <w:rPr>
                    <w:bCs/>
                    <w:szCs w:val="24"/>
                  </w:rPr>
                </w:pPr>
                <w:r>
                  <w:rPr>
                    <w:bCs/>
                    <w:szCs w:val="24"/>
                  </w:rPr>
                  <w:t>13.1. Projektų išlaidos turi atitikti Projektų administravimo ir finansavimo taisyklių VII skyriuje „Projektų išlaidų reikalavimai“ išdėstytus projektų išlaidoms taikomus reikalavimus.</w:t>
                </w:r>
              </w:p>
              <w:p w14:paraId="41B47A2A" w14:textId="19C3F855">
                <w:pPr>
                  <w:jc w:val="both"/>
                  <w:rPr>
                    <w:bCs/>
                    <w:szCs w:val="24"/>
                  </w:rPr>
                </w:pPr>
                <w:r>
                  <w:rPr>
                    <w:bCs/>
                    <w:szCs w:val="24"/>
                  </w:rPr>
                  <w:t xml:space="preserve">13.2. Pagal Aprašą Nr. 7 maksimali projektui įgyvendinti suma nurodyta Aprašo Nr. 7 2.11 papunktyje. </w:t>
                </w:r>
              </w:p>
              <w:p w14:paraId="4F4CBC27" w14:textId="119A16F4">
                <w:pPr>
                  <w:jc w:val="both"/>
                  <w:rPr>
                    <w:bCs/>
                    <w:szCs w:val="24"/>
                  </w:rPr>
                </w:pPr>
                <w:r>
                  <w:rPr>
                    <w:bCs/>
                    <w:szCs w:val="24"/>
                  </w:rPr>
                  <w:t>13.3. Pagal Aprašą Nr. 7 tinkamų finansuoti išlaidų rūšys yra šios:</w:t>
                </w:r>
              </w:p>
              <w:p w14:paraId="2123C475" w14:textId="77777777">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14:paraId="78C887E3" w14:textId="77777777">
                  <w:tc>
                    <w:tcPr>
                      <w:tcW w:w="868" w:type="dxa"/>
                    </w:tcPr>
                    <w:p w14:paraId="74348362" w14:textId="77777777">
                      <w:pPr>
                        <w:jc w:val="center"/>
                        <w:rPr>
                          <w:b/>
                          <w:szCs w:val="24"/>
                        </w:rPr>
                      </w:pPr>
                      <w:r>
                        <w:rPr>
                          <w:b/>
                          <w:szCs w:val="24"/>
                        </w:rPr>
                        <w:t>Eil. Nr.</w:t>
                      </w:r>
                    </w:p>
                  </w:tc>
                  <w:tc>
                    <w:tcPr>
                      <w:tcW w:w="3272" w:type="dxa"/>
                    </w:tcPr>
                    <w:p w14:paraId="1DA1405D" w14:textId="77777777">
                      <w:pPr>
                        <w:jc w:val="center"/>
                        <w:rPr>
                          <w:b/>
                          <w:szCs w:val="24"/>
                        </w:rPr>
                      </w:pPr>
                      <w:r>
                        <w:rPr>
                          <w:b/>
                          <w:szCs w:val="24"/>
                        </w:rPr>
                        <w:t>Išlaidų rūšis</w:t>
                      </w:r>
                    </w:p>
                  </w:tc>
                  <w:tc>
                    <w:tcPr>
                      <w:tcW w:w="10629" w:type="dxa"/>
                    </w:tcPr>
                    <w:p w14:paraId="4E2EE9B4" w14:textId="77777777">
                      <w:pPr>
                        <w:jc w:val="center"/>
                        <w:rPr>
                          <w:b/>
                          <w:szCs w:val="24"/>
                        </w:rPr>
                      </w:pPr>
                      <w:r>
                        <w:rPr>
                          <w:b/>
                          <w:szCs w:val="24"/>
                        </w:rPr>
                        <w:t>Reikalavimai ir paaiškinimai</w:t>
                      </w:r>
                    </w:p>
                  </w:tc>
                </w:tr>
                <w:tr w14:paraId="68D471E0" w14:textId="77777777">
                  <w:tc>
                    <w:tcPr>
                      <w:tcW w:w="868" w:type="dxa"/>
                    </w:tcPr>
                    <w:p w14:paraId="40120614" w14:textId="77777777">
                      <w:pPr>
                        <w:jc w:val="both"/>
                        <w:rPr>
                          <w:bCs/>
                          <w:szCs w:val="24"/>
                        </w:rPr>
                      </w:pPr>
                      <w:r>
                        <w:rPr>
                          <w:bCs/>
                          <w:szCs w:val="24"/>
                        </w:rPr>
                        <w:t>1.</w:t>
                      </w:r>
                    </w:p>
                  </w:tc>
                  <w:tc>
                    <w:tcPr>
                      <w:tcW w:w="3272" w:type="dxa"/>
                    </w:tcPr>
                    <w:p w14:paraId="0E7FF56D" w14:textId="77777777">
                      <w:pPr>
                        <w:jc w:val="both"/>
                        <w:rPr>
                          <w:bCs/>
                          <w:szCs w:val="24"/>
                        </w:rPr>
                      </w:pPr>
                      <w:r>
                        <w:rPr>
                          <w:bCs/>
                          <w:szCs w:val="24"/>
                        </w:rPr>
                        <w:t>Žemė</w:t>
                      </w:r>
                    </w:p>
                  </w:tc>
                  <w:tc>
                    <w:tcPr>
                      <w:tcW w:w="10629" w:type="dxa"/>
                    </w:tcPr>
                    <w:p w14:paraId="5DF70700" w14:textId="4D0E3F04">
                      <w:pPr>
                        <w:jc w:val="both"/>
                        <w:rPr>
                          <w:bCs/>
                          <w:szCs w:val="24"/>
                        </w:rPr>
                      </w:pPr>
                      <w:r>
                        <w:rPr>
                          <w:bCs/>
                          <w:szCs w:val="24"/>
                        </w:rPr>
                        <w:t>Netinkama finansuoti.</w:t>
                      </w:r>
                    </w:p>
                  </w:tc>
                </w:tr>
                <w:tr w14:paraId="59FF856E" w14:textId="77777777">
                  <w:tc>
                    <w:tcPr>
                      <w:tcW w:w="868" w:type="dxa"/>
                    </w:tcPr>
                    <w:p w14:paraId="39218746" w14:textId="77777777">
                      <w:pPr>
                        <w:jc w:val="both"/>
                        <w:rPr>
                          <w:bCs/>
                          <w:szCs w:val="24"/>
                        </w:rPr>
                      </w:pPr>
                      <w:r>
                        <w:rPr>
                          <w:bCs/>
                          <w:szCs w:val="24"/>
                        </w:rPr>
                        <w:t>2.</w:t>
                      </w:r>
                    </w:p>
                  </w:tc>
                  <w:tc>
                    <w:tcPr>
                      <w:tcW w:w="3272" w:type="dxa"/>
                    </w:tcPr>
                    <w:p w14:paraId="564F6DA8" w14:textId="77777777">
                      <w:pPr>
                        <w:jc w:val="both"/>
                        <w:rPr>
                          <w:bCs/>
                          <w:szCs w:val="24"/>
                        </w:rPr>
                      </w:pPr>
                      <w:r>
                        <w:rPr>
                          <w:szCs w:val="24"/>
                          <w:lang w:eastAsia="lt-LT"/>
                        </w:rPr>
                        <w:t>Nekilnojamasis turtas</w:t>
                      </w:r>
                    </w:p>
                  </w:tc>
                  <w:tc>
                    <w:tcPr>
                      <w:tcW w:w="10629" w:type="dxa"/>
                    </w:tcPr>
                    <w:p w14:paraId="402EAF15" w14:textId="1BFFAA1C">
                      <w:pPr>
                        <w:jc w:val="both"/>
                        <w:rPr>
                          <w:bCs/>
                          <w:szCs w:val="24"/>
                        </w:rPr>
                      </w:pPr>
                      <w:r>
                        <w:rPr>
                          <w:bCs/>
                          <w:szCs w:val="24"/>
                        </w:rPr>
                        <w:t>Netinkama finansuoti.</w:t>
                      </w:r>
                    </w:p>
                  </w:tc>
                </w:tr>
                <w:tr w14:paraId="3796C876" w14:textId="77777777">
                  <w:tc>
                    <w:tcPr>
                      <w:tcW w:w="868" w:type="dxa"/>
                    </w:tcPr>
                    <w:p w14:paraId="3AAEADC5" w14:textId="77777777">
                      <w:pPr>
                        <w:jc w:val="both"/>
                        <w:rPr>
                          <w:bCs/>
                          <w:szCs w:val="24"/>
                        </w:rPr>
                      </w:pPr>
                      <w:r>
                        <w:rPr>
                          <w:bCs/>
                          <w:szCs w:val="24"/>
                        </w:rPr>
                        <w:t>3.</w:t>
                      </w:r>
                    </w:p>
                  </w:tc>
                  <w:tc>
                    <w:tcPr>
                      <w:tcW w:w="3272" w:type="dxa"/>
                    </w:tcPr>
                    <w:p w14:paraId="5A4D2C1E" w14:textId="77777777">
                      <w:pPr>
                        <w:jc w:val="both"/>
                        <w:rPr>
                          <w:szCs w:val="24"/>
                          <w:lang w:eastAsia="lt-LT"/>
                        </w:rPr>
                      </w:pPr>
                      <w:r>
                        <w:rPr>
                          <w:szCs w:val="24"/>
                          <w:lang w:eastAsia="lt-LT"/>
                        </w:rPr>
                        <w:t>Statyba, rekonstravimas, remontas ir kiti darbai</w:t>
                      </w:r>
                    </w:p>
                  </w:tc>
                  <w:tc>
                    <w:tcPr>
                      <w:tcW w:w="10629" w:type="dxa"/>
                    </w:tcPr>
                    <w:p w14:paraId="5DA254A9" w14:textId="1F8BCF4C">
                      <w:pPr>
                        <w:jc w:val="both"/>
                        <w:rPr>
                          <w:bCs/>
                          <w:szCs w:val="24"/>
                        </w:rPr>
                      </w:pPr>
                      <w:r>
                        <w:rPr>
                          <w:szCs w:val="24"/>
                        </w:rPr>
                        <w:t>Netinkama finansuoti.</w:t>
                      </w:r>
                    </w:p>
                  </w:tc>
                </w:tr>
                <w:tr w14:paraId="0FEEF113" w14:textId="77777777">
                  <w:tc>
                    <w:tcPr>
                      <w:tcW w:w="868" w:type="dxa"/>
                    </w:tcPr>
                    <w:p w14:paraId="2E953461" w14:textId="77777777">
                      <w:pPr>
                        <w:jc w:val="both"/>
                        <w:rPr>
                          <w:bCs/>
                          <w:szCs w:val="24"/>
                        </w:rPr>
                      </w:pPr>
                      <w:r>
                        <w:rPr>
                          <w:bCs/>
                          <w:szCs w:val="24"/>
                        </w:rPr>
                        <w:t>4.</w:t>
                      </w:r>
                    </w:p>
                  </w:tc>
                  <w:tc>
                    <w:tcPr>
                      <w:tcW w:w="3272" w:type="dxa"/>
                    </w:tcPr>
                    <w:p w14:paraId="2D073B17" w14:textId="77777777">
                      <w:pPr>
                        <w:jc w:val="both"/>
                        <w:rPr>
                          <w:szCs w:val="24"/>
                          <w:lang w:eastAsia="lt-LT"/>
                        </w:rPr>
                      </w:pPr>
                      <w:r>
                        <w:rPr>
                          <w:szCs w:val="24"/>
                          <w:lang w:eastAsia="lt-LT"/>
                        </w:rPr>
                        <w:t>Įranga, įrenginiai ir kitas turtas</w:t>
                      </w:r>
                    </w:p>
                  </w:tc>
                  <w:tc>
                    <w:tcPr>
                      <w:tcW w:w="10629" w:type="dxa"/>
                    </w:tcPr>
                    <w:p w14:paraId="455A3864" w14:textId="51128B59">
                      <w:pPr>
                        <w:overflowPunct w:val="0"/>
                        <w:jc w:val="both"/>
                        <w:textAlignment w:val="baseline"/>
                        <w:rPr>
                          <w:szCs w:val="24"/>
                        </w:rPr>
                      </w:pPr>
                      <w:r>
                        <w:rPr>
                          <w:szCs w:val="24"/>
                        </w:rPr>
                        <w:t xml:space="preserve">Tinkama finansuoti. </w:t>
                      </w:r>
                    </w:p>
                    <w:p w14:paraId="0972B0A2" w14:textId="0E1A9758">
                      <w:pPr>
                        <w:overflowPunct w:val="0"/>
                        <w:jc w:val="both"/>
                        <w:textAlignment w:val="baseline"/>
                        <w:rPr>
                          <w:bCs/>
                          <w:szCs w:val="24"/>
                        </w:rPr>
                      </w:pPr>
                      <w:r>
                        <w:t xml:space="preserve">Aprašo Nr. 7 </w:t>
                      </w:r>
                      <w:r>
                        <w:rPr>
                          <w:szCs w:val="24"/>
                        </w:rPr>
                        <w:t xml:space="preserve">2.6.3 papunktyje nurodytos </w:t>
                      </w:r>
                      <w:r>
                        <w:t>veiklos tinkamos finansuoti kryžminio finansavimo lėšomis ne daugiau kaip 10 procentų nuo visų projektui skiriamų lėšų atsižvelgiant į Projektų administravimo ir finansavimo taisyklių 294.7 papunkčio nuostatas.</w:t>
                      </w:r>
                    </w:p>
                  </w:tc>
                </w:tr>
                <w:tr w14:paraId="6AFA7D85" w14:textId="77777777">
                  <w:tc>
                    <w:tcPr>
                      <w:tcW w:w="868" w:type="dxa"/>
                      <w:shd w:val="clear" w:color="auto" w:fill="auto"/>
                    </w:tcPr>
                    <w:p w14:paraId="5CA31E8C" w14:textId="77777777">
                      <w:pPr>
                        <w:jc w:val="both"/>
                        <w:rPr>
                          <w:bCs/>
                          <w:szCs w:val="24"/>
                        </w:rPr>
                      </w:pPr>
                      <w:r>
                        <w:rPr>
                          <w:bCs/>
                          <w:szCs w:val="24"/>
                        </w:rPr>
                        <w:t>5.</w:t>
                      </w:r>
                    </w:p>
                  </w:tc>
                  <w:tc>
                    <w:tcPr>
                      <w:tcW w:w="3272" w:type="dxa"/>
                      <w:shd w:val="clear" w:color="auto" w:fill="auto"/>
                    </w:tcPr>
                    <w:p w14:paraId="78D7C6FC" w14:textId="77777777">
                      <w:pPr>
                        <w:jc w:val="both"/>
                        <w:rPr>
                          <w:szCs w:val="24"/>
                          <w:lang w:eastAsia="lt-LT"/>
                        </w:rPr>
                      </w:pPr>
                      <w:r>
                        <w:rPr>
                          <w:szCs w:val="24"/>
                          <w:lang w:eastAsia="lt-LT"/>
                        </w:rPr>
                        <w:t xml:space="preserve">Projekto vykdymas </w:t>
                      </w:r>
                    </w:p>
                  </w:tc>
                  <w:tc>
                    <w:tcPr>
                      <w:tcW w:w="10629" w:type="dxa"/>
                    </w:tcPr>
                    <w:p w14:paraId="28088C48" w14:textId="2D2CC2DE">
                      <w:pPr>
                        <w:jc w:val="both"/>
                        <w:rPr>
                          <w:b/>
                          <w:bCs/>
                          <w:szCs w:val="24"/>
                        </w:rPr>
                      </w:pPr>
                      <w:r>
                        <w:rPr>
                          <w:bCs/>
                          <w:szCs w:val="24"/>
                        </w:rPr>
                        <w:t>Tinkama finansuoti (veiklos nurodytos Aprašo Nr. 7 2.6 papunktyje),</w:t>
                      </w:r>
                      <w:r>
                        <w:rPr>
                          <w:szCs w:val="24"/>
                        </w:rPr>
                        <w:t xml:space="preserve"> </w:t>
                      </w:r>
                      <w:r>
                        <w:t>jei nefinansuojama kitų pažangos priemonių lėšomis.</w:t>
                      </w:r>
                    </w:p>
                  </w:tc>
                </w:tr>
                <w:tr w14:paraId="3B410D99" w14:textId="77777777">
                  <w:tc>
                    <w:tcPr>
                      <w:tcW w:w="868" w:type="dxa"/>
                    </w:tcPr>
                    <w:p w14:paraId="26AE4F94" w14:textId="77777777">
                      <w:pPr>
                        <w:jc w:val="both"/>
                        <w:rPr>
                          <w:bCs/>
                          <w:szCs w:val="24"/>
                        </w:rPr>
                      </w:pPr>
                      <w:r>
                        <w:rPr>
                          <w:bCs/>
                          <w:szCs w:val="24"/>
                        </w:rPr>
                        <w:t>6.</w:t>
                      </w:r>
                    </w:p>
                  </w:tc>
                  <w:tc>
                    <w:tcPr>
                      <w:tcW w:w="3272" w:type="dxa"/>
                    </w:tcPr>
                    <w:p w14:paraId="082FA8C7" w14:textId="77777777">
                      <w:pPr>
                        <w:jc w:val="both"/>
                        <w:rPr>
                          <w:szCs w:val="24"/>
                          <w:lang w:eastAsia="lt-LT"/>
                        </w:rPr>
                      </w:pPr>
                      <w:r>
                        <w:rPr>
                          <w:szCs w:val="24"/>
                          <w:lang w:eastAsia="lt-LT"/>
                        </w:rPr>
                        <w:t>Informavimas apie projektą</w:t>
                      </w:r>
                    </w:p>
                  </w:tc>
                  <w:tc>
                    <w:tcPr>
                      <w:tcW w:w="10629" w:type="dxa"/>
                    </w:tcPr>
                    <w:p w14:paraId="276A7CC3" w14:textId="77777777">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14:paraId="185DA46E" w14:textId="77777777">
                  <w:tc>
                    <w:tcPr>
                      <w:tcW w:w="868" w:type="dxa"/>
                    </w:tcPr>
                    <w:p w14:paraId="49B3685E" w14:textId="77777777">
                      <w:pPr>
                        <w:jc w:val="both"/>
                        <w:rPr>
                          <w:bCs/>
                          <w:szCs w:val="24"/>
                        </w:rPr>
                      </w:pPr>
                      <w:r>
                        <w:rPr>
                          <w:bCs/>
                          <w:szCs w:val="24"/>
                        </w:rPr>
                        <w:t>7.</w:t>
                      </w:r>
                    </w:p>
                  </w:tc>
                  <w:tc>
                    <w:tcPr>
                      <w:tcW w:w="3272" w:type="dxa"/>
                    </w:tcPr>
                    <w:p w14:paraId="02B7CA6D" w14:textId="77777777">
                      <w:pPr>
                        <w:jc w:val="both"/>
                        <w:rPr>
                          <w:szCs w:val="24"/>
                          <w:lang w:eastAsia="lt-LT"/>
                        </w:rPr>
                      </w:pPr>
                      <w:r>
                        <w:rPr>
                          <w:szCs w:val="24"/>
                          <w:lang w:eastAsia="lt-LT"/>
                        </w:rPr>
                        <w:t>Netiesioginės išlaidos ir kitos išlaidos pagal fiksuotąją projekto išlaidų normą</w:t>
                      </w:r>
                    </w:p>
                  </w:tc>
                  <w:tc>
                    <w:tcPr>
                      <w:tcW w:w="10629" w:type="dxa"/>
                    </w:tcPr>
                    <w:p w14:paraId="5FDD56C4" w14:textId="77777777">
                      <w:pPr>
                        <w:jc w:val="both"/>
                        <w:rPr>
                          <w:bCs/>
                          <w:szCs w:val="24"/>
                        </w:rPr>
                      </w:pPr>
                      <w:r>
                        <w:rPr>
                          <w:bCs/>
                          <w:szCs w:val="24"/>
                        </w:rPr>
                        <w:t xml:space="preserve">Tinkama finansuoti. </w:t>
                      </w:r>
                    </w:p>
                    <w:p w14:paraId="49568CA0" w14:textId="293C8575">
                      <w:pPr>
                        <w:jc w:val="both"/>
                        <w:rPr>
                          <w:bCs/>
                          <w:szCs w:val="24"/>
                        </w:rPr>
                      </w:pPr>
                      <w:r>
                        <w:rPr>
                          <w:bCs/>
                          <w:szCs w:val="24"/>
                        </w:rPr>
                        <w:t>Išlaidos aptartos Aprašo Nr. 7 14.6 papunktyje.</w:t>
                      </w:r>
                    </w:p>
                  </w:tc>
                </w:tr>
              </w:tbl>
              <w:p w14:paraId="5B79BC51" w14:textId="77777777">
                <w:pPr>
                  <w:jc w:val="both"/>
                  <w:rPr>
                    <w:bCs/>
                    <w:sz w:val="16"/>
                    <w:szCs w:val="16"/>
                  </w:rPr>
                </w:pPr>
              </w:p>
              <w:p w14:paraId="683A5DA5" w14:textId="4E16BEBA">
                <w:pPr>
                  <w:jc w:val="both"/>
                  <w:rPr>
                    <w:bCs/>
                    <w:szCs w:val="24"/>
                  </w:rPr>
                </w:pPr>
                <w:r>
                  <w:rPr>
                    <w:bCs/>
                    <w:szCs w:val="24"/>
                  </w:rPr>
                  <w:t>13.4.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14:paraId="22276433" w14:textId="599FD55D">
                <w:pPr>
                  <w:jc w:val="both"/>
                  <w:rPr>
                    <w:bCs/>
                    <w:szCs w:val="24"/>
                  </w:rPr>
                </w:pPr>
                <w:r>
                  <w:rPr>
                    <w:bCs/>
                    <w:szCs w:val="24"/>
                  </w:rPr>
                  <w:t>13.5. Projekto tinkamų finansuoti išlaidų dalis, kurios nepadengia projektui skiriamo finansavimo lėšos, turi būti finansuojama iš projekto vykdytojo lėšų.</w:t>
                </w:r>
              </w:p>
              <w:p w14:paraId="1ACA80EB" w14:textId="63C92AEC">
                <w:pPr>
                  <w:tabs>
                    <w:tab w:val="left" w:pos="0"/>
                    <w:tab w:val="left" w:pos="1134"/>
                    <w:tab w:val="left" w:pos="1418"/>
                    <w:tab w:val="left" w:pos="1560"/>
                  </w:tabs>
                  <w:jc w:val="both"/>
                  <w:rPr>
                    <w:szCs w:val="24"/>
                  </w:rPr>
                </w:pPr>
                <w:r>
                  <w:rPr>
                    <w:bCs/>
                    <w:szCs w:val="24"/>
                  </w:rPr>
                  <w:t xml:space="preserve">13.6. Kryžminis finansavimas gali būti taikomas atsižvelgiant į Projektų administravimo ir finansavimo taisyklių 294.7 papunkčio nuostatas ir </w:t>
                </w:r>
                <w:r>
                  <w:rPr>
                    <w:szCs w:val="24"/>
                  </w:rPr>
                  <w:t xml:space="preserve">negali viršyti 10 procentų nuo visų projektui skiriamų lėšų. </w:t>
                </w:r>
              </w:p>
              <w:p w14:paraId="60C94F94" w14:textId="37808D48">
                <w:pPr>
                  <w:tabs>
                    <w:tab w:val="left" w:pos="0"/>
                    <w:tab w:val="left" w:pos="1134"/>
                    <w:tab w:val="left" w:pos="1418"/>
                    <w:tab w:val="left" w:pos="1560"/>
                  </w:tabs>
                  <w:jc w:val="both"/>
                  <w:rPr>
                    <w:szCs w:val="24"/>
                  </w:rPr>
                </w:pPr>
                <w:r>
                  <w:rPr>
                    <w:bCs/>
                    <w:szCs w:val="24"/>
                  </w:rPr>
                  <w:t>13.7. PĮP parengimo išlaidos nėra finansuojamos.</w:t>
                </w:r>
              </w:p>
            </w:tc>
          </w:tr>
          <w:tr w14:paraId="184250F6" w14:textId="77777777">
            <w:trPr>
              <w:trHeight w:val="349"/>
            </w:trPr>
            <w:tc>
              <w:tcPr>
                <w:tcW w:w="15021" w:type="dxa"/>
              </w:tcPr>
              <w:p w14:paraId="3B6E79C5" w14:textId="59B8CC0F">
                <w:pPr>
                  <w:jc w:val="both"/>
                  <w:rPr>
                    <w:szCs w:val="24"/>
                  </w:rPr>
                </w:pPr>
                <w:r>
                  <w:rPr>
                    <w:b/>
                    <w:szCs w:val="24"/>
                  </w:rPr>
                  <w:t>14. Projektų veiklų ir jungtinio projekto projektų įgyvendinimui taikomi supaprastintai apmokamų išlaidų dydžiai</w:t>
                </w:r>
              </w:p>
            </w:tc>
          </w:tr>
          <w:tr w14:paraId="1B36483A" w14:textId="77777777">
            <w:tc>
              <w:tcPr>
                <w:tcW w:w="15021" w:type="dxa"/>
              </w:tcPr>
              <w:p w14:paraId="4328B167" w14:textId="2179518A">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14:paraId="0B2A9390" w14:textId="4639D8CC">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7B6BB84D" w14:textId="343EF6C2">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pPr>
                  <w:jc w:val="both"/>
                  <w:rPr>
                    <w:szCs w:val="24"/>
                  </w:rPr>
                </w:pPr>
                <w:r>
                  <w:rPr>
                    <w:szCs w:val="24"/>
                  </w:rPr>
                  <w:t>14.4. Išlaidos pagal fiksuotuosius įkainius pripažįstamos tinkamomis finansuoti, kai yra pasiekti tam tikri rezultatai, už kurių pasiekimą nustatyti konkretūs fiksuotieji įkainiai.</w:t>
                </w:r>
              </w:p>
              <w:p w14:paraId="4D1073AA" w14:textId="39D6C039">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14:paraId="0B321F3F" w14:textId="7E992A3D">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14:paraId="1CE5693D" w14:textId="54F656B4">
                <w:pPr>
                  <w:jc w:val="both"/>
                  <w:rPr>
                    <w:szCs w:val="24"/>
                  </w:rPr>
                </w:pPr>
                <w:r>
                  <w:rPr>
                    <w:szCs w:val="24"/>
                  </w:rPr>
                  <w:t>14.7. Projekto sutartyje nustatyta netiesioginių išlaidų fiksuotoji norma projekto įgyvendinimo metu negali būti keičiama.</w:t>
                </w:r>
              </w:p>
              <w:p w14:paraId="1785B52A" w14:textId="09690AA4">
                <w:pPr>
                  <w:jc w:val="both"/>
                  <w:rPr>
                    <w:szCs w:val="24"/>
                  </w:rPr>
                </w:pPr>
                <w:r>
                  <w:rPr>
                    <w:szCs w:val="24"/>
                  </w:rPr>
                  <w:t>14.8.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0574F24F" w14:textId="77777777">
                <w:pPr>
                  <w:jc w:val="both"/>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2890"/>
                </w:tblGrid>
                <w:tr w14:paraId="05D77AC4" w14:textId="77777777">
                  <w:tc>
                    <w:tcPr>
                      <w:tcW w:w="14449" w:type="dxa"/>
                      <w:gridSpan w:val="5"/>
                    </w:tcPr>
                    <w:p w14:paraId="7F83BD7B" w14:textId="77777777">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fldChar w:fldCharType="separate"/>
                      </w:r>
                      <w:r>
                        <w:rPr>
                          <w:rFonts w:eastAsia="Calibri"/>
                          <w:sz w:val="22"/>
                          <w:szCs w:val="22"/>
                        </w:rPr>
                        <w:fldChar w:fldCharType="end"/>
                      </w:r>
                      <w:r>
                        <w:rPr>
                          <w:b/>
                          <w:bCs/>
                          <w:sz w:val="22"/>
                          <w:szCs w:val="22"/>
                        </w:rPr>
                        <w:t>Indeksuojama</w:t>
                      </w:r>
                    </w:p>
                    <w:p w14:paraId="7C0924D8" w14:textId="77777777">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b/>
                          <w:bCs/>
                          <w:sz w:val="22"/>
                          <w:szCs w:val="22"/>
                        </w:rPr>
                        <w:t>Neindeksuojama</w:t>
                      </w:r>
                    </w:p>
                  </w:tc>
                </w:tr>
                <w:tr w14:paraId="11D2B886" w14:textId="77777777">
                  <w:tc>
                    <w:tcPr>
                      <w:tcW w:w="2889" w:type="dxa"/>
                    </w:tcPr>
                    <w:p w14:paraId="368D7444" w14:textId="77777777">
                      <w:pPr>
                        <w:jc w:val="center"/>
                        <w:rPr>
                          <w:b/>
                          <w:bCs/>
                          <w:sz w:val="22"/>
                          <w:szCs w:val="22"/>
                        </w:rPr>
                      </w:pPr>
                      <w:r>
                        <w:rPr>
                          <w:b/>
                          <w:bCs/>
                          <w:sz w:val="22"/>
                          <w:szCs w:val="22"/>
                        </w:rPr>
                        <w:t>Veiklos ir (ar) išlaidos, kurioms taikomi supaprastintai apmokamų išlaidų dydžiai</w:t>
                      </w:r>
                    </w:p>
                  </w:tc>
                  <w:tc>
                    <w:tcPr>
                      <w:tcW w:w="2521" w:type="dxa"/>
                    </w:tcPr>
                    <w:p w14:paraId="6BB21DFB" w14:textId="77777777">
                      <w:pPr>
                        <w:jc w:val="center"/>
                        <w:rPr>
                          <w:b/>
                          <w:bCs/>
                          <w:sz w:val="22"/>
                          <w:szCs w:val="22"/>
                        </w:rPr>
                      </w:pPr>
                      <w:r>
                        <w:rPr>
                          <w:b/>
                          <w:bCs/>
                          <w:sz w:val="22"/>
                          <w:szCs w:val="22"/>
                        </w:rPr>
                        <w:t>Supaprastintai apmokamų išlaidų dydžio kodas</w:t>
                      </w:r>
                    </w:p>
                  </w:tc>
                  <w:tc>
                    <w:tcPr>
                      <w:tcW w:w="2409" w:type="dxa"/>
                    </w:tcPr>
                    <w:p w14:paraId="2B3518C0" w14:textId="77777777">
                      <w:pPr>
                        <w:jc w:val="center"/>
                        <w:rPr>
                          <w:b/>
                          <w:bCs/>
                          <w:i/>
                          <w:iCs/>
                          <w:color w:val="808080"/>
                          <w:sz w:val="22"/>
                          <w:szCs w:val="22"/>
                        </w:rPr>
                      </w:pPr>
                      <w:r>
                        <w:rPr>
                          <w:b/>
                          <w:bCs/>
                          <w:sz w:val="22"/>
                          <w:szCs w:val="22"/>
                        </w:rPr>
                        <w:t>Supaprastintai apmokamų išlaidų dydžio versija</w:t>
                      </w:r>
                    </w:p>
                  </w:tc>
                  <w:tc>
                    <w:tcPr>
                      <w:tcW w:w="3740" w:type="dxa"/>
                    </w:tcPr>
                    <w:p w14:paraId="2F034D40" w14:textId="77777777">
                      <w:pPr>
                        <w:jc w:val="center"/>
                        <w:rPr>
                          <w:b/>
                          <w:bCs/>
                          <w:sz w:val="22"/>
                          <w:szCs w:val="22"/>
                        </w:rPr>
                      </w:pPr>
                      <w:r>
                        <w:rPr>
                          <w:b/>
                          <w:bCs/>
                          <w:sz w:val="22"/>
                          <w:szCs w:val="22"/>
                        </w:rPr>
                        <w:t>Supaprastintai apmokamų išlaidų dydžio pavadinimas</w:t>
                      </w:r>
                    </w:p>
                  </w:tc>
                  <w:tc>
                    <w:tcPr>
                      <w:tcW w:w="2890" w:type="dxa"/>
                    </w:tcPr>
                    <w:p w14:paraId="2CB75F60" w14:textId="77777777">
                      <w:pPr>
                        <w:jc w:val="center"/>
                        <w:rPr>
                          <w:b/>
                          <w:bCs/>
                          <w:sz w:val="22"/>
                          <w:szCs w:val="22"/>
                        </w:rPr>
                      </w:pPr>
                      <w:r>
                        <w:rPr>
                          <w:b/>
                          <w:bCs/>
                          <w:sz w:val="22"/>
                          <w:szCs w:val="22"/>
                        </w:rPr>
                        <w:t>Papildoma informacija</w:t>
                      </w:r>
                    </w:p>
                  </w:tc>
                </w:tr>
                <w:tr w14:paraId="246E247D" w14:textId="77777777">
                  <w:trPr>
                    <w:trHeight w:val="1082"/>
                  </w:trPr>
                  <w:tc>
                    <w:tcPr>
                      <w:tcW w:w="2889" w:type="dxa"/>
                    </w:tcPr>
                    <w:p w14:paraId="2A01F82F" w14:textId="581726EE">
                      <w:pP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2521" w:type="dxa"/>
                    </w:tcPr>
                    <w:p w14:paraId="289AF892" w14:textId="7DFDF900">
                      <w:pPr>
                        <w:jc w:val="center"/>
                        <w:rPr>
                          <w:sz w:val="22"/>
                          <w:szCs w:val="22"/>
                        </w:rPr>
                      </w:pPr>
                      <w:r>
                        <w:rPr>
                          <w:color w:val="000000"/>
                          <w:sz w:val="22"/>
                          <w:szCs w:val="22"/>
                        </w:rPr>
                        <w:t>FN-05-02</w:t>
                      </w:r>
                    </w:p>
                  </w:tc>
                  <w:tc>
                    <w:tcPr>
                      <w:tcW w:w="2409" w:type="dxa"/>
                    </w:tcPr>
                    <w:p w14:paraId="5C3EB62E" w14:textId="2BB85041">
                      <w:pPr>
                        <w:jc w:val="center"/>
                        <w:rPr>
                          <w:sz w:val="22"/>
                          <w:szCs w:val="22"/>
                        </w:rPr>
                      </w:pPr>
                      <w:r>
                        <w:rPr>
                          <w:sz w:val="22"/>
                          <w:szCs w:val="22"/>
                        </w:rPr>
                        <w:t>01</w:t>
                      </w:r>
                    </w:p>
                  </w:tc>
                  <w:tc>
                    <w:tcPr>
                      <w:tcW w:w="3740" w:type="dxa"/>
                    </w:tcPr>
                    <w:p w14:paraId="6CDFE4F1" w14:textId="485AD159">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Pr>
                    <w:p w14:paraId="645ED068" w14:textId="77777777">
                      <w:pPr>
                        <w:rPr>
                          <w:i/>
                          <w:iCs/>
                          <w:sz w:val="22"/>
                          <w:szCs w:val="22"/>
                        </w:rPr>
                      </w:pPr>
                    </w:p>
                  </w:tc>
                </w:tr>
                <w:tr w14:paraId="7022BA48" w14:textId="77777777">
                  <w:trPr>
                    <w:trHeight w:val="1082"/>
                  </w:trPr>
                  <w:tc>
                    <w:tcPr>
                      <w:tcW w:w="2889" w:type="dxa"/>
                    </w:tcPr>
                    <w:p w14:paraId="78C4EF61" w14:textId="06AD81BF">
                      <w:pPr>
                        <w:rPr>
                          <w:sz w:val="22"/>
                          <w:szCs w:val="22"/>
                        </w:rPr>
                      </w:pPr>
                      <w:r>
                        <w:rPr>
                          <w:sz w:val="22"/>
                          <w:szCs w:val="22"/>
                        </w:rPr>
                        <w:t>Išlaidos, skirtos privalomoms projektų matomumo ir informavimo apie projektus priemonėms</w:t>
                      </w:r>
                    </w:p>
                  </w:tc>
                  <w:tc>
                    <w:tcPr>
                      <w:tcW w:w="2521" w:type="dxa"/>
                    </w:tcPr>
                    <w:p w14:paraId="36205181" w14:textId="086D2670">
                      <w:pPr>
                        <w:jc w:val="center"/>
                        <w:rPr>
                          <w:sz w:val="22"/>
                          <w:szCs w:val="22"/>
                        </w:rPr>
                      </w:pPr>
                      <w:r>
                        <w:rPr>
                          <w:sz w:val="22"/>
                          <w:szCs w:val="22"/>
                        </w:rPr>
                        <w:t>FS-01-02</w:t>
                      </w:r>
                    </w:p>
                  </w:tc>
                  <w:tc>
                    <w:tcPr>
                      <w:tcW w:w="2409" w:type="dxa"/>
                    </w:tcPr>
                    <w:p w14:paraId="10E37FAF" w14:textId="643019CE">
                      <w:pPr>
                        <w:jc w:val="center"/>
                        <w:rPr>
                          <w:sz w:val="22"/>
                          <w:szCs w:val="22"/>
                        </w:rPr>
                      </w:pPr>
                      <w:r>
                        <w:rPr>
                          <w:sz w:val="22"/>
                          <w:szCs w:val="22"/>
                        </w:rPr>
                        <w:t>-</w:t>
                      </w:r>
                    </w:p>
                  </w:tc>
                  <w:tc>
                    <w:tcPr>
                      <w:tcW w:w="3740" w:type="dxa"/>
                    </w:tcPr>
                    <w:p w14:paraId="02A60A6F" w14:textId="07CA6170">
                      <w:pPr>
                        <w:rPr>
                          <w:sz w:val="22"/>
                          <w:szCs w:val="22"/>
                        </w:rPr>
                      </w:pPr>
                      <w:r>
                        <w:rPr>
                          <w:sz w:val="22"/>
                          <w:szCs w:val="22"/>
                        </w:rPr>
                        <w:t>Įgyvendintų privalomų matomumo ir informavimo priemonių apie ES fondų investicijų veiklas fiksuotoji suma, pirmojo rinkinio FS su PVM</w:t>
                      </w:r>
                    </w:p>
                  </w:tc>
                  <w:tc>
                    <w:tcPr>
                      <w:tcW w:w="2890" w:type="dxa"/>
                    </w:tcPr>
                    <w:p w14:paraId="36EAFE18" w14:textId="77777777">
                      <w:pPr>
                        <w:rPr>
                          <w:i/>
                          <w:iCs/>
                          <w:sz w:val="22"/>
                          <w:szCs w:val="22"/>
                        </w:rPr>
                      </w:pPr>
                    </w:p>
                  </w:tc>
                </w:tr>
                <w:tr w14:paraId="6B776270" w14:textId="77777777">
                  <w:trPr>
                    <w:trHeight w:val="1082"/>
                  </w:trPr>
                  <w:tc>
                    <w:tcPr>
                      <w:tcW w:w="2889" w:type="dxa"/>
                    </w:tcPr>
                    <w:p w14:paraId="5BFDAD91" w14:textId="77777777">
                      <w:pPr>
                        <w:rPr>
                          <w:sz w:val="22"/>
                          <w:szCs w:val="22"/>
                        </w:rPr>
                      </w:pPr>
                      <w:r>
                        <w:rPr>
                          <w:sz w:val="22"/>
                          <w:szCs w:val="22"/>
                        </w:rPr>
                        <w:t>Išlaidos, skirtos privalomoms projektų matomumo ir informavimo apie projektus priemonėms</w:t>
                      </w:r>
                    </w:p>
                  </w:tc>
                  <w:tc>
                    <w:tcPr>
                      <w:tcW w:w="2521" w:type="dxa"/>
                    </w:tcPr>
                    <w:p w14:paraId="2DF8790E" w14:textId="77777777">
                      <w:pPr>
                        <w:jc w:val="center"/>
                        <w:rPr>
                          <w:sz w:val="22"/>
                          <w:szCs w:val="22"/>
                          <w:highlight w:val="yellow"/>
                        </w:rPr>
                      </w:pPr>
                      <w:r>
                        <w:rPr>
                          <w:sz w:val="22"/>
                          <w:szCs w:val="22"/>
                        </w:rPr>
                        <w:t>FS-01-01</w:t>
                      </w:r>
                    </w:p>
                  </w:tc>
                  <w:tc>
                    <w:tcPr>
                      <w:tcW w:w="2409" w:type="dxa"/>
                    </w:tcPr>
                    <w:p w14:paraId="3048DEB6" w14:textId="77777777">
                      <w:pPr>
                        <w:jc w:val="center"/>
                        <w:rPr>
                          <w:sz w:val="22"/>
                          <w:szCs w:val="22"/>
                        </w:rPr>
                      </w:pPr>
                      <w:r>
                        <w:rPr>
                          <w:sz w:val="22"/>
                          <w:szCs w:val="22"/>
                        </w:rPr>
                        <w:t>-</w:t>
                      </w:r>
                    </w:p>
                  </w:tc>
                  <w:tc>
                    <w:tcPr>
                      <w:tcW w:w="3740" w:type="dxa"/>
                    </w:tcPr>
                    <w:p w14:paraId="7694B0AC" w14:textId="7C1F3A4B">
                      <w:pPr>
                        <w:rPr>
                          <w:sz w:val="22"/>
                          <w:szCs w:val="22"/>
                          <w:highlight w:val="yellow"/>
                        </w:rPr>
                      </w:pPr>
                      <w:r>
                        <w:rPr>
                          <w:sz w:val="22"/>
                          <w:szCs w:val="22"/>
                        </w:rPr>
                        <w:t>Įgyvendintų privalomų matomumo ir informavimo priemonių apie ES fondų investicijų veiklas fiksuotoji suma, pirmojo rinkinio FS be PVM</w:t>
                      </w:r>
                    </w:p>
                  </w:tc>
                  <w:tc>
                    <w:tcPr>
                      <w:tcW w:w="2890" w:type="dxa"/>
                    </w:tcPr>
                    <w:p w14:paraId="414ABE68" w14:textId="77777777">
                      <w:pPr>
                        <w:rPr>
                          <w:i/>
                          <w:iCs/>
                          <w:sz w:val="22"/>
                          <w:szCs w:val="22"/>
                        </w:rPr>
                      </w:pPr>
                    </w:p>
                  </w:tc>
                </w:tr>
                <w:tr w14:paraId="6E5B6DAE" w14:textId="77777777">
                  <w:trPr>
                    <w:trHeight w:val="1082"/>
                  </w:trPr>
                  <w:tc>
                    <w:tcPr>
                      <w:tcW w:w="2889" w:type="dxa"/>
                    </w:tcPr>
                    <w:p w14:paraId="75025D3B" w14:textId="77777777">
                      <w:pPr>
                        <w:rPr>
                          <w:sz w:val="22"/>
                          <w:szCs w:val="22"/>
                        </w:rPr>
                      </w:pPr>
                      <w:r>
                        <w:rPr>
                          <w:sz w:val="22"/>
                          <w:szCs w:val="22"/>
                        </w:rPr>
                        <w:t>Fiksuotąją sumą sudaro visų antrojo privalomų matomumo ir informavimo priemonių rinkinio išlaidos, kai:</w:t>
                        <w:br/>
                        <w:t>a) projekto įgyvendinimo pradžioje projekto vykdytojo oficialioje interneto svetainėje, jei tokia yra, ir socialinės žiniasklaidos svetainėse patalpinta informacija – trumpas veiksmo, įskaitant jo tikslus ir rezultatus, aprašymas, proporcingas paramos dydžiui, bei informavimas apie iš ES gaunamą finansinę paramą;</w:t>
                        <w:br/>
                        <w:t>b) visuomenei arba dalyviams skirtuose dokumentuose ir komunikacijos medžiagoje, susijusioje su veiksmo įgyvendinimu, gerai matomai pateiktas pareiškimas, kuriame akcentuojama gaunama ES parama;</w:t>
                        <w:br/>
                        <w:t>c) kai tik pradedami fiziškai vykdyti veiksmai, susiję su fizinėmis investicijomis, arba sumontuojama nupirkta įranga, visuomenei gerai matomoje vietoje iškabinamos ilgalaikės lentelės ar informacinės lentos su ES emblema.</w:t>
                      </w:r>
                    </w:p>
                    <w:p w14:paraId="3E53E3DD" w14:textId="77777777">
                      <w:pPr>
                        <w:rPr>
                          <w:sz w:val="22"/>
                          <w:szCs w:val="22"/>
                        </w:rPr>
                      </w:pPr>
                    </w:p>
                  </w:tc>
                  <w:tc>
                    <w:tcPr>
                      <w:tcW w:w="2521" w:type="dxa"/>
                    </w:tcPr>
                    <w:p w14:paraId="33596AA1" w14:textId="52D67B7F">
                      <w:pPr>
                        <w:jc w:val="center"/>
                        <w:rPr>
                          <w:sz w:val="22"/>
                          <w:szCs w:val="22"/>
                        </w:rPr>
                      </w:pPr>
                      <w:r>
                        <w:rPr>
                          <w:sz w:val="22"/>
                          <w:szCs w:val="22"/>
                        </w:rPr>
                        <w:t>FS-01-03</w:t>
                      </w:r>
                    </w:p>
                  </w:tc>
                  <w:tc>
                    <w:tcPr>
                      <w:tcW w:w="2409" w:type="dxa"/>
                    </w:tcPr>
                    <w:p w14:paraId="085C780F" w14:textId="6605CAAB">
                      <w:pPr>
                        <w:jc w:val="center"/>
                        <w:rPr>
                          <w:sz w:val="22"/>
                          <w:szCs w:val="22"/>
                        </w:rPr>
                      </w:pPr>
                      <w:r>
                        <w:rPr>
                          <w:sz w:val="22"/>
                          <w:szCs w:val="22"/>
                        </w:rPr>
                        <w:t>2</w:t>
                      </w:r>
                    </w:p>
                  </w:tc>
                  <w:tc>
                    <w:tcPr>
                      <w:tcW w:w="3740" w:type="dxa"/>
                    </w:tcPr>
                    <w:p w14:paraId="5E769B8F" w14:textId="5C2D87E0">
                      <w:pPr>
                        <w:rPr>
                          <w:sz w:val="22"/>
                          <w:szCs w:val="22"/>
                        </w:rPr>
                      </w:pPr>
                      <w:r>
                        <w:rPr>
                          <w:sz w:val="22"/>
                          <w:szCs w:val="22"/>
                        </w:rPr>
                        <w:t>Įgyvendintų privalomų matomumo ir informavimo priemonių apie ES fondų investicijų veiklas fiksuotoji suma, antrojo rinkinio FS be PVM</w:t>
                      </w:r>
                    </w:p>
                  </w:tc>
                  <w:tc>
                    <w:tcPr>
                      <w:tcW w:w="2890" w:type="dxa"/>
                    </w:tcPr>
                    <w:p w14:paraId="073A9B10" w14:textId="77777777">
                      <w:pPr>
                        <w:rPr>
                          <w:i/>
                          <w:iCs/>
                          <w:sz w:val="22"/>
                          <w:szCs w:val="22"/>
                        </w:rPr>
                      </w:pPr>
                    </w:p>
                  </w:tc>
                </w:tr>
                <w:tr w14:paraId="30D2DE72" w14:textId="77777777">
                  <w:trPr>
                    <w:trHeight w:val="1082"/>
                  </w:trPr>
                  <w:tc>
                    <w:tcPr>
                      <w:tcW w:w="2889" w:type="dxa"/>
                    </w:tcPr>
                    <w:p w14:paraId="2B2A19A2" w14:textId="77777777">
                      <w:pPr>
                        <w:rPr>
                          <w:sz w:val="22"/>
                          <w:szCs w:val="22"/>
                        </w:rPr>
                      </w:pPr>
                      <w:r>
                        <w:rPr>
                          <w:sz w:val="22"/>
                          <w:szCs w:val="22"/>
                        </w:rPr>
                        <w:t>Fiksuotąją sumą sudaro visų antrojo privalomų matomumo ir informavimo priemonių rinkinio išlaidos, kai:</w:t>
                      </w:r>
                    </w:p>
                    <w:p w14:paraId="09263026" w14:textId="77777777">
                      <w:pPr>
                        <w:rPr>
                          <w:sz w:val="22"/>
                          <w:szCs w:val="22"/>
                        </w:rPr>
                      </w:pPr>
                      <w:r>
                        <w:rPr>
                          <w:sz w:val="22"/>
                          <w:szCs w:val="22"/>
                        </w:rPr>
                        <w:t>a) projekto įgyvendinimo pradžioje projekto vykdytojo oficialioje interneto svetainėje, jei tokia yra, ir socialinės žiniasklaidos svetainėse patalpinta informacija – trumpas veiksmo, įskaitant jo tikslus ir rezultatus, aprašymas, proporcingas paramos dydžiui, bei informavimas apie iš ES gaunamą finansinę paramą;</w:t>
                      </w:r>
                    </w:p>
                    <w:p w14:paraId="1911E28C" w14:textId="77777777">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32641D6A" w14:textId="77777777">
                      <w:pPr>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p w14:paraId="63DA2034" w14:textId="5E2CC5F0">
                      <w:pPr>
                        <w:rPr>
                          <w:sz w:val="10"/>
                          <w:szCs w:val="10"/>
                        </w:rPr>
                      </w:pPr>
                    </w:p>
                  </w:tc>
                  <w:tc>
                    <w:tcPr>
                      <w:tcW w:w="2521" w:type="dxa"/>
                    </w:tcPr>
                    <w:p w14:paraId="42125CB5" w14:textId="27665683">
                      <w:pPr>
                        <w:jc w:val="center"/>
                        <w:rPr>
                          <w:sz w:val="22"/>
                          <w:szCs w:val="22"/>
                        </w:rPr>
                      </w:pPr>
                      <w:r>
                        <w:rPr>
                          <w:sz w:val="22"/>
                          <w:szCs w:val="22"/>
                        </w:rPr>
                        <w:t>FS-01-04</w:t>
                      </w:r>
                    </w:p>
                  </w:tc>
                  <w:tc>
                    <w:tcPr>
                      <w:tcW w:w="2409" w:type="dxa"/>
                    </w:tcPr>
                    <w:p w14:paraId="557B6238" w14:textId="2E668995">
                      <w:pPr>
                        <w:jc w:val="center"/>
                        <w:rPr>
                          <w:sz w:val="22"/>
                          <w:szCs w:val="22"/>
                        </w:rPr>
                      </w:pPr>
                      <w:r>
                        <w:rPr>
                          <w:sz w:val="22"/>
                          <w:szCs w:val="22"/>
                        </w:rPr>
                        <w:t>2</w:t>
                      </w:r>
                    </w:p>
                  </w:tc>
                  <w:tc>
                    <w:tcPr>
                      <w:tcW w:w="3740" w:type="dxa"/>
                    </w:tcPr>
                    <w:p w14:paraId="7973EFB5" w14:textId="17656D16">
                      <w:pPr>
                        <w:rPr>
                          <w:sz w:val="22"/>
                          <w:szCs w:val="22"/>
                        </w:rPr>
                      </w:pPr>
                      <w:r>
                        <w:rPr>
                          <w:sz w:val="22"/>
                          <w:szCs w:val="22"/>
                        </w:rPr>
                        <w:t>Įgyvendintų privalomų matomumo ir informavimo priemonių apie ES fondų investicijų veiklas fiksuotoji suma, antrojo rinkinio FS su PVM</w:t>
                      </w:r>
                    </w:p>
                  </w:tc>
                  <w:tc>
                    <w:tcPr>
                      <w:tcW w:w="2890" w:type="dxa"/>
                    </w:tcPr>
                    <w:p w14:paraId="6FBFEC23" w14:textId="77777777">
                      <w:pPr>
                        <w:rPr>
                          <w:i/>
                          <w:iCs/>
                          <w:sz w:val="22"/>
                          <w:szCs w:val="22"/>
                        </w:rPr>
                      </w:pPr>
                    </w:p>
                  </w:tc>
                </w:tr>
                <w:tr w14:paraId="5EB80FC0" w14:textId="77777777">
                  <w:tc>
                    <w:tcPr>
                      <w:tcW w:w="2889" w:type="dxa"/>
                    </w:tcPr>
                    <w:p w14:paraId="5E08478A" w14:textId="77777777">
                      <w:pPr>
                        <w:rPr>
                          <w:sz w:val="22"/>
                          <w:szCs w:val="22"/>
                        </w:rPr>
                      </w:pPr>
                      <w:r>
                        <w:rPr>
                          <w:sz w:val="22"/>
                          <w:szCs w:val="22"/>
                        </w:rPr>
                        <w:t>Netiesioginės išlaidos</w:t>
                      </w:r>
                    </w:p>
                  </w:tc>
                  <w:tc>
                    <w:tcPr>
                      <w:tcW w:w="2521" w:type="dxa"/>
                    </w:tcPr>
                    <w:p w14:paraId="7EAD65DA" w14:textId="77777777">
                      <w:pPr>
                        <w:jc w:val="center"/>
                        <w:rPr>
                          <w:sz w:val="22"/>
                          <w:szCs w:val="22"/>
                        </w:rPr>
                      </w:pPr>
                      <w:r>
                        <w:rPr>
                          <w:sz w:val="22"/>
                          <w:szCs w:val="22"/>
                        </w:rPr>
                        <w:t>FN-01</w:t>
                      </w:r>
                    </w:p>
                  </w:tc>
                  <w:tc>
                    <w:tcPr>
                      <w:tcW w:w="2409" w:type="dxa"/>
                    </w:tcPr>
                    <w:p w14:paraId="5D294B8A" w14:textId="77777777">
                      <w:pPr>
                        <w:jc w:val="center"/>
                        <w:rPr>
                          <w:sz w:val="22"/>
                          <w:szCs w:val="22"/>
                        </w:rPr>
                      </w:pPr>
                      <w:r>
                        <w:rPr>
                          <w:sz w:val="22"/>
                          <w:szCs w:val="22"/>
                        </w:rPr>
                        <w:t>01</w:t>
                      </w:r>
                    </w:p>
                  </w:tc>
                  <w:tc>
                    <w:tcPr>
                      <w:tcW w:w="3740" w:type="dxa"/>
                    </w:tcPr>
                    <w:p w14:paraId="1443C3FA" w14:textId="550C476E">
                      <w:pPr>
                        <w:rPr>
                          <w:sz w:val="22"/>
                          <w:szCs w:val="22"/>
                        </w:rPr>
                      </w:pPr>
                      <w:r>
                        <w:rPr>
                          <w:sz w:val="22"/>
                          <w:szCs w:val="22"/>
                        </w:rPr>
                        <w:t>7 proc. netiesioginių išlaidų fiksuotoji norma</w:t>
                      </w:r>
                    </w:p>
                  </w:tc>
                  <w:tc>
                    <w:tcPr>
                      <w:tcW w:w="2890" w:type="dxa"/>
                    </w:tcPr>
                    <w:p w14:paraId="06C2154E" w14:textId="574649F2">
                      <w:pPr>
                        <w:rPr>
                          <w:i/>
                          <w:iCs/>
                          <w:sz w:val="22"/>
                          <w:szCs w:val="22"/>
                        </w:rPr>
                      </w:pPr>
                      <w:r>
                        <w:rPr>
                          <w:sz w:val="22"/>
                          <w:szCs w:val="22"/>
                        </w:rPr>
                        <w:t xml:space="preserve">Iš fiksuotosios projekto išlaidų normos dengiamos projekto vykdytojo (ir partnerio) netiesioginės išlaidos.   </w:t>
                      </w:r>
                    </w:p>
                  </w:tc>
                </w:tr>
              </w:tbl>
              <w:p w14:paraId="56411E5A" w14:textId="77777777">
                <w:pPr>
                  <w:jc w:val="both"/>
                  <w:rPr>
                    <w:i/>
                    <w:iCs/>
                    <w:sz w:val="22"/>
                    <w:szCs w:val="22"/>
                  </w:rPr>
                </w:pPr>
              </w:p>
            </w:tc>
          </w:tr>
        </w:tbl>
        <w:p w14:paraId="483AC062" w14:textId="77777777">
          <w:pPr>
            <w:rPr>
              <w:sz w:val="18"/>
              <w:szCs w:val="18"/>
            </w:rPr>
          </w:pPr>
        </w:p>
        <w:sdt>
          <w:sdtPr>
            <w:alias w:val="pabaiga"/>
            <w:tag w:val="part_59bd8e913e614452b41cadc9c51b3c32"/>
            <w:lock w:val="sdtLocked"/>
            <w:richText/>
          </w:sdtPr>
          <w:sdtContent>
            <w:p w14:paraId="6E4B80EF" w14:textId="24737233">
              <w:pPr>
                <w:spacing w:line="276" w:lineRule="auto"/>
                <w:jc w:val="center"/>
                <w:rPr>
                  <w:rFonts w:eastAsia="Calibri"/>
                  <w:szCs w:val="24"/>
                </w:rPr>
              </w:pPr>
              <w:r>
                <w:rPr>
                  <w:rFonts w:eastAsia="Calibri"/>
                  <w:szCs w:val="24"/>
                </w:rPr>
                <w:t>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134"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pPr>
        <w:rPr>
          <w:sz w:val="22"/>
          <w:szCs w:val="22"/>
        </w:rPr>
      </w:pPr>
      <w:r>
        <w:rPr>
          <w:sz w:val="22"/>
          <w:szCs w:val="22"/>
        </w:rPr>
        <w:separator/>
      </w:r>
    </w:p>
  </w:endnote>
  <w:endnote w:type="continuationSeparator" w:id="0">
    <w:p w14:paraId="4A8696CE" w14:textId="77777777">
      <w:pPr>
        <w:rPr>
          <w:sz w:val="22"/>
          <w:szCs w:val="22"/>
        </w:rPr>
      </w:pPr>
      <w:r>
        <w:rPr>
          <w:sz w:val="22"/>
          <w:szCs w:val="22"/>
        </w:rPr>
        <w:continuationSeparator/>
      </w:r>
    </w:p>
  </w:endnote>
  <w:endnote w:type="continuationNotice" w:id="1">
    <w:p w14:paraId="443AC011"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pPr>
        <w:rPr>
          <w:sz w:val="22"/>
          <w:szCs w:val="22"/>
        </w:rPr>
      </w:pPr>
      <w:r>
        <w:rPr>
          <w:sz w:val="22"/>
          <w:szCs w:val="22"/>
        </w:rPr>
        <w:separator/>
      </w:r>
    </w:p>
  </w:footnote>
  <w:footnote w:type="continuationSeparator" w:id="0">
    <w:p w14:paraId="410BAE90" w14:textId="77777777">
      <w:pPr>
        <w:rPr>
          <w:sz w:val="22"/>
          <w:szCs w:val="22"/>
        </w:rPr>
      </w:pPr>
      <w:r>
        <w:rPr>
          <w:sz w:val="22"/>
          <w:szCs w:val="22"/>
        </w:rPr>
        <w:continuationSeparator/>
      </w:r>
    </w:p>
  </w:footnote>
  <w:footnote w:type="continuationNotice" w:id="1">
    <w:p w14:paraId="170E77E5" w14:textId="77777777">
      <w:pPr>
        <w:rPr>
          <w:sz w:val="22"/>
          <w:szCs w:val="22"/>
        </w:rPr>
      </w:pPr>
    </w:p>
  </w:footnote>
  <w:footnote w:id="2">
    <w:p w14:paraId="031A4893" w14:textId="26F3460A">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6DFA127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14:paraId="124A6F31"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CF08B8D5-7677-4D7A-9D0D-17706DF806AF}">
  <ds:schemaRefs>
    <ds:schemaRef ds:uri="http://schemas.openxmlformats.org/officeDocument/2006/bibliography"/>
  </ds:schemaRefs>
</ds:datastoreItem>
</file>

<file path=customXml/itemProps5.xml><?xml version="1.0" encoding="utf-8"?>
<ds:datastoreItem xmlns:ds="http://schemas.openxmlformats.org/officeDocument/2006/customXml" ds:itemID="{510418C2-3805-4654-93F4-2EC1DE213385}">
  <ds:schemaRefs>
    <ds:schemaRef ds:uri="http://schemas.openxmlformats.org/officeDocument/2006/bibliography"/>
  </ds:schemaRefs>
</ds:datastoreItem>
</file>

<file path=customXml/itemProps6.xml><?xml version="1.0" encoding="utf-8"?>
<ds:datastoreItem xmlns:ds="http://schemas.openxmlformats.org/officeDocument/2006/customXml" ds:itemID="{12CE7117-6A2F-4DF0-88AE-4638F6CD5E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4025</Words>
  <Characters>29106</Characters>
  <Application>Microsoft Office Word</Application>
  <DocSecurity>4</DocSecurity>
  <Lines>727</Lines>
  <Paragraphs>288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32843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2024-02-28T05:37:00Z</dcterms:created>
  <dc:creator>Virginija Levinskienė</dc:creator>
  <lastModifiedBy>adlibuser</lastModifiedBy>
  <lastPrinted>2023-10-09T12:32:00Z</lastPrinted>
  <dcterms:modified xsi:type="dcterms:W3CDTF">2024-02-28T05:37:00Z</dcterms:modified>
  <revision>2</revision>
  <dc:title>f2e8793d-b153-40ec-8b5f-749266fdb316</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