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f15ef48a174c4a8fa888dd3aea568416"/>
        <w:lock w:val="sdtLocked"/>
        <w:richText/>
      </w:sdtPr>
      <w:sdtContent>
        <w:p>
          <w:pPr>
            <w:tabs>
              <w:tab w:val="center" w:pos="4819"/>
              <w:tab w:val="right" w:pos="9638"/>
            </w:tabs>
          </w:pPr>
        </w:p>
        <w:p>
          <w:pPr>
            <w:tabs>
              <w:tab w:val="center" w:pos="4986"/>
              <w:tab w:val="right" w:pos="9972"/>
            </w:tabs>
          </w:pPr>
        </w:p>
        <w:p>
          <w:pPr>
            <w:tabs>
              <w:tab w:val="center" w:pos="4819"/>
              <w:tab w:val="right" w:pos="9638"/>
            </w:tabs>
            <w:ind w:left="9923"/>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aprašo</w:t>
          </w:r>
        </w:p>
        <w:p>
          <w:pPr>
            <w:tabs>
              <w:tab w:val="center" w:pos="4819"/>
              <w:tab w:val="right" w:pos="9638"/>
            </w:tabs>
            <w:ind w:left="9923"/>
            <w:rPr>
              <w:szCs w:val="24"/>
            </w:rPr>
          </w:pPr>
          <w:sdt>
            <w:sdtPr>
              <w:alias w:val="Numeris"/>
              <w:tag w:val="nr_f15ef48a174c4a8fa888dd3aea568416"/>
              <w:lock w:val="sdtLocked"/>
              <w:richText/>
            </w:sdtPr>
            <w:sdtContent>
              <w:r>
                <w:rPr>
                  <w:szCs w:val="24"/>
                </w:rPr>
                <w:t>5</w:t>
              </w:r>
            </w:sdtContent>
          </w:sdt>
          <w:r>
            <w:rPr>
              <w:szCs w:val="24"/>
            </w:rPr>
            <w:t xml:space="preserve"> priedas</w:t>
          </w:r>
        </w:p>
        <w:p>
          <w:pPr>
            <w:jc w:val="both"/>
            <w:rPr>
              <w:szCs w:val="24"/>
            </w:rPr>
          </w:pPr>
        </w:p>
        <w:p>
          <w:pPr>
            <w:rPr>
              <w:szCs w:val="24"/>
            </w:rPr>
          </w:pPr>
        </w:p>
        <w:p>
          <w:pPr>
            <w:jc w:val="center"/>
            <w:rPr>
              <w:szCs w:val="24"/>
            </w:rPr>
          </w:pPr>
          <w:sdt>
            <w:sdtPr>
              <w:alias w:val="Pavadinimas"/>
              <w:tag w:val="title_f15ef48a174c4a8fa888dd3aea568416"/>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sdtContent>
          </w:sdt>
        </w:p>
        <w:p>
          <w:pPr>
            <w:rPr>
              <w:i/>
              <w:szCs w:val="24"/>
            </w:rPr>
          </w:pPr>
        </w:p>
        <w:sdt>
          <w:sdtPr>
            <w:alias w:val="skyrius"/>
            <w:tag w:val="part_cc945195c2c24feb9a97e0c590234ae1"/>
            <w:lock w:val="sdtLocked"/>
            <w:richText/>
          </w:sdtPr>
          <w:sdtContent>
            <w:p>
              <w:pPr>
                <w:spacing w:line="259" w:lineRule="auto"/>
                <w:jc w:val="center"/>
                <w:rPr>
                  <w:b/>
                  <w:bCs/>
                </w:rPr>
              </w:pPr>
              <w:sdt>
                <w:sdtPr>
                  <w:alias w:val="Numeris"/>
                  <w:tag w:val="nr_cc945195c2c24feb9a97e0c590234ae1"/>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cc945195c2c24feb9a97e0c590234ae1"/>
                  <w:lock w:val="sdtLocked"/>
                  <w:richText/>
                </w:sdtPr>
                <w:sdtContent>
                  <w:r>
                    <w:rPr>
                      <w:b/>
                      <w:bCs/>
                    </w:rPr>
                    <w:t>VEIKLOS AR POVEIKLĖS, KURIOMS NUSTATOMOS PROJEKTŲ FINANSAVIMO SĄLYGOS IR JŲ RODIKLIAI</w:t>
                  </w:r>
                </w:sdtContent>
              </w:sdt>
            </w:p>
            <w:p>
              <w:pPr>
                <w:spacing w:line="259" w:lineRule="auto"/>
                <w:jc w:val="center"/>
                <w:rPr>
                  <w:b/>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53"/>
                <w:gridCol w:w="1208"/>
                <w:gridCol w:w="1134"/>
                <w:gridCol w:w="1134"/>
                <w:gridCol w:w="1344"/>
                <w:gridCol w:w="1417"/>
                <w:gridCol w:w="1120"/>
                <w:gridCol w:w="1290"/>
                <w:gridCol w:w="992"/>
                <w:gridCol w:w="1134"/>
                <w:gridCol w:w="851"/>
                <w:gridCol w:w="1276"/>
              </w:tblGrid>
              <w:tr>
                <w:tc>
                  <w:tcPr>
                    <w:tcW w:w="15163" w:type="dxa"/>
                    <w:gridSpan w:val="13"/>
                    <w:vAlign w:val="center"/>
                  </w:tcPr>
                  <w:p>
                    <w:pPr>
                      <w:ind w:left="720" w:hanging="360"/>
                      <w:jc w:val="both"/>
                      <w:rPr>
                        <w:b/>
                        <w:sz w:val="22"/>
                        <w:szCs w:val="22"/>
                      </w:rPr>
                    </w:pPr>
                    <w:r>
                      <w:rPr>
                        <w:b/>
                        <w:sz w:val="22"/>
                        <w:szCs w:val="22"/>
                      </w:rPr>
                      <w:t>1.</w:t>
                      <w:tab/>
                      <w:t>Veiklos ar poveiklės, kurioms nustatomos projektų finansavimo sąlygos</w:t>
                    </w:r>
                  </w:p>
                </w:tc>
              </w:tr>
              <w:tr>
                <w:tc>
                  <w:tcPr>
                    <w:tcW w:w="1110" w:type="dxa"/>
                    <w:vAlign w:val="center"/>
                  </w:tcPr>
                  <w:p>
                    <w:pPr>
                      <w:jc w:val="center"/>
                      <w:rPr>
                        <w:b/>
                        <w:sz w:val="22"/>
                        <w:szCs w:val="22"/>
                      </w:rPr>
                    </w:pPr>
                    <w:r>
                      <w:rPr>
                        <w:b/>
                        <w:sz w:val="22"/>
                        <w:szCs w:val="22"/>
                      </w:rPr>
                      <w:t xml:space="preserve">Veiklos ar poveiklės </w:t>
                    </w:r>
                    <w:r>
                      <w:rPr>
                        <w:b/>
                        <w:color w:val="000000"/>
                        <w:sz w:val="22"/>
                        <w:szCs w:val="22"/>
                      </w:rPr>
                      <w:t xml:space="preserve">numeris ir </w:t>
                    </w:r>
                    <w:r>
                      <w:rPr>
                        <w:b/>
                        <w:sz w:val="22"/>
                        <w:szCs w:val="22"/>
                      </w:rPr>
                      <w:t>pavadini-mas</w:t>
                    </w:r>
                  </w:p>
                </w:tc>
                <w:tc>
                  <w:tcPr>
                    <w:tcW w:w="1153" w:type="dxa"/>
                    <w:vAlign w:val="center"/>
                  </w:tcPr>
                  <w:p>
                    <w:pPr>
                      <w:jc w:val="center"/>
                      <w:rPr>
                        <w:b/>
                        <w:sz w:val="22"/>
                        <w:szCs w:val="22"/>
                      </w:rPr>
                    </w:pPr>
                    <w:r>
                      <w:rPr>
                        <w:b/>
                        <w:sz w:val="22"/>
                        <w:szCs w:val="22"/>
                      </w:rPr>
                      <w:t>Finansa-vimo šaltinis</w:t>
                    </w:r>
                  </w:p>
                </w:tc>
                <w:tc>
                  <w:tcPr>
                    <w:tcW w:w="1208" w:type="dxa"/>
                    <w:vAlign w:val="center"/>
                  </w:tcPr>
                  <w:p>
                    <w:pPr>
                      <w:jc w:val="center"/>
                      <w:rPr>
                        <w:b/>
                        <w:sz w:val="22"/>
                        <w:szCs w:val="22"/>
                      </w:rPr>
                    </w:pPr>
                    <w:r>
                      <w:rPr>
                        <w:b/>
                        <w:sz w:val="22"/>
                        <w:szCs w:val="22"/>
                      </w:rPr>
                      <w:t>Prioritetas ar komponen-tas</w:t>
                    </w:r>
                  </w:p>
                </w:tc>
                <w:tc>
                  <w:tcPr>
                    <w:tcW w:w="1134" w:type="dxa"/>
                    <w:vAlign w:val="center"/>
                  </w:tcPr>
                  <w:p>
                    <w:pPr>
                      <w:jc w:val="center"/>
                      <w:rPr>
                        <w:b/>
                        <w:sz w:val="22"/>
                        <w:szCs w:val="22"/>
                      </w:rPr>
                    </w:pPr>
                    <w:r>
                      <w:rPr>
                        <w:b/>
                        <w:sz w:val="22"/>
                        <w:szCs w:val="22"/>
                      </w:rPr>
                      <w:t>Uždavi-nys ar priemonė</w:t>
                    </w:r>
                  </w:p>
                </w:tc>
                <w:tc>
                  <w:tcPr>
                    <w:tcW w:w="1134" w:type="dxa"/>
                    <w:vAlign w:val="center"/>
                  </w:tcPr>
                  <w:p>
                    <w:pPr>
                      <w:jc w:val="center"/>
                      <w:rPr>
                        <w:b/>
                        <w:sz w:val="22"/>
                        <w:szCs w:val="22"/>
                      </w:rPr>
                    </w:pPr>
                    <w:r>
                      <w:rPr>
                        <w:b/>
                        <w:sz w:val="22"/>
                        <w:szCs w:val="22"/>
                      </w:rPr>
                      <w:t>Veikla ar paprie-monė</w:t>
                    </w:r>
                  </w:p>
                </w:tc>
                <w:tc>
                  <w:tcPr>
                    <w:tcW w:w="1344" w:type="dxa"/>
                    <w:vAlign w:val="center"/>
                  </w:tcPr>
                  <w:p>
                    <w:pPr>
                      <w:jc w:val="center"/>
                      <w:rPr>
                        <w:b/>
                        <w:sz w:val="22"/>
                        <w:szCs w:val="22"/>
                      </w:rPr>
                    </w:pPr>
                    <w:r>
                      <w:rPr>
                        <w:b/>
                        <w:sz w:val="22"/>
                        <w:szCs w:val="22"/>
                      </w:rPr>
                      <w:t>Intervenci-nės priemonės kodas</w:t>
                    </w:r>
                  </w:p>
                </w:tc>
                <w:tc>
                  <w:tcPr>
                    <w:tcW w:w="1417" w:type="dxa"/>
                    <w:vAlign w:val="center"/>
                  </w:tcPr>
                  <w:p>
                    <w:pPr>
                      <w:jc w:val="center"/>
                      <w:rPr>
                        <w:b/>
                        <w:sz w:val="22"/>
                        <w:szCs w:val="22"/>
                      </w:rPr>
                    </w:pPr>
                    <w:r>
                      <w:rPr>
                        <w:b/>
                        <w:sz w:val="22"/>
                        <w:szCs w:val="22"/>
                      </w:rPr>
                      <w:t>Regionas, kuriam priskiriama veikla ar poveiklė</w:t>
                    </w:r>
                  </w:p>
                </w:tc>
                <w:tc>
                  <w:tcPr>
                    <w:tcW w:w="1120" w:type="dxa"/>
                    <w:vAlign w:val="center"/>
                  </w:tcPr>
                  <w:p>
                    <w:pPr>
                      <w:jc w:val="center"/>
                      <w:rPr>
                        <w:b/>
                        <w:sz w:val="22"/>
                        <w:szCs w:val="22"/>
                      </w:rPr>
                    </w:pPr>
                    <w:r>
                      <w:rPr>
                        <w:b/>
                        <w:sz w:val="22"/>
                        <w:szCs w:val="22"/>
                      </w:rPr>
                      <w:t>Paramos formos kodas</w:t>
                    </w:r>
                  </w:p>
                </w:tc>
                <w:tc>
                  <w:tcPr>
                    <w:tcW w:w="1290" w:type="dxa"/>
                    <w:vAlign w:val="center"/>
                  </w:tcPr>
                  <w:p>
                    <w:pPr>
                      <w:jc w:val="center"/>
                      <w:rPr>
                        <w:b/>
                        <w:sz w:val="22"/>
                        <w:szCs w:val="22"/>
                      </w:rPr>
                    </w:pPr>
                    <w:r>
                      <w:rPr>
                        <w:b/>
                        <w:sz w:val="22"/>
                        <w:szCs w:val="22"/>
                      </w:rPr>
                      <w:t>Pagrindi-nės teritorinės srities kodas (-ai)</w:t>
                    </w:r>
                  </w:p>
                </w:tc>
                <w:tc>
                  <w:tcPr>
                    <w:tcW w:w="992" w:type="dxa"/>
                    <w:vAlign w:val="center"/>
                  </w:tcPr>
                  <w:p>
                    <w:pPr>
                      <w:jc w:val="center"/>
                      <w:rPr>
                        <w:b/>
                        <w:sz w:val="22"/>
                        <w:szCs w:val="22"/>
                      </w:rPr>
                    </w:pPr>
                    <w:r>
                      <w:rPr>
                        <w:b/>
                        <w:sz w:val="22"/>
                        <w:szCs w:val="22"/>
                      </w:rPr>
                      <w:t xml:space="preserve">Ekono-minės veiklos kodas </w:t>
                    </w:r>
                  </w:p>
                  <w:p>
                    <w:pPr>
                      <w:jc w:val="center"/>
                      <w:rPr>
                        <w:b/>
                        <w:sz w:val="22"/>
                        <w:szCs w:val="22"/>
                      </w:rPr>
                    </w:pPr>
                    <w:r>
                      <w:rPr>
                        <w:b/>
                        <w:sz w:val="22"/>
                        <w:szCs w:val="22"/>
                      </w:rPr>
                      <w:t>(-ai)</w:t>
                    </w:r>
                  </w:p>
                </w:tc>
                <w:tc>
                  <w:tcPr>
                    <w:tcW w:w="1134" w:type="dxa"/>
                    <w:vAlign w:val="center"/>
                  </w:tcPr>
                  <w:p>
                    <w:pPr>
                      <w:jc w:val="center"/>
                      <w:rPr>
                        <w:b/>
                        <w:sz w:val="22"/>
                        <w:szCs w:val="22"/>
                      </w:rPr>
                    </w:pPr>
                    <w:r>
                      <w:rPr>
                        <w:b/>
                        <w:sz w:val="22"/>
                        <w:szCs w:val="22"/>
                      </w:rPr>
                      <w:t>„Europos socialinio fondo +“ (toliau – ESF+) antrinių temų kodai</w:t>
                    </w:r>
                  </w:p>
                </w:tc>
                <w:tc>
                  <w:tcPr>
                    <w:tcW w:w="851" w:type="dxa"/>
                    <w:vAlign w:val="center"/>
                  </w:tcPr>
                  <w:p>
                    <w:pPr>
                      <w:jc w:val="center"/>
                      <w:rPr>
                        <w:b/>
                        <w:sz w:val="22"/>
                        <w:szCs w:val="22"/>
                      </w:rPr>
                    </w:pPr>
                    <w:r>
                      <w:rPr>
                        <w:b/>
                        <w:sz w:val="22"/>
                        <w:szCs w:val="22"/>
                      </w:rPr>
                      <w:t>Lyčių lygybės mat-mens kodas</w:t>
                    </w:r>
                  </w:p>
                </w:tc>
                <w:tc>
                  <w:tcPr>
                    <w:tcW w:w="1276" w:type="dxa"/>
                    <w:vAlign w:val="center"/>
                  </w:tcPr>
                  <w:p>
                    <w:pPr>
                      <w:jc w:val="center"/>
                      <w:rPr>
                        <w:b/>
                        <w:sz w:val="22"/>
                        <w:szCs w:val="22"/>
                      </w:rPr>
                    </w:pPr>
                    <w:r>
                      <w:rPr>
                        <w:b/>
                        <w:sz w:val="22"/>
                        <w:szCs w:val="22"/>
                      </w:rPr>
                      <w:t>Nepanau-dotos Ekonomi-kos gaivinimo ir atsparumo didinimo priemonės lėšos</w:t>
                    </w:r>
                  </w:p>
                  <w:p>
                    <w:pPr>
                      <w:jc w:val="center"/>
                      <w:rPr>
                        <w:b/>
                        <w:sz w:val="22"/>
                        <w:szCs w:val="22"/>
                      </w:rPr>
                    </w:pPr>
                    <w:r>
                      <w:rPr>
                        <w:b/>
                        <w:sz w:val="22"/>
                        <w:szCs w:val="22"/>
                      </w:rPr>
                      <w:t>(Taip / Ne)</w:t>
                    </w:r>
                  </w:p>
                </w:tc>
              </w:tr>
              <w:tr>
                <w:trPr>
                  <w:trHeight w:val="278"/>
                </w:trPr>
                <w:tc>
                  <w:tcPr>
                    <w:tcW w:w="1110" w:type="dxa"/>
                    <w:tcMar>
                      <w:left w:w="28" w:type="dxa"/>
                      <w:right w:w="28" w:type="dxa"/>
                    </w:tcMar>
                  </w:tcPr>
                  <w:p>
                    <w:pPr>
                      <w:ind w:firstLine="48"/>
                      <w:jc w:val="center"/>
                      <w:rPr>
                        <w:iCs/>
                        <w:sz w:val="22"/>
                        <w:szCs w:val="22"/>
                      </w:rPr>
                    </w:pPr>
                    <w:r>
                      <w:rPr>
                        <w:iCs/>
                        <w:sz w:val="22"/>
                        <w:szCs w:val="22"/>
                      </w:rPr>
                      <w:t xml:space="preserve">2.1. </w:t>
                    </w:r>
                    <w:r>
                      <w:rPr>
                        <w:sz w:val="22"/>
                        <w:szCs w:val="22"/>
                      </w:rPr>
                      <w:t>Programos „Europos horizontas“ akceleravimas</w:t>
                    </w:r>
                  </w:p>
                </w:tc>
                <w:tc>
                  <w:tcPr>
                    <w:tcW w:w="1153" w:type="dxa"/>
                    <w:tcMar>
                      <w:left w:w="28" w:type="dxa"/>
                      <w:right w:w="28" w:type="dxa"/>
                    </w:tcMar>
                  </w:tcPr>
                  <w:p>
                    <w:pPr>
                      <w:jc w:val="center"/>
                      <w:rPr>
                        <w:b/>
                        <w:i/>
                        <w:sz w:val="22"/>
                        <w:szCs w:val="22"/>
                      </w:rPr>
                    </w:pPr>
                    <w:r>
                      <w:rPr>
                        <w:bCs/>
                        <w:sz w:val="22"/>
                        <w:szCs w:val="22"/>
                      </w:rPr>
                      <w:t>Ekonomikos gaivinimo ir atsparumo didinimo priemonės (toliau – EGADP) ir Lietuvos Respublikos valstybės biudžeto lėšos</w:t>
                    </w:r>
                  </w:p>
                </w:tc>
                <w:tc>
                  <w:tcPr>
                    <w:tcW w:w="1208" w:type="dxa"/>
                    <w:tcMar>
                      <w:left w:w="28" w:type="dxa"/>
                      <w:right w:w="28" w:type="dxa"/>
                    </w:tcMar>
                  </w:tcPr>
                  <w:p>
                    <w:pPr>
                      <w:jc w:val="center"/>
                      <w:rPr>
                        <w:i/>
                        <w:sz w:val="22"/>
                        <w:szCs w:val="22"/>
                      </w:rPr>
                    </w:pPr>
                    <w:r>
                      <w:rPr>
                        <w:bCs/>
                        <w:iCs/>
                        <w:sz w:val="22"/>
                        <w:szCs w:val="22"/>
                      </w:rPr>
                      <w:t>5</w:t>
                    </w:r>
                  </w:p>
                </w:tc>
                <w:tc>
                  <w:tcPr>
                    <w:tcW w:w="1134" w:type="dxa"/>
                    <w:tcMar>
                      <w:left w:w="28" w:type="dxa"/>
                      <w:right w:w="28" w:type="dxa"/>
                    </w:tcMar>
                  </w:tcPr>
                  <w:p>
                    <w:pPr>
                      <w:jc w:val="center"/>
                      <w:rPr>
                        <w:sz w:val="22"/>
                        <w:szCs w:val="22"/>
                      </w:rPr>
                    </w:pPr>
                    <w:r>
                      <w:rPr>
                        <w:bCs/>
                        <w:iCs/>
                        <w:sz w:val="22"/>
                        <w:szCs w:val="22"/>
                      </w:rPr>
                      <w:t>E.1.3.</w:t>
                    </w:r>
                  </w:p>
                </w:tc>
                <w:tc>
                  <w:tcPr>
                    <w:tcW w:w="1134" w:type="dxa"/>
                    <w:tcMar>
                      <w:left w:w="28" w:type="dxa"/>
                      <w:right w:w="28" w:type="dxa"/>
                    </w:tcMar>
                  </w:tcPr>
                  <w:p>
                    <w:pPr>
                      <w:jc w:val="center"/>
                      <w:rPr>
                        <w:i/>
                        <w:sz w:val="22"/>
                        <w:szCs w:val="22"/>
                      </w:rPr>
                    </w:pPr>
                    <w:r>
                      <w:rPr>
                        <w:iCs/>
                        <w:sz w:val="22"/>
                        <w:szCs w:val="22"/>
                      </w:rPr>
                      <w:t>E.1.3.3.</w:t>
                    </w:r>
                  </w:p>
                </w:tc>
                <w:tc>
                  <w:tcPr>
                    <w:tcW w:w="1344" w:type="dxa"/>
                    <w:tcMar>
                      <w:left w:w="28" w:type="dxa"/>
                      <w:right w:w="28" w:type="dxa"/>
                    </w:tcMar>
                  </w:tcPr>
                  <w:p>
                    <w:pPr>
                      <w:jc w:val="center"/>
                      <w:rPr>
                        <w:i/>
                        <w:sz w:val="22"/>
                        <w:szCs w:val="22"/>
                      </w:rPr>
                    </w:pPr>
                    <w:r>
                      <w:rPr>
                        <w:sz w:val="22"/>
                        <w:szCs w:val="22"/>
                      </w:rPr>
                      <w:t>021</w:t>
                    </w:r>
                  </w:p>
                </w:tc>
                <w:tc>
                  <w:tcPr>
                    <w:tcW w:w="1417" w:type="dxa"/>
                    <w:tcMar>
                      <w:left w:w="28" w:type="dxa"/>
                      <w:right w:w="28" w:type="dxa"/>
                    </w:tcMar>
                  </w:tcPr>
                  <w:p>
                    <w:pPr>
                      <w:jc w:val="center"/>
                      <w:rPr>
                        <w:i/>
                        <w:sz w:val="22"/>
                        <w:szCs w:val="22"/>
                      </w:rPr>
                    </w:pPr>
                    <w:r>
                      <w:rPr>
                        <w:i/>
                        <w:sz w:val="22"/>
                        <w:szCs w:val="22"/>
                      </w:rPr>
                      <w:t>-</w:t>
                    </w:r>
                  </w:p>
                </w:tc>
                <w:tc>
                  <w:tcPr>
                    <w:tcW w:w="1120" w:type="dxa"/>
                    <w:tcMar>
                      <w:left w:w="28" w:type="dxa"/>
                      <w:right w:w="28" w:type="dxa"/>
                    </w:tcMar>
                  </w:tcPr>
                  <w:p>
                    <w:pPr>
                      <w:jc w:val="center"/>
                      <w:rPr>
                        <w:i/>
                        <w:sz w:val="22"/>
                        <w:szCs w:val="22"/>
                      </w:rPr>
                    </w:pPr>
                    <w:r>
                      <w:rPr>
                        <w:i/>
                        <w:sz w:val="22"/>
                        <w:szCs w:val="22"/>
                      </w:rPr>
                      <w:t>-</w:t>
                    </w:r>
                  </w:p>
                </w:tc>
                <w:tc>
                  <w:tcPr>
                    <w:tcW w:w="1290" w:type="dxa"/>
                    <w:tcMar>
                      <w:left w:w="28" w:type="dxa"/>
                      <w:right w:w="28" w:type="dxa"/>
                    </w:tcMar>
                  </w:tcPr>
                  <w:p>
                    <w:pPr>
                      <w:jc w:val="center"/>
                      <w:rPr>
                        <w:sz w:val="22"/>
                        <w:szCs w:val="22"/>
                      </w:rPr>
                    </w:pPr>
                    <w:r>
                      <w:rPr>
                        <w:sz w:val="22"/>
                        <w:szCs w:val="22"/>
                      </w:rPr>
                      <w:t>-</w:t>
                    </w:r>
                  </w:p>
                </w:tc>
                <w:tc>
                  <w:tcPr>
                    <w:tcW w:w="992" w:type="dxa"/>
                    <w:tcMar>
                      <w:left w:w="28" w:type="dxa"/>
                      <w:right w:w="28" w:type="dxa"/>
                    </w:tcMar>
                  </w:tcPr>
                  <w:p>
                    <w:pPr>
                      <w:jc w:val="center"/>
                      <w:rPr>
                        <w:sz w:val="22"/>
                        <w:szCs w:val="22"/>
                      </w:rPr>
                    </w:pPr>
                    <w:r>
                      <w:rPr>
                        <w:sz w:val="22"/>
                        <w:szCs w:val="22"/>
                      </w:rPr>
                      <w:t>-</w:t>
                    </w:r>
                  </w:p>
                </w:tc>
                <w:tc>
                  <w:tcPr>
                    <w:tcW w:w="1134" w:type="dxa"/>
                    <w:tcMar>
                      <w:left w:w="28" w:type="dxa"/>
                      <w:right w:w="28" w:type="dxa"/>
                    </w:tcMar>
                  </w:tcPr>
                  <w:p>
                    <w:pPr>
                      <w:jc w:val="center"/>
                      <w:rPr>
                        <w:i/>
                        <w:iCs/>
                        <w:sz w:val="22"/>
                        <w:szCs w:val="22"/>
                      </w:rPr>
                    </w:pPr>
                    <w:r>
                      <w:rPr>
                        <w:i/>
                        <w:iCs/>
                        <w:sz w:val="22"/>
                        <w:szCs w:val="22"/>
                      </w:rPr>
                      <w:t>-</w:t>
                    </w:r>
                  </w:p>
                </w:tc>
                <w:tc>
                  <w:tcPr>
                    <w:tcW w:w="851" w:type="dxa"/>
                    <w:tcMar>
                      <w:left w:w="28" w:type="dxa"/>
                      <w:right w:w="28" w:type="dxa"/>
                    </w:tcMar>
                  </w:tcPr>
                  <w:p>
                    <w:pPr>
                      <w:jc w:val="center"/>
                      <w:rPr>
                        <w:i/>
                        <w:iCs/>
                        <w:sz w:val="22"/>
                        <w:szCs w:val="22"/>
                      </w:rPr>
                    </w:pPr>
                    <w:r>
                      <w:rPr>
                        <w:i/>
                        <w:iCs/>
                        <w:sz w:val="22"/>
                        <w:szCs w:val="22"/>
                      </w:rPr>
                      <w:t>-</w:t>
                    </w:r>
                  </w:p>
                </w:tc>
                <w:tc>
                  <w:tcPr>
                    <w:tcW w:w="1276" w:type="dxa"/>
                  </w:tcPr>
                  <w:p>
                    <w:pPr>
                      <w:jc w:val="center"/>
                      <w:rPr>
                        <w:sz w:val="22"/>
                        <w:szCs w:val="22"/>
                      </w:rPr>
                    </w:pPr>
                    <w:r>
                      <w:rPr>
                        <w:sz w:val="22"/>
                        <w:szCs w:val="22"/>
                      </w:rPr>
                      <w:t>Ne</w:t>
                    </w:r>
                  </w:p>
                </w:tc>
              </w:tr>
            </w:tbl>
            <w:p>
              <w:pPr>
                <w:spacing w:line="259" w:lineRule="auto"/>
                <w:jc w:val="center"/>
                <w:rPr>
                  <w:b/>
                  <w:sz w:val="22"/>
                  <w:szCs w:val="22"/>
                </w:rPr>
              </w:pPr>
            </w:p>
            <w:p>
              <w:pPr>
                <w:rPr>
                  <w:sz w:val="14"/>
                  <w:szCs w:val="1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8"/>
                <w:gridCol w:w="3784"/>
                <w:gridCol w:w="3783"/>
                <w:gridCol w:w="3671"/>
              </w:tblGrid>
              <w:tr>
                <w:trPr>
                  <w:trHeight w:val="405"/>
                </w:trPr>
                <w:tc>
                  <w:tcPr>
                    <w:tcW w:w="15026" w:type="dxa"/>
                    <w:gridSpan w:val="4"/>
                    <w:shd w:val="clear" w:color="auto" w:fill="auto"/>
                    <w:vAlign w:val="center"/>
                  </w:tcPr>
                  <w:p>
                    <w:pPr>
                      <w:rPr>
                        <w:sz w:val="22"/>
                        <w:szCs w:val="22"/>
                      </w:rPr>
                    </w:pPr>
                    <w:r>
                      <w:rPr>
                        <w:b/>
                        <w:sz w:val="22"/>
                        <w:szCs w:val="22"/>
                      </w:rPr>
                      <w:t>2. Veiklos ar poveiklės rodikliai</w:t>
                    </w:r>
                  </w:p>
                </w:tc>
              </w:tr>
              <w:tr>
                <w:trPr>
                  <w:trHeight w:val="405"/>
                </w:trPr>
                <w:tc>
                  <w:tcPr>
                    <w:tcW w:w="3788" w:type="dxa"/>
                    <w:shd w:val="clear" w:color="auto" w:fill="auto"/>
                    <w:vAlign w:val="center"/>
                  </w:tcPr>
                  <w:p>
                    <w:pPr>
                      <w:jc w:val="center"/>
                      <w:rPr>
                        <w:sz w:val="22"/>
                        <w:szCs w:val="22"/>
                      </w:rPr>
                    </w:pPr>
                    <w:r>
                      <w:rPr>
                        <w:sz w:val="22"/>
                        <w:szCs w:val="22"/>
                      </w:rPr>
                      <w:t>Rodiklio pavadinimas</w:t>
                    </w:r>
                  </w:p>
                </w:tc>
                <w:tc>
                  <w:tcPr>
                    <w:tcW w:w="3784" w:type="dxa"/>
                    <w:shd w:val="clear" w:color="auto" w:fill="auto"/>
                    <w:vAlign w:val="center"/>
                  </w:tcPr>
                  <w:p>
                    <w:pPr>
                      <w:jc w:val="center"/>
                      <w:rPr>
                        <w:sz w:val="22"/>
                        <w:szCs w:val="22"/>
                      </w:rPr>
                    </w:pPr>
                    <w:r>
                      <w:rPr>
                        <w:sz w:val="22"/>
                        <w:szCs w:val="22"/>
                      </w:rPr>
                      <w:t>Rodiklio kodas</w:t>
                    </w:r>
                  </w:p>
                </w:tc>
                <w:tc>
                  <w:tcPr>
                    <w:tcW w:w="3783" w:type="dxa"/>
                    <w:shd w:val="clear" w:color="auto" w:fill="auto"/>
                    <w:vAlign w:val="center"/>
                  </w:tcPr>
                  <w:p>
                    <w:pPr>
                      <w:jc w:val="center"/>
                      <w:rPr>
                        <w:sz w:val="22"/>
                        <w:szCs w:val="22"/>
                      </w:rPr>
                    </w:pPr>
                    <w:r>
                      <w:rPr>
                        <w:sz w:val="22"/>
                        <w:szCs w:val="22"/>
                      </w:rPr>
                      <w:t>Matavimo vienetai</w:t>
                    </w:r>
                  </w:p>
                </w:tc>
                <w:tc>
                  <w:tcPr>
                    <w:tcW w:w="3671" w:type="dxa"/>
                    <w:shd w:val="clear" w:color="auto" w:fill="auto"/>
                    <w:vAlign w:val="center"/>
                  </w:tcPr>
                  <w:p>
                    <w:pPr>
                      <w:jc w:val="center"/>
                      <w:rPr>
                        <w:sz w:val="22"/>
                        <w:szCs w:val="22"/>
                      </w:rPr>
                    </w:pPr>
                    <w:r>
                      <w:rPr>
                        <w:sz w:val="22"/>
                        <w:szCs w:val="22"/>
                      </w:rPr>
                      <w:t>Siektina reikšmė ir pasiekimo data</w:t>
                    </w:r>
                  </w:p>
                </w:tc>
              </w:tr>
              <w:tr>
                <w:trPr>
                  <w:trHeight w:val="416"/>
                </w:trPr>
                <w:tc>
                  <w:tcPr>
                    <w:tcW w:w="3788" w:type="dxa"/>
                  </w:tcPr>
                  <w:p>
                    <w:pPr>
                      <w:jc w:val="center"/>
                      <w:rPr>
                        <w:iCs/>
                        <w:szCs w:val="24"/>
                      </w:rPr>
                    </w:pPr>
                    <w:r>
                      <w:rPr>
                        <w:iCs/>
                        <w:szCs w:val="24"/>
                      </w:rPr>
                      <w:t xml:space="preserve">Finansuoti projektai ir konsultavimo paslaugos mokslo ir studijų institucijų ir mažų ir vidutinių įmonių potencialiems  programos „Europos horizontas“ pareiškėjams</w:t>
                    </w:r>
                  </w:p>
                  <w:p>
                    <w:pPr>
                      <w:jc w:val="center"/>
                      <w:rPr>
                        <w:i/>
                        <w:iCs/>
                        <w:sz w:val="18"/>
                        <w:szCs w:val="18"/>
                      </w:rPr>
                    </w:pPr>
                  </w:p>
                </w:tc>
                <w:tc>
                  <w:tcPr>
                    <w:tcW w:w="3784" w:type="dxa"/>
                  </w:tcPr>
                  <w:p>
                    <w:pPr>
                      <w:jc w:val="center"/>
                      <w:rPr>
                        <w:iCs/>
                        <w:szCs w:val="24"/>
                      </w:rPr>
                    </w:pPr>
                    <w:r>
                      <w:rPr>
                        <w:iCs/>
                        <w:szCs w:val="24"/>
                      </w:rPr>
                      <w:t>P-12-001-01-02-01-14</w:t>
                    </w:r>
                  </w:p>
                  <w:p>
                    <w:pPr>
                      <w:jc w:val="center"/>
                      <w:rPr>
                        <w:iCs/>
                        <w:szCs w:val="24"/>
                      </w:rPr>
                    </w:pPr>
                  </w:p>
                  <w:p>
                    <w:pPr>
                      <w:jc w:val="center"/>
                      <w:rPr>
                        <w:i/>
                        <w:iCs/>
                        <w:sz w:val="22"/>
                        <w:szCs w:val="22"/>
                      </w:rPr>
                    </w:pPr>
                    <w:r>
                      <w:rPr>
                        <w:iCs/>
                        <w:szCs w:val="24"/>
                      </w:rPr>
                      <w:t>P.S.</w:t>
                    </w:r>
                    <w:r>
                      <w:rPr>
                        <w:iCs/>
                        <w:szCs w:val="24"/>
                        <w:lang w:val="en-GB"/>
                      </w:rPr>
                      <w:t>1.</w:t>
                    </w:r>
                    <w:r>
                      <w:rPr>
                        <w:iCs/>
                        <w:szCs w:val="24"/>
                      </w:rPr>
                      <w:t>1136</w:t>
                    </w:r>
                  </w:p>
                </w:tc>
                <w:tc>
                  <w:tcPr>
                    <w:tcW w:w="3783" w:type="dxa"/>
                  </w:tcPr>
                  <w:p>
                    <w:pPr>
                      <w:jc w:val="center"/>
                      <w:rPr>
                        <w:i/>
                        <w:iCs/>
                        <w:sz w:val="22"/>
                        <w:szCs w:val="22"/>
                      </w:rPr>
                    </w:pPr>
                    <w:r>
                      <w:rPr>
                        <w:iCs/>
                        <w:szCs w:val="24"/>
                      </w:rPr>
                      <w:t>skaičius</w:t>
                    </w:r>
                  </w:p>
                </w:tc>
                <w:tc>
                  <w:tcPr>
                    <w:tcW w:w="3671" w:type="dxa"/>
                  </w:tcPr>
                  <w:p>
                    <w:pPr>
                      <w:jc w:val="center"/>
                      <w:rPr>
                        <w:i/>
                        <w:iCs/>
                        <w:sz w:val="22"/>
                        <w:szCs w:val="22"/>
                      </w:rPr>
                    </w:pPr>
                    <w:r>
                      <w:rPr>
                        <w:iCs/>
                        <w:szCs w:val="24"/>
                      </w:rPr>
                      <w:t>70 (2026 m. II ketv.)</w:t>
                    </w:r>
                  </w:p>
                </w:tc>
              </w:tr>
              <w:tr>
                <w:trPr>
                  <w:trHeight w:val="416"/>
                </w:trPr>
                <w:tc>
                  <w:tcPr>
                    <w:tcW w:w="3788" w:type="dxa"/>
                  </w:tcPr>
                  <w:p>
                    <w:pPr>
                      <w:jc w:val="center"/>
                      <w:rPr>
                        <w:iCs/>
                        <w:szCs w:val="24"/>
                      </w:rPr>
                    </w:pPr>
                    <w:r>
                      <w:rPr>
                        <w:iCs/>
                        <w:szCs w:val="24"/>
                      </w:rPr>
                      <w:t>Paramą gavusiose mokslinių tyrimų įstaigose dirbantys mokslininkai</w:t>
                    </w:r>
                  </w:p>
                </w:tc>
                <w:tc>
                  <w:tcPr>
                    <w:tcW w:w="3784" w:type="dxa"/>
                  </w:tcPr>
                  <w:p>
                    <w:pPr>
                      <w:jc w:val="center"/>
                      <w:rPr>
                        <w:color w:val="000000"/>
                        <w:szCs w:val="24"/>
                        <w:shd w:val="clear" w:color="auto" w:fill="FFFFFF"/>
                      </w:rPr>
                    </w:pPr>
                    <w:r>
                      <w:rPr>
                        <w:color w:val="000000"/>
                        <w:szCs w:val="24"/>
                        <w:shd w:val="clear" w:color="auto" w:fill="FFFFFF"/>
                      </w:rPr>
                      <w:t>R-12-001-01-02-01-09</w:t>
                    </w:r>
                  </w:p>
                  <w:p>
                    <w:pPr>
                      <w:jc w:val="center"/>
                      <w:rPr>
                        <w:color w:val="000000"/>
                        <w:szCs w:val="24"/>
                        <w:shd w:val="clear" w:color="auto" w:fill="FFFFFF"/>
                      </w:rPr>
                    </w:pPr>
                  </w:p>
                  <w:p>
                    <w:pPr>
                      <w:jc w:val="center"/>
                      <w:rPr>
                        <w:iCs/>
                        <w:szCs w:val="24"/>
                      </w:rPr>
                    </w:pPr>
                    <w:r>
                      <w:rPr>
                        <w:iCs/>
                        <w:szCs w:val="24"/>
                      </w:rPr>
                      <w:t>R.B.1.2008</w:t>
                    </w:r>
                  </w:p>
                </w:tc>
                <w:tc>
                  <w:tcPr>
                    <w:tcW w:w="3783" w:type="dxa"/>
                  </w:tcPr>
                  <w:p>
                    <w:pPr>
                      <w:jc w:val="center"/>
                      <w:rPr>
                        <w:iCs/>
                        <w:szCs w:val="24"/>
                      </w:rPr>
                    </w:pPr>
                    <w:r>
                      <w:rPr>
                        <w:color w:val="000000"/>
                        <w:szCs w:val="24"/>
                        <w:bdr w:val="none" w:sz="0" w:space="0" w:color="auto" w:frame="1"/>
                      </w:rPr>
                      <w:t>Metinis etato ekvivalentas (duomenys suskirstomi pagal lytį)</w:t>
                    </w:r>
                  </w:p>
                </w:tc>
                <w:tc>
                  <w:tcPr>
                    <w:tcW w:w="3671" w:type="dxa"/>
                  </w:tcPr>
                  <w:p>
                    <w:pPr>
                      <w:jc w:val="center"/>
                      <w:rPr>
                        <w:iCs/>
                        <w:szCs w:val="24"/>
                      </w:rPr>
                    </w:pPr>
                    <w:r>
                      <w:rPr>
                        <w:iCs/>
                        <w:szCs w:val="24"/>
                      </w:rPr>
                      <w:t>n / a</w:t>
                    </w:r>
                  </w:p>
                </w:tc>
              </w:tr>
            </w:tbl>
            <w:p>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trPr>
                  <w:trHeight w:val="298"/>
                </w:trPr>
                <w:tc>
                  <w:tcPr>
                    <w:tcW w:w="15026" w:type="dxa"/>
                  </w:tcPr>
                  <w:p>
                    <w:pPr>
                      <w:jc w:val="both"/>
                      <w:rPr>
                        <w:szCs w:val="24"/>
                      </w:rPr>
                    </w:pPr>
                    <w:r>
                      <w:rPr>
                        <w:b/>
                        <w:bCs/>
                        <w:szCs w:val="24"/>
                      </w:rPr>
                      <w:t>3.</w:t>
                    </w:r>
                    <w:r>
                      <w:rPr>
                        <w:szCs w:val="24"/>
                      </w:rPr>
                      <w:t xml:space="preserve"> </w:t>
                    </w:r>
                    <w:r>
                      <w:rPr>
                        <w:b/>
                        <w:bCs/>
                        <w:szCs w:val="24"/>
                      </w:rPr>
                      <w:t>Lietuvos Respublikos švietimo, mokslo ir sporto ministerijos (toliau –</w:t>
                    </w:r>
                    <w:r>
                      <w:rPr>
                        <w:szCs w:val="24"/>
                      </w:rPr>
                      <w:t xml:space="preserve"> </w:t>
                    </w:r>
                    <w:r>
                      <w:rPr>
                        <w:b/>
                        <w:bCs/>
                        <w:szCs w:val="24"/>
                      </w:rPr>
                      <w:t>Ministerija) stebėsenos rodiklių aprašymo kortelės</w:t>
                    </w:r>
                  </w:p>
                </w:tc>
              </w:tr>
              <w:tr>
                <w:trPr>
                  <w:trHeight w:val="315"/>
                </w:trPr>
                <w:tc>
                  <w:tcPr>
                    <w:tcW w:w="15026" w:type="dxa"/>
                  </w:tcPr>
                  <w:p>
                    <w:pPr>
                      <w:jc w:val="both"/>
                      <w:rPr>
                        <w:szCs w:val="24"/>
                      </w:rPr>
                    </w:pPr>
                    <w:r>
                      <w:rPr>
                        <w:szCs w:val="24"/>
                      </w:rPr>
                      <w:t xml:space="preserve">3.1. 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pPr>
                <w:jc w:val="center"/>
                <w:rPr>
                  <w:b/>
                  <w:bCs/>
                  <w:iCs/>
                  <w:szCs w:val="24"/>
                </w:rPr>
              </w:pPr>
            </w:p>
          </w:sdtContent>
        </w:sdt>
        <w:sdt>
          <w:sdtPr>
            <w:alias w:val="skyrius"/>
            <w:tag w:val="part_cb9e07f8d2bd4286a175ef2b834b814e"/>
            <w:lock w:val="sdtLocked"/>
            <w:richText/>
          </w:sdtPr>
          <w:sdtContent>
            <w:p>
              <w:pPr>
                <w:jc w:val="center"/>
                <w:rPr>
                  <w:b/>
                  <w:bCs/>
                  <w:iCs/>
                  <w:szCs w:val="24"/>
                </w:rPr>
              </w:pPr>
              <w:sdt>
                <w:sdtPr>
                  <w:alias w:val="Numeris"/>
                  <w:tag w:val="nr_cb9e07f8d2bd4286a175ef2b834b814e"/>
                  <w:lock w:val="sdtLocked"/>
                  <w:richText/>
                </w:sdtPr>
                <w:sdtContent>
                  <w:r>
                    <w:rPr>
                      <w:b/>
                      <w:bCs/>
                      <w:iCs/>
                      <w:szCs w:val="24"/>
                    </w:rPr>
                    <w:t>II</w:t>
                  </w:r>
                </w:sdtContent>
              </w:sdt>
              <w:r>
                <w:rPr>
                  <w:b/>
                  <w:bCs/>
                  <w:iCs/>
                  <w:szCs w:val="24"/>
                </w:rPr>
                <w:t xml:space="preserve"> SKYRIUS</w:t>
              </w:r>
            </w:p>
            <w:p>
              <w:pPr>
                <w:jc w:val="center"/>
                <w:rPr>
                  <w:b/>
                  <w:iCs/>
                  <w:szCs w:val="24"/>
                </w:rPr>
              </w:pPr>
              <w:sdt>
                <w:sdtPr>
                  <w:alias w:val="Pavadinimas"/>
                  <w:tag w:val="title_cb9e07f8d2bd4286a175ef2b834b814e"/>
                  <w:lock w:val="sdtLocked"/>
                  <w:richText/>
                </w:sdtPr>
                <w:sdtContent>
                  <w:r>
                    <w:rPr>
                      <w:b/>
                      <w:iCs/>
                      <w:szCs w:val="24"/>
                    </w:rPr>
                    <w:t>SPECIALIEJI FINANSAVIMO REIKALAVIMAI</w:t>
                  </w:r>
                </w:sdtContent>
              </w:sdt>
            </w:p>
            <w:p>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tc>
                  <w:tcPr>
                    <w:tcW w:w="15021" w:type="dxa"/>
                  </w:tcPr>
                  <w:p>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tc>
                  <w:tcPr>
                    <w:tcW w:w="15021" w:type="dxa"/>
                  </w:tcPr>
                  <w:p>
                    <w:pPr>
                      <w:tabs>
                        <w:tab w:val="left" w:pos="459"/>
                      </w:tabs>
                      <w:ind w:left="22" w:hanging="22"/>
                      <w:jc w:val="both"/>
                      <w:rPr>
                        <w:iCs/>
                        <w:szCs w:val="24"/>
                      </w:rPr>
                    </w:pPr>
                    <w:r>
                      <w:rPr>
                        <w:iCs/>
                        <w:szCs w:val="24"/>
                      </w:rPr>
                      <w:t>4.1.</w:t>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pPr>
                      <w:jc w:val="both"/>
                    </w:pPr>
                    <w:r>
                      <w:rPr>
                        <w:szCs w:val="24"/>
                      </w:rPr>
                      <w:t>4</w:t>
                    </w:r>
                    <w:r>
                      <w:t xml:space="preserve">.1.1. 2021 m. vasario 12 d. Europos Parlamento ir Tarybos reglamentas </w:t>
                    </w:r>
                    <w:r>
                      <w:rPr>
                        <w:color w:val="000000"/>
                      </w:rPr>
                      <w:t>(ES) 2021/241</w:t>
                    </w:r>
                    <w:r>
                      <w:t>, kuriuo nustatoma Ekonomikos gaivinimo ir atsparumo didinimo priemonė, su paskutiniais pakeitimais, padarytais 2024 m. vasario 29 d. Europos Parlamento ir Tarybos reglamentu (ES) 2024/795;</w:t>
                    </w:r>
                  </w:p>
                  <w:p>
                    <w:pPr>
                      <w:jc w:val="both"/>
                    </w:pPr>
                    <w:r>
                      <w:t>4.1.2. Planas „Naujos kartos Lietuva“, priimtas 2021 m. liepos 28 d. Europos Sąjungos Tarybos įgyvendinimo sprendimu dėl Lietuvos ekonomikos gaivinimo ir atsparumo didinimo plano patvirtinimo;</w:t>
                    </w:r>
                  </w:p>
                  <w:p>
                    <w:pPr>
                      <w:jc w:val="both"/>
                    </w:pPr>
                    <w: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jc w:val="both"/>
                    </w:pPr>
                    <w:r>
                      <w:t xml:space="preserve">4.1.4.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pPr>
                      <w:jc w:val="both"/>
                      <w:rPr>
                        <w:iCs/>
                        <w:szCs w:val="24"/>
                      </w:rPr>
                    </w:pPr>
                    <w:r>
                      <w:rPr>
                        <w:iCs/>
                        <w:szCs w:val="24"/>
                      </w:rPr>
                      <w:t xml:space="preserve">4.1.5. </w:t>
                    </w:r>
                    <w:r>
                      <w:rPr>
                        <w:szCs w:val="24"/>
                      </w:rPr>
                      <w:t>Strateginio valdymo metodikos, patvirtintos Lietuvos Respublikos Vyriausybės 2021 m. balandžio 28 d. nutarimu Nr. 292 „Dėl Strateginio valdymo metodikos patvirtinimo“;</w:t>
                    </w:r>
                  </w:p>
                  <w:p>
                    <w:pPr>
                      <w:jc w:val="both"/>
                    </w:pPr>
                    <w:r>
                      <w:rPr>
                        <w:szCs w:val="24"/>
                      </w:rPr>
                      <w:t>4.1.6.</w:t>
                    </w:r>
                    <w:r>
                      <w:t xml:space="preserve"> Lietuvos Respublikos mokslo ir studijų įstatymas;</w:t>
                    </w:r>
                  </w:p>
                  <w:p>
                    <w:r>
                      <w:t>4.1.7. Lietuvos Respublikos technologijų ir inovacijų įstatymas;</w:t>
                    </w:r>
                  </w:p>
                  <w:p>
                    <w:pPr>
                      <w:jc w:val="both"/>
                    </w:pPr>
                    <w:r>
                      <w:t xml:space="preserve">4.1.8. </w:t>
                    </w:r>
                    <w:r>
                      <w:rPr>
                        <w:iCs/>
                      </w:rPr>
                      <w:t>2021 m. balandžio 28 d. Europos Parlamento ir Tarybos reglamentas (ES) 2021/695</w:t>
                    </w:r>
                    <w:r>
                      <w:t xml:space="preserve">, kuriuo sukuriama bendroji mokslinių tyrimų ir inovacijų programa „Europos horizontas“, nustatomos su ja susijusios dalyvavimo ir sklaidos taisyklės ir panaikinami reglamentai </w:t>
                    </w:r>
                    <w:r>
                      <w:rPr>
                        <w:color w:val="000000"/>
                      </w:rPr>
                      <w:t>(ES) Nr. 1290/2013 ir (ES) Nr. 1291/2013,</w:t>
                    </w:r>
                    <w:r>
                      <w:rPr>
                        <w:szCs w:val="24"/>
                        <w:lang w:eastAsia="lt-LT"/>
                      </w:rPr>
                      <w:t xml:space="preserve"> su paskutiniais pakeitimais, padarytais 2024 m. vasario 29 d. Europos Parlamento ir Tarybos reglamentu (ES) 2024/795</w:t>
                    </w:r>
                    <w:r>
                      <w:rPr>
                        <w:color w:val="000000"/>
                      </w:rPr>
                      <w:t xml:space="preserve"> (toliau – Europos Parlamento ir Tarybos reglamentas (ES) 2021/695)</w:t>
                    </w:r>
                    <w:r>
                      <w:t>;</w:t>
                    </w:r>
                  </w:p>
                  <w:p>
                    <w:pPr>
                      <w:jc w:val="both"/>
                    </w:pPr>
                    <w:r>
                      <w:t>4.1.9.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 (paskelbtas Ministerijos interneto svetainėje https://smsm.lrv.lt/lt/veiklos-sritys-1/mokslas/es-bendroji-moksliniu-tyrimu-ir-inovaciju-programa-europos-horizontas/programos-europos-horizontas-akceleravimas/);</w:t>
                    </w:r>
                  </w:p>
                  <w:p>
                    <w:pPr>
                      <w:jc w:val="both"/>
                    </w:pPr>
                    <w:r>
                      <w:t xml:space="preserve">4.1.10. 2023 m. gruodžio 13 d. Komisijos reglamentas (ES) Nr. 2023/2831 dėl Sutarties dėl Europos Sąjungos veikimo 107 ir 108 straipsnių taikymo </w:t>
                    </w:r>
                    <w:r>
                      <w:rPr>
                        <w:i/>
                        <w:iCs/>
                      </w:rPr>
                      <w:t>de minimis</w:t>
                    </w:r>
                    <w:r>
                      <w:t xml:space="preserve"> pagalbai (toliau – </w:t>
                    </w:r>
                    <w:r>
                      <w:rPr>
                        <w:i/>
                        <w:iCs/>
                      </w:rPr>
                      <w:t>De minimis</w:t>
                    </w:r>
                    <w:r>
                      <w:t xml:space="preserve"> reglamentas);</w:t>
                    </w:r>
                  </w:p>
                  <w:p>
                    <w:pPr>
                      <w:jc w:val="both"/>
                    </w:pPr>
                    <w:r>
                      <w:t xml:space="preserve">4.1.11.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iCs/>
                      </w:rPr>
                      <w:t>De minimis</w:t>
                    </w:r>
                    <w:r>
                      <w:t xml:space="preserve"> pagalbos žuvininkystės ir akvakultūros sektoriuje reglamentas);</w:t>
                    </w:r>
                  </w:p>
                  <w:p>
                    <w:pPr>
                      <w:jc w:val="both"/>
                    </w:pPr>
                    <w:r>
                      <w:t xml:space="preserve">4.1.12.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2024 m. gruodžio 10 d. Komisijos reglamentu (ES) 2024/3118 (toliau – </w:t>
                    </w:r>
                    <w:r>
                      <w:rPr>
                        <w:i/>
                        <w:iCs/>
                      </w:rPr>
                      <w:t>De minimis</w:t>
                    </w:r>
                    <w:r>
                      <w:t xml:space="preserve"> pagalbos žemės ūkio sektoriuje reglamentas);</w:t>
                    </w:r>
                  </w:p>
                  <w:p>
                    <w:pPr>
                      <w:jc w:val="both"/>
                    </w:pPr>
                    <w:r>
                      <w:rPr>
                        <w:lang w:val="fr-FR"/>
                      </w:rPr>
                      <w:t xml:space="preserve">4.1.13. </w:t>
                    </w:r>
                    <w:r>
                      <w:t>2022 m. spalio 19 d. Europos Komisijos komunikatas Nr. C(2022)7388 „Valstybės pagalbos moksliniams tyrimams, plėtrai ir inovacijoms sistema“ (toliau – Komunikatas);</w:t>
                    </w:r>
                  </w:p>
                  <w:p>
                    <w:pPr>
                      <w:jc w:val="both"/>
                    </w:pPr>
                    <w:r>
                      <w:t xml:space="preserve">4.1.14. </w:t>
                    </w:r>
                    <w:r>
                      <w:rPr>
                        <w:iCs/>
                        <w:szCs w:val="24"/>
                      </w:rPr>
                      <w:t>Lietuvos Respublikos švietimo, mokslo ir sporto ministro 2023 m. sausio 4 d. įsakymas Nr. V-22 „Dėl Lietuvos Respublikos švietimo, mokslo ir sporto ministerijos 2021–2027 metų Europos Sąjungos fondų investicijų programos ir Ekonomikos gaivinimo ir atsparumo didinimo plano „Naujos kartos Lietuva“ administravimo procedūrų aprašo patvirtinimo“ (</w:t>
                    </w:r>
                    <w:r>
                      <w:rPr>
                        <w:szCs w:val="24"/>
                        <w:lang w:eastAsia="lt-LT"/>
                      </w:rPr>
                      <w:t>paskelbtas Ministerijos interneto svetainėje https://smsm.lrv.lt/lt/es-investicijos/aktualus-teises-aktai-ir-nuorodos/2021-2027-m-investiciniam-periodui-aktualus-teises-aktai-ir-nuorodos/)</w:t>
                    </w:r>
                    <w:r>
                      <w:rPr>
                        <w:iCs/>
                        <w:szCs w:val="24"/>
                      </w:rPr>
                      <w:t>.</w:t>
                    </w:r>
                  </w:p>
                  <w:p>
                    <w:pPr>
                      <w:jc w:val="both"/>
                      <w:rPr>
                        <w:szCs w:val="24"/>
                      </w:rPr>
                    </w:pPr>
                    <w:r>
                      <w:rPr>
                        <w:szCs w:val="24"/>
                      </w:rPr>
                      <w:t>4.2. Apraše vartojamos sąvokos suprantamos taip, kaip jos apibrėžtos Projektų administravimo ir finansavimo taisyklėse, Mokslo ir studijų įstatyme ir kituose Aprašo 4.1 papunktyje nurodytuose teisės aktuose.</w:t>
                    </w:r>
                  </w:p>
                </w:tc>
              </w:tr>
              <w:tr>
                <w:tc>
                  <w:tcPr>
                    <w:tcW w:w="15021" w:type="dxa"/>
                  </w:tcPr>
                  <w:p>
                    <w:pPr>
                      <w:rPr>
                        <w:b/>
                        <w:szCs w:val="24"/>
                      </w:rPr>
                    </w:pPr>
                    <w:r>
                      <w:rPr>
                        <w:b/>
                        <w:szCs w:val="24"/>
                      </w:rPr>
                      <w:t>5. Reikalavimai projektams, pareiškėjams ir partneriams</w:t>
                    </w:r>
                  </w:p>
                </w:tc>
              </w:tr>
              <w:tr>
                <w:trPr>
                  <w:trHeight w:val="792"/>
                </w:trPr>
                <w:tc>
                  <w:tcPr>
                    <w:tcW w:w="15021" w:type="dxa"/>
                  </w:tcPr>
                  <w:p>
                    <w:pPr>
                      <w:jc w:val="both"/>
                      <w:rPr>
                        <w:b/>
                        <w:bCs/>
                        <w:iCs/>
                        <w:szCs w:val="24"/>
                      </w:rPr>
                    </w:pPr>
                    <w:r>
                      <w:rPr>
                        <w:b/>
                        <w:bCs/>
                        <w:szCs w:val="24"/>
                      </w:rPr>
                      <w:t>5.1. Reikalavimai projektams:</w:t>
                    </w:r>
                  </w:p>
                  <w:p>
                    <w:pPr>
                      <w:jc w:val="both"/>
                      <w:rPr>
                        <w:szCs w:val="24"/>
                      </w:rPr>
                    </w:pPr>
                    <w:r>
                      <w:rPr>
                        <w:szCs w:val="24"/>
                      </w:rPr>
                      <w:t xml:space="preserve">5.1.1. Pagal Aprašą remiama veikla – narystės ir veikla tarptautiniuose tinkluose, generuojančiuose iniciatyvas ir Europos Sąjungos bendrosios mokslinių tyrimų ir inovacijų programos „Europos horizontas“ (toliau – programa „Europos horizontas“) tematikas, dalyvavimas institucinėse ir bendrai programuojamose Europos partnerystėse (kaip apibrėžta Europos Parlamento ir Tarybos reglamento </w:t>
                    </w:r>
                    <w:r>
                      <w:rPr>
                        <w:color w:val="000000"/>
                        <w:szCs w:val="24"/>
                      </w:rPr>
                      <w:t xml:space="preserve">(ES) 2021/695 </w:t>
                    </w:r>
                    <w:r>
                      <w:rPr>
                        <w:szCs w:val="24"/>
                      </w:rPr>
                      <w:t xml:space="preserve">10 straipsnyje); dalyvavimas tarptautinėse asociacijose (įskaitant dalyvavimą vienoje ar keliose vidinėse struktūrose ir (arba) darbo grupėse). Projekto įgyvendinimo metu dėl dalyvavimo kiekviename tarptautiniame tinkle, įskaitant asociacijų vidines struktūras, galutinis naudos gavėjas </w:t>
                    </w:r>
                    <w:r>
                      <w:t xml:space="preserve">(toliau – Naudos gavėjas) </w:t>
                    </w:r>
                    <w:r>
                      <w:rPr>
                        <w:szCs w:val="24"/>
                      </w:rPr>
                      <w:t xml:space="preserve">teikia atskirą paraišką Pareiškėjui. </w:t>
                    </w:r>
                  </w:p>
                  <w:p>
                    <w:pPr>
                      <w:jc w:val="both"/>
                      <w:rPr>
                        <w:szCs w:val="24"/>
                      </w:rPr>
                    </w:pPr>
                    <w:r>
                      <w:rPr>
                        <w:szCs w:val="24"/>
                      </w:rPr>
                      <w:t>5.1.2. Pagal Aprašą projektui įgyvendinti numatoma skirti iki 1 900 000,00 Eur (vieno milijono devynių šimtų tūkstančių eurų, 00 ct) EGADP lėšų ir iki 399 000,00 Eur (trijų šimtų devyniasdešimt devynių tūkstančių eurų, 00 ct) Lietuvos Respublikos valstybės biudžeto lėšų pridėtinės vertės mokesčiui (toliau – PVM) kompensuoti. Galimas finansavimo intensyvumas – iki 100 proc. tinkamų finansuoti išlaidų.</w:t>
                    </w:r>
                  </w:p>
                  <w:p>
                    <w:pPr>
                      <w:jc w:val="both"/>
                      <w:rPr>
                        <w:szCs w:val="24"/>
                      </w:rPr>
                    </w:pPr>
                    <w:r>
                      <w:rPr>
                        <w:szCs w:val="24"/>
                      </w:rPr>
                      <w:t>5.1.3. Pagal Aprašą teikiamo finansavimo forma – dotacija, projekto atrankos būdas – planavimas.</w:t>
                    </w:r>
                  </w:p>
                  <w:p>
                    <w:pPr>
                      <w:jc w:val="both"/>
                      <w:rPr>
                        <w:szCs w:val="24"/>
                      </w:rPr>
                    </w:pPr>
                    <w:r>
                      <w:rPr>
                        <w:szCs w:val="24"/>
                      </w:rPr>
                      <w:t>5.1.4. Projektas turi būti baigtas įgyvendinti ne vėliau kaip iki 2026 m. balandžio 30 d.</w:t>
                    </w:r>
                  </w:p>
                  <w:p>
                    <w:pPr>
                      <w:jc w:val="both"/>
                      <w:rPr>
                        <w:szCs w:val="24"/>
                      </w:rPr>
                    </w:pPr>
                    <w:r>
                      <w:rPr>
                        <w:szCs w:val="24"/>
                      </w:rPr>
                      <w:t xml:space="preserve">5.1.5. Projektas </w:t>
                    </w:r>
                    <w:r>
                      <w:rPr>
                        <w:iCs/>
                        <w:szCs w:val="24"/>
                      </w:rPr>
                      <w:t xml:space="preserve">turi būti pradėtas įgyvendinti </w:t>
                    </w:r>
                    <w:r>
                      <w:rPr>
                        <w:szCs w:val="24"/>
                      </w:rPr>
                      <w:t>ne vėliau kaip per 1 (vieną) mėnesį nuo sutarties pasirašymo dienos.</w:t>
                    </w:r>
                  </w:p>
                  <w:p>
                    <w:pPr>
                      <w:jc w:val="both"/>
                      <w:rPr>
                        <w:szCs w:val="24"/>
                      </w:rPr>
                    </w:pPr>
                    <w:r>
                      <w:rPr>
                        <w:szCs w:val="24"/>
                      </w:rPr>
                      <w:t>5.1.6. Projekto įgyvendinimo metu turi būti įgyvendintos privalomos projektų matomumo ir informavimo apie projektus priemonės pagal Projektų administravimo ir finansavimo taisyklių 341.1, 341.2 ir 341.4 papunkčius.</w:t>
                    </w:r>
                  </w:p>
                  <w:p>
                    <w:pPr>
                      <w:jc w:val="both"/>
                      <w:rPr>
                        <w:szCs w:val="24"/>
                      </w:rPr>
                    </w:pPr>
                    <w:r>
                      <w:rPr>
                        <w:szCs w:val="24"/>
                      </w:rPr>
                      <w:t xml:space="preserve">5.1.7. Iki PĮP pateikimo administruojančiajai institucijai projektinis pasiūlymas turi būti suderintas su </w:t>
                    </w:r>
                    <w:r>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nustatyta tvarka</w:t>
                    </w:r>
                    <w:r>
                      <w:rPr>
                        <w:szCs w:val="24"/>
                      </w:rPr>
                      <w:t>.</w:t>
                    </w:r>
                  </w:p>
                  <w:p>
                    <w:pPr>
                      <w:jc w:val="both"/>
                      <w:rPr>
                        <w:szCs w:val="24"/>
                      </w:rPr>
                    </w:pPr>
                    <w:r>
                      <w:rPr>
                        <w:szCs w:val="24"/>
                      </w:rPr>
                      <w:t xml:space="preserve">5.1.8. Visi su projekto įgyvendinimu susiję dokumentai turi būti saugomi Projektų administravimo ir finansavimo taisyklių VIII skyriaus šeštajame skirsnyje nustatyta tvarka ir terminais, taip pat laikantis </w:t>
                    </w:r>
                    <w:r>
                      <w:rPr>
                        <w:i/>
                        <w:iCs/>
                        <w:szCs w:val="24"/>
                      </w:rPr>
                      <w:t>De minimis</w:t>
                    </w:r>
                    <w:r>
                      <w:rPr>
                        <w:szCs w:val="24"/>
                      </w:rPr>
                      <w:t xml:space="preserve"> reglamento 6 straipsnio 3 dalyje, </w:t>
                    </w:r>
                    <w:r>
                      <w:rPr>
                        <w:i/>
                        <w:iCs/>
                        <w:szCs w:val="24"/>
                      </w:rPr>
                      <w:t>De minimis</w:t>
                    </w:r>
                    <w:r>
                      <w:rPr>
                        <w:szCs w:val="24"/>
                      </w:rPr>
                      <w:t xml:space="preserve"> pagalbos žemės ūkio sektoriuje reglamento 6 straipsnio 4 dalyje, </w:t>
                    </w:r>
                    <w:r>
                      <w:rPr>
                        <w:i/>
                        <w:iCs/>
                        <w:szCs w:val="24"/>
                      </w:rPr>
                      <w:t>De minimis</w:t>
                    </w:r>
                    <w:r>
                      <w:rPr>
                        <w:szCs w:val="24"/>
                      </w:rPr>
                      <w:t xml:space="preserve"> pagalbos žuvininkystės ir akvakultūros sektoriuje reglamento 6 straipsnio 4 dalyje nustatytų terminų.</w:t>
                    </w:r>
                  </w:p>
                </w:tc>
              </w:tr>
              <w:tr>
                <w:trPr>
                  <w:trHeight w:val="832"/>
                </w:trPr>
                <w:tc>
                  <w:tcPr>
                    <w:tcW w:w="15021" w:type="dxa"/>
                  </w:tcPr>
                  <w:p>
                    <w:pPr>
                      <w:jc w:val="both"/>
                      <w:rPr>
                        <w:szCs w:val="24"/>
                      </w:rPr>
                    </w:pPr>
                    <w:r>
                      <w:rPr>
                        <w:b/>
                        <w:bCs/>
                        <w:szCs w:val="24"/>
                      </w:rPr>
                      <w:t>5.2.</w:t>
                    </w:r>
                    <w:r>
                      <w:rPr>
                        <w:b/>
                        <w:bCs/>
                        <w:i/>
                        <w:iCs/>
                        <w:szCs w:val="24"/>
                      </w:rPr>
                      <w:t xml:space="preserve"> </w:t>
                    </w:r>
                    <w:r>
                      <w:rPr>
                        <w:b/>
                        <w:bCs/>
                        <w:szCs w:val="24"/>
                      </w:rPr>
                      <w:t>Reikalavimai pareiškėjams</w:t>
                    </w:r>
                    <w:r>
                      <w:rPr>
                        <w:b/>
                        <w:bCs/>
                        <w:iCs/>
                        <w:szCs w:val="24"/>
                      </w:rPr>
                      <w:t xml:space="preserve">: </w:t>
                    </w:r>
                  </w:p>
                  <w:p>
                    <w:pPr>
                      <w:jc w:val="both"/>
                      <w:rPr>
                        <w:szCs w:val="24"/>
                      </w:rPr>
                    </w:pPr>
                    <w:r>
                      <w:rPr>
                        <w:szCs w:val="24"/>
                      </w:rPr>
                      <w:t>5.2.1. Galimas pareiškėjas – Lietuvos mokslo taryba (toliau – Pareiškėjas).</w:t>
                    </w:r>
                  </w:p>
                  <w:p>
                    <w:pPr>
                      <w:jc w:val="both"/>
                      <w:rPr>
                        <w:szCs w:val="24"/>
                      </w:rPr>
                    </w:pPr>
                    <w:r>
                      <w:rPr>
                        <w:szCs w:val="24"/>
                      </w:rPr>
                      <w:t xml:space="preserve">5.2.2. </w:t>
                    </w:r>
                    <w:r>
                      <w:t xml:space="preserve">Pareiškėjas įgyvendina projektą pagal veiklas, nurodytas Aprašo 5.1.1 papunktyje, skirtas tikslinėms grupėms – Naudos gavėjams. Pareiškėjas Naudos gavėjus projekto veikloms įgyvendinti atrenka vadovaudamasis </w:t>
                    </w:r>
                    <w:r>
                      <w:rPr>
                        <w:color w:val="000000"/>
                      </w:rPr>
                      <w:t>Dalyvavimo tarptautiniuose tinkluose projektų atrankos ir finansavimo taisyklių,</w:t>
                    </w:r>
                    <w:r>
                      <w:t xml:space="preserve"> patvirtintų Lietuvos mokslo tarybos pirmininko 2023 m. lapkričio 10 d. įsakymu Nr. V-617 „Dėl Dalyvavimo tarptautiniuose tinkluose projektų atrankos ir finansavimo taisyklių patvirtinimo“, nustatyta tvarka.</w:t>
                    </w:r>
                  </w:p>
                  <w:p>
                    <w:pPr>
                      <w:jc w:val="both"/>
                      <w:rPr>
                        <w:szCs w:val="24"/>
                      </w:rPr>
                    </w:pPr>
                    <w:r>
                      <w:rPr>
                        <w:szCs w:val="24"/>
                      </w:rPr>
                      <w:t>5.2.3. Galimi Naudos gavėjai:</w:t>
                    </w:r>
                  </w:p>
                  <w:p>
                    <w:pPr>
                      <w:jc w:val="both"/>
                      <w:rPr>
                        <w:szCs w:val="24"/>
                      </w:rPr>
                    </w:pPr>
                    <w:r>
                      <w:rPr>
                        <w:szCs w:val="24"/>
                      </w:rPr>
                      <w:t xml:space="preserve">5.2.3.1. </w:t>
                    </w:r>
                    <w:r>
                      <w:t xml:space="preserve">mokslo ir studijų institucijos, įtrauktos į </w:t>
                    </w:r>
                    <w:r>
                      <w:rPr>
                        <w:shd w:val="clear" w:color="auto" w:fill="FFFFFF"/>
                      </w:rPr>
                      <w:t>Atviros informavimo, konsultavimo ir orientavimo sistemos registrą</w:t>
                    </w:r>
                    <w:r>
                      <w:t xml:space="preserve"> (toliau – MSI);</w:t>
                    </w:r>
                  </w:p>
                  <w:p>
                    <w:pPr>
                      <w:jc w:val="both"/>
                      <w:rPr>
                        <w:szCs w:val="24"/>
                      </w:rPr>
                    </w:pPr>
                    <w:r>
                      <w:rPr>
                        <w:szCs w:val="24"/>
                      </w:rPr>
                      <w:t xml:space="preserve">5.2.3.2. asocijuotos verslo struktūros – asociacijos, </w:t>
                    </w:r>
                    <w:r>
                      <w:t xml:space="preserve">kaip jos apibrėžiamos Lietuvos Respublikos asociacijų įstatyme, kurios nariai vykdo ūkinę komercinę veiklą (toliau </w:t>
                    </w:r>
                    <w:r>
                      <w:rPr>
                        <w:szCs w:val="24"/>
                      </w:rPr>
                      <w:t xml:space="preserve">– </w:t>
                    </w:r>
                    <w:r>
                      <w:t>asocijuotos verslo struktūros)</w:t>
                    </w:r>
                    <w:r>
                      <w:rPr>
                        <w:szCs w:val="24"/>
                      </w:rPr>
                      <w:t xml:space="preserve"> (įskaitant klasterio koordinatorius – </w:t>
                    </w:r>
                    <w:r>
                      <w:t xml:space="preserve">juridinius asmenis, administruojančius klasterį, formuojančius ir plėtojančius klasterio vidaus bei išorės ryšius, inicijuojančius ir koordinuojančius klasterio iniciatyvas, siekiant klasterio bei jo narių tikslų (toliau </w:t>
                    </w:r>
                    <w:r>
                      <w:rPr>
                        <w:szCs w:val="24"/>
                      </w:rPr>
                      <w:t>– klasterio koordinatoriai).</w:t>
                    </w:r>
                  </w:p>
                  <w:p>
                    <w:pPr>
                      <w:jc w:val="both"/>
                      <w:rPr>
                        <w:szCs w:val="24"/>
                      </w:rPr>
                    </w:pPr>
                    <w:r>
                      <w:rPr>
                        <w:szCs w:val="24"/>
                      </w:rPr>
                      <w:t>5.2.4. Didžiausia Naudos gavėjui galima skirti finansavimo lėšų suma pagal vieną paraišką yra 80 000,00 Eur (aštuoniasdešimt tūkstančių eurų, 00 ct).</w:t>
                    </w:r>
                  </w:p>
                  <w:p>
                    <w:pPr>
                      <w:jc w:val="both"/>
                      <w:rPr>
                        <w:szCs w:val="24"/>
                      </w:rPr>
                    </w:pPr>
                    <w:r>
                      <w:rPr>
                        <w:szCs w:val="24"/>
                      </w:rPr>
                      <w:t>5.2.5. Mažiausia Naudos gavėjui galima skirti finansavimo lėšų suma pagal vieną paraišką yra 3 000,00 Eur (trys tūkstančiai eurų, 00 ct).</w:t>
                    </w:r>
                  </w:p>
                  <w:p>
                    <w:pPr>
                      <w:jc w:val="both"/>
                      <w:rPr>
                        <w:szCs w:val="24"/>
                      </w:rPr>
                    </w:pPr>
                    <w:r>
                      <w:rPr>
                        <w:szCs w:val="24"/>
                      </w:rPr>
                      <w:t>5.2.6. Teikiamų paraiškų skaičius vienam Naudos gavėjui neribojamas.</w:t>
                    </w:r>
                  </w:p>
                  <w:p>
                    <w:pPr>
                      <w:jc w:val="both"/>
                      <w:rPr>
                        <w:szCs w:val="24"/>
                      </w:rPr>
                    </w:pPr>
                    <w:r>
                      <w:rPr>
                        <w:szCs w:val="24"/>
                      </w:rPr>
                      <w:t>5.2.7. Pagal Aprašą finansuojamų Naudos gavėjų veiklų įgyvendinimo trukmė turi būti ne ilgesnė kaip 36 mėnesiai nuo projekto sutarties pasirašymo dienos.</w:t>
                    </w:r>
                  </w:p>
                  <w:p>
                    <w:pPr>
                      <w:jc w:val="both"/>
                      <w:rPr>
                        <w:szCs w:val="24"/>
                      </w:rPr>
                    </w:pPr>
                    <w:r>
                      <w:rPr>
                        <w:szCs w:val="24"/>
                      </w:rPr>
                      <w:t>5.2.8. Naudos gavėjams keliami reikalavimai:</w:t>
                    </w:r>
                  </w:p>
                  <w:p>
                    <w:pPr>
                      <w:jc w:val="both"/>
                      <w:rPr>
                        <w:szCs w:val="24"/>
                      </w:rPr>
                    </w:pPr>
                    <w:r>
                      <w:rPr>
                        <w:szCs w:val="24"/>
                      </w:rPr>
                      <w:t xml:space="preserve">5.2.8.1. Naudos gavėjo narystė tarptautinėje organizacijoje (vertinama pagal Aprašo 5.2.9.1 papunktyje nurodytus dokumentus); </w:t>
                    </w:r>
                  </w:p>
                  <w:p>
                    <w:pPr>
                      <w:jc w:val="both"/>
                      <w:rPr>
                        <w:szCs w:val="24"/>
                      </w:rPr>
                    </w:pPr>
                    <w:r>
                      <w:rPr>
                        <w:szCs w:val="24"/>
                      </w:rPr>
                      <w:t>5.2.8.2. tarptautinės organizacijos, dėl kurios narystės Naudos gavėjas prašo skirti finansavimą, prisidėjimas prie iniciatyvų ir programos „Europos horizontas“ tematikų (veiklos sričių) formavimo (vertinama pagal Aprašo 5.2.9.2 papunktyje nurodytą dokumentą).</w:t>
                    </w:r>
                  </w:p>
                  <w:p>
                    <w:pPr>
                      <w:jc w:val="both"/>
                    </w:pPr>
                    <w:r>
                      <w:rPr>
                        <w:szCs w:val="24"/>
                      </w:rPr>
                      <w:t xml:space="preserve">5.2.9. </w:t>
                    </w:r>
                    <w:r>
                      <w:t xml:space="preserve">Kartu su Naudos gavėjo paraiška, teikiama Pareiškėjui, turi būti pateikta: </w:t>
                    </w:r>
                  </w:p>
                  <w:p>
                    <w:pPr>
                      <w:jc w:val="both"/>
                      <w:rPr>
                        <w:color w:val="000000"/>
                      </w:rPr>
                    </w:pPr>
                    <w:r>
                      <w:rPr>
                        <w:color w:val="000000"/>
                      </w:rPr>
                      <w:t>5.2.9.1. narystę tarptautiniuose tinkluose patvirtinantys dokumentai (sutartis ir (arba) sąskaita faktūra ar kiti narystę įrodantys dokumentai);</w:t>
                    </w:r>
                  </w:p>
                  <w:p>
                    <w:pPr>
                      <w:jc w:val="both"/>
                      <w:rPr>
                        <w:color w:val="000000"/>
                      </w:rPr>
                    </w:pPr>
                    <w:r>
                      <w:rPr>
                        <w:color w:val="000000"/>
                      </w:rPr>
                      <w:t xml:space="preserve">5.2.9.2. laisvos formos pagrindimas, kaip konkreti tarptautinė organizacija ir narystė joje prisideda prie iniciatyvų ir programos „Europos horizontas“ tematikų formavimo; </w:t>
                    </w:r>
                  </w:p>
                  <w:p>
                    <w:pPr>
                      <w:jc w:val="both"/>
                      <w:rPr>
                        <w:color w:val="000000"/>
                      </w:rPr>
                    </w:pPr>
                    <w:r>
                      <w:rPr>
                        <w:color w:val="000000"/>
                      </w:rPr>
                      <w:t>5.2.9.3. kiti dokumentai, pagrindžiantys veiklų išlaidų pagrįstumą;</w:t>
                    </w:r>
                  </w:p>
                  <w:p>
                    <w:pPr>
                      <w:jc w:val="both"/>
                      <w:rPr>
                        <w:color w:val="000000"/>
                      </w:rPr>
                    </w:pPr>
                    <w:r>
                      <w:rPr>
                        <w:color w:val="000000"/>
                      </w:rPr>
                      <w:t xml:space="preserve">5.2.9.4. </w:t>
                    </w:r>
                    <w:r>
                      <w:t>„Viena įmonė“ deklaracija pagal Pavyzdinę „Viena įmonė“ deklaracijos formą, paskelbtą Europos Sąjungos investicijų interneto svetainėje (prieiga per internetą: https://2021.esinvesticijos.lt/dokumentai/viena-imone-deklaracijos-forma).</w:t>
                    </w:r>
                  </w:p>
                  <w:p>
                    <w:pPr>
                      <w:jc w:val="both"/>
                      <w:rPr>
                        <w:color w:val="000000"/>
                      </w:rPr>
                    </w:pPr>
                    <w:r>
                      <w:rPr>
                        <w:color w:val="000000"/>
                      </w:rPr>
                      <w:t xml:space="preserve">5.2.10. Naudos gavėjo paraiškos forma bus patvirtinta ir paskelbta Pareiškėjo nustatyta tvarka. </w:t>
                    </w:r>
                  </w:p>
                  <w:p>
                    <w:pPr>
                      <w:jc w:val="both"/>
                      <w:rPr>
                        <w:b/>
                        <w:bCs/>
                        <w:szCs w:val="24"/>
                      </w:rPr>
                    </w:pPr>
                    <w:r>
                      <w:rPr>
                        <w:color w:val="000000"/>
                      </w:rPr>
                      <w:t>5.2.11.</w:t>
                    </w:r>
                    <w:r>
                      <w:rPr>
                        <w:szCs w:val="24"/>
                      </w:rPr>
                      <w:t xml:space="preserve"> Kartu su PĮP turi būti pateikti dokumentai, pagrindžiantys Pareiškėjo išlaidų pagrįstumą (komerciniai pasiūlymai, nuorodos į rinkoje esančias kainas ir kt.), išlaidų skaičiavimai.</w:t>
                    </w:r>
                  </w:p>
                </w:tc>
              </w:tr>
              <w:tr>
                <w:trPr>
                  <w:trHeight w:val="560"/>
                </w:trPr>
                <w:tc>
                  <w:tcPr>
                    <w:tcW w:w="15021" w:type="dxa"/>
                  </w:tcPr>
                  <w:p>
                    <w:pPr>
                      <w:jc w:val="both"/>
                      <w:rPr>
                        <w:b/>
                        <w:bCs/>
                        <w:szCs w:val="24"/>
                      </w:rPr>
                    </w:pPr>
                    <w:r>
                      <w:rPr>
                        <w:b/>
                        <w:bCs/>
                        <w:szCs w:val="24"/>
                      </w:rPr>
                      <w:t>5.3.</w:t>
                    </w:r>
                    <w:r>
                      <w:rPr>
                        <w:b/>
                        <w:bCs/>
                        <w:i/>
                        <w:iCs/>
                        <w:szCs w:val="24"/>
                      </w:rPr>
                      <w:t xml:space="preserve"> </w:t>
                    </w:r>
                    <w:r>
                      <w:rPr>
                        <w:b/>
                        <w:bCs/>
                        <w:szCs w:val="24"/>
                      </w:rPr>
                      <w:t>Reikalavimai partneriams:</w:t>
                    </w:r>
                  </w:p>
                  <w:p>
                    <w:pPr>
                      <w:jc w:val="both"/>
                      <w:rPr>
                        <w:b/>
                        <w:bCs/>
                        <w:szCs w:val="24"/>
                      </w:rPr>
                    </w:pPr>
                    <w:r>
                      <w:rPr>
                        <w:szCs w:val="24"/>
                      </w:rPr>
                      <w:t>5.3.1. Galimybė Pareiškėjui teikti PĮP su partneriu nenumatoma.</w:t>
                    </w:r>
                  </w:p>
                </w:tc>
              </w:tr>
              <w:tr>
                <w:tc>
                  <w:tcPr>
                    <w:tcW w:w="15021" w:type="dxa"/>
                  </w:tcPr>
                  <w:p>
                    <w:pPr>
                      <w:jc w:val="both"/>
                      <w:rPr>
                        <w:iCs/>
                        <w:szCs w:val="24"/>
                      </w:rPr>
                    </w:pPr>
                    <w:r>
                      <w:rPr>
                        <w:b/>
                        <w:szCs w:val="24"/>
                      </w:rPr>
                      <w:t>6. Reikalavimai jungtinio projekto projektams ir jungtinio projekto projektų pareiškėjams</w:t>
                    </w:r>
                  </w:p>
                </w:tc>
              </w:tr>
              <w:tr>
                <w:trPr>
                  <w:trHeight w:val="404"/>
                </w:trPr>
                <w:tc>
                  <w:tcPr>
                    <w:tcW w:w="15021" w:type="dxa"/>
                  </w:tcPr>
                  <w:p>
                    <w:pPr>
                      <w:jc w:val="both"/>
                      <w:rPr>
                        <w:iCs/>
                        <w:szCs w:val="24"/>
                      </w:rPr>
                    </w:pPr>
                    <w:r>
                      <w:rPr>
                        <w:iCs/>
                        <w:szCs w:val="24"/>
                      </w:rPr>
                      <w:t>6.1. Netaikoma.</w:t>
                    </w:r>
                  </w:p>
                </w:tc>
              </w:tr>
              <w:tr>
                <w:trPr>
                  <w:trHeight w:val="404"/>
                </w:trPr>
                <w:tc>
                  <w:tcPr>
                    <w:tcW w:w="15021" w:type="dxa"/>
                  </w:tcPr>
                  <w:p>
                    <w:pPr>
                      <w:jc w:val="both"/>
                      <w:rPr>
                        <w:iCs/>
                        <w:szCs w:val="24"/>
                      </w:rPr>
                    </w:pPr>
                    <w:r>
                      <w:rPr>
                        <w:b/>
                        <w:szCs w:val="24"/>
                      </w:rPr>
                      <w:t>7. Projekto tikslinės grupės</w:t>
                    </w:r>
                  </w:p>
                </w:tc>
              </w:tr>
              <w:tr>
                <w:trPr>
                  <w:trHeight w:val="404"/>
                </w:trPr>
                <w:tc>
                  <w:tcPr>
                    <w:tcW w:w="15021" w:type="dxa"/>
                  </w:tcPr>
                  <w:p>
                    <w:pPr>
                      <w:jc w:val="both"/>
                      <w:rPr>
                        <w:bCs/>
                        <w:szCs w:val="24"/>
                      </w:rPr>
                    </w:pPr>
                    <w:r>
                      <w:rPr>
                        <w:bCs/>
                        <w:szCs w:val="24"/>
                      </w:rPr>
                      <w:t>7.1. MSI;</w:t>
                    </w:r>
                  </w:p>
                  <w:p>
                    <w:pPr>
                      <w:jc w:val="both"/>
                      <w:rPr>
                        <w:b/>
                        <w:szCs w:val="24"/>
                      </w:rPr>
                    </w:pPr>
                    <w:r>
                      <w:rPr>
                        <w:szCs w:val="24"/>
                      </w:rPr>
                      <w:t>7</w:t>
                    </w:r>
                    <w:r>
                      <w:rPr>
                        <w:bCs/>
                        <w:szCs w:val="24"/>
                      </w:rPr>
                      <w:t>.2.</w:t>
                    </w:r>
                    <w:r>
                      <w:rPr>
                        <w:szCs w:val="24"/>
                      </w:rPr>
                      <w:t xml:space="preserve"> asocijuotos verslo struktūros (įskaitant klasterio koordinatorius).</w:t>
                    </w:r>
                  </w:p>
                </w:tc>
              </w:tr>
              <w:tr>
                <w:trPr>
                  <w:trHeight w:val="285"/>
                </w:trPr>
                <w:tc>
                  <w:tcPr>
                    <w:tcW w:w="15021" w:type="dxa"/>
                  </w:tcPr>
                  <w:p>
                    <w:pPr>
                      <w:rPr>
                        <w:sz w:val="22"/>
                        <w:szCs w:val="22"/>
                      </w:rPr>
                    </w:pPr>
                    <w:r>
                      <w:rPr>
                        <w:b/>
                        <w:szCs w:val="24"/>
                      </w:rPr>
                      <w:t>8.</w:t>
                    </w:r>
                    <w:r>
                      <w:rPr>
                        <w:bCs/>
                        <w:szCs w:val="24"/>
                      </w:rPr>
                      <w:t xml:space="preserve"> </w:t>
                    </w:r>
                    <w:r>
                      <w:rPr>
                        <w:b/>
                        <w:szCs w:val="24"/>
                      </w:rPr>
                      <w:t>Horizontaliųjų principų (toliau – HP) reikalavimai</w:t>
                    </w:r>
                  </w:p>
                </w:tc>
              </w:tr>
              <w:tr>
                <w:tc>
                  <w:tcPr>
                    <w:tcW w:w="15021" w:type="dxa"/>
                  </w:tcPr>
                  <w:p>
                    <w:pPr>
                      <w:jc w:val="both"/>
                      <w:rPr>
                        <w:iCs/>
                        <w:szCs w:val="24"/>
                      </w:rPr>
                    </w:pPr>
                    <w:r>
                      <w:rPr>
                        <w:iCs/>
                        <w:szCs w:val="24"/>
                      </w:rPr>
                      <w:t xml:space="preserve">8.1. Projekte negali būti numatyta: </w:t>
                    </w:r>
                  </w:p>
                  <w:p>
                    <w:pPr>
                      <w:jc w:val="both"/>
                      <w:rPr>
                        <w:iCs/>
                        <w:szCs w:val="24"/>
                      </w:rPr>
                    </w:pPr>
                    <w:r>
                      <w:rPr>
                        <w:iCs/>
                        <w:szCs w:val="24"/>
                      </w:rPr>
                      <w:t>8.1.1.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pPr>
                      <w:jc w:val="both"/>
                      <w:rPr>
                        <w:iCs/>
                        <w:szCs w:val="24"/>
                      </w:rPr>
                    </w:pPr>
                    <w:r>
                      <w:rPr>
                        <w:iCs/>
                        <w:szCs w:val="24"/>
                      </w:rPr>
                      <w:t>8.1.2. veiksmų, kurie turėtų neigiamą poveikį darnaus vystymosi principui įgyvendinti.</w:t>
                    </w:r>
                  </w:p>
                  <w:p>
                    <w:pPr>
                      <w:jc w:val="both"/>
                      <w:rPr>
                        <w:iCs/>
                        <w:szCs w:val="24"/>
                      </w:rPr>
                    </w:pPr>
                    <w:r>
                      <w:rPr>
                        <w:iCs/>
                        <w:szCs w:val="24"/>
                      </w:rPr>
                      <w:t xml:space="preserve">8.2.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iCs/>
                        <w:color w:val="000000"/>
                        <w:szCs w:val="24"/>
                      </w:rPr>
                      <w:t xml:space="preserve">(ES) Nr. 2020/852 </w:t>
                    </w:r>
                    <w:r>
                      <w:rPr>
                        <w:iCs/>
                        <w:szCs w:val="24"/>
                      </w:rPr>
                      <w:t xml:space="preserve">dėl sistemos tvariam investavimui palengvinti sukūrimo, kuriuo iš dalies keičiamas Reglamentas </w:t>
                    </w:r>
                    <w:r>
                      <w:rPr>
                        <w:iCs/>
                        <w:color w:val="000000"/>
                        <w:szCs w:val="24"/>
                      </w:rPr>
                      <w:t>(ES) 2019/2088</w:t>
                    </w:r>
                    <w:r>
                      <w:rPr>
                        <w:iCs/>
                        <w:szCs w:val="24"/>
                      </w:rPr>
                      <w:t>. Reikalavimai projekto atitikčiai šiam principui įvertinti pateikiami Aprašo 1 priede.</w:t>
                    </w:r>
                  </w:p>
                </w:tc>
              </w:tr>
              <w:tr>
                <w:tc>
                  <w:tcPr>
                    <w:tcW w:w="15021" w:type="dxa"/>
                  </w:tcPr>
                  <w:p>
                    <w:pPr>
                      <w:spacing w:line="259" w:lineRule="auto"/>
                      <w:jc w:val="both"/>
                      <w:rPr>
                        <w:b/>
                        <w:iCs/>
                        <w:szCs w:val="24"/>
                      </w:rPr>
                    </w:pPr>
                    <w:r>
                      <w:rPr>
                        <w:b/>
                        <w:iCs/>
                        <w:szCs w:val="24"/>
                      </w:rPr>
                      <w:t>9. Europos Sąjungos pagrindinių teisių chartijos (toliau – Chartija) reikalavimai</w:t>
                    </w:r>
                  </w:p>
                </w:tc>
              </w:tr>
              <w:tr>
                <w:tc>
                  <w:tcPr>
                    <w:tcW w:w="15021" w:type="dxa"/>
                  </w:tcPr>
                  <w:p>
                    <w:pPr>
                      <w:jc w:val="both"/>
                      <w:rPr>
                        <w:iCs/>
                        <w:szCs w:val="24"/>
                      </w:rPr>
                    </w:pPr>
                    <w:r>
                      <w:rPr>
                        <w:iCs/>
                        <w:szCs w:val="24"/>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w:t>
                    </w:r>
                  </w:p>
                  <w:p>
                    <w:pPr>
                      <w:jc w:val="both"/>
                      <w:rPr>
                        <w:iCs/>
                        <w:szCs w:val="24"/>
                      </w:rPr>
                    </w:pPr>
                    <w:r>
                      <w:rPr>
                        <w:iCs/>
                        <w:szCs w:val="24"/>
                      </w:rPr>
                      <w:t>9.2. Atsižvelgiant į pagal Aprašą finansuojamos veiklos pobūdį, papildomi reikalavimai dėl aktyvių priemonių Chartijoje įtvirtintoms teisėms užtikrinti nėra nustatomi.</w:t>
                    </w:r>
                  </w:p>
                </w:tc>
              </w:tr>
              <w:tr>
                <w:tc>
                  <w:tcPr>
                    <w:tcW w:w="15021" w:type="dxa"/>
                  </w:tcPr>
                  <w:p>
                    <w:pPr>
                      <w:rPr>
                        <w:b/>
                        <w:szCs w:val="24"/>
                      </w:rPr>
                    </w:pPr>
                    <w:r>
                      <w:rPr>
                        <w:b/>
                        <w:szCs w:val="24"/>
                      </w:rPr>
                      <w:t>10. Apskritis, kurioje gali būti įgyvendinami projektai</w:t>
                    </w:r>
                  </w:p>
                </w:tc>
              </w:tr>
              <w:tr>
                <w:tc>
                  <w:tcPr>
                    <w:tcW w:w="15021" w:type="dxa"/>
                  </w:tcPr>
                  <w:p>
                    <w:pPr>
                      <w:jc w:val="both"/>
                      <w:rPr>
                        <w:szCs w:val="24"/>
                      </w:rPr>
                    </w:pPr>
                    <w:r>
                      <w:rPr>
                        <w:szCs w:val="24"/>
                      </w:rPr>
                      <w:t>10.1. Netaikoma.</w:t>
                    </w:r>
                  </w:p>
                </w:tc>
              </w:tr>
              <w:tr>
                <w:tc>
                  <w:tcPr>
                    <w:tcW w:w="15021" w:type="dxa"/>
                  </w:tcPr>
                  <w:p>
                    <w:pPr>
                      <w:jc w:val="both"/>
                      <w:rPr>
                        <w:b/>
                        <w:szCs w:val="24"/>
                      </w:rPr>
                    </w:pPr>
                    <w:r>
                      <w:rPr>
                        <w:b/>
                        <w:szCs w:val="24"/>
                      </w:rPr>
                      <w:t>11. Reikalavimai valstybės pagalbai (kurie nėra nurodyti kituose Aprašo punktuose)</w:t>
                    </w:r>
                  </w:p>
                </w:tc>
              </w:tr>
              <w:tr>
                <w:tc>
                  <w:tcPr>
                    <w:tcW w:w="15021" w:type="dxa"/>
                  </w:tcPr>
                  <w:p>
                    <w:pPr>
                      <w:jc w:val="both"/>
                    </w:pPr>
                    <w:r>
                      <w:t xml:space="preserve">11.1. Pagal Aprašą valstybės pagalba, kaip ji apibrėžta Sutarties dėl Europos Sąjungos veikimo 107 straipsnyje ir </w:t>
                    </w:r>
                    <w:r>
                      <w:rPr>
                        <w:i/>
                      </w:rPr>
                      <w:t>de minimis</w:t>
                    </w:r>
                    <w:r>
                      <w:t xml:space="preserve"> pagalba, kuri atitinka </w:t>
                    </w:r>
                    <w:r>
                      <w:rPr>
                        <w:i/>
                      </w:rPr>
                      <w:t>De minimis</w:t>
                    </w:r>
                    <w:r>
                      <w:t xml:space="preserve"> reglamento nuostatas, Pareiškėjui neteikiama.</w:t>
                    </w:r>
                  </w:p>
                  <w:p>
                    <w:pPr>
                      <w:jc w:val="both"/>
                    </w:pPr>
                    <w:r>
                      <w:t xml:space="preserve">11.2. Pagal Aprašą valstybės pagalba, kaip ji apibrėžta Sutarties dėl Europos Sąjungos veikimo 107 straipsnyje ir </w:t>
                    </w:r>
                    <w:r>
                      <w:rPr>
                        <w:i/>
                        <w:iCs/>
                      </w:rPr>
                      <w:t>de minimis</w:t>
                    </w:r>
                    <w:r>
                      <w:t xml:space="preserve"> pagalba, kuri atitinka </w:t>
                    </w:r>
                    <w:r>
                      <w:rPr>
                        <w:i/>
                      </w:rPr>
                      <w:t>De minimis</w:t>
                    </w:r>
                    <w:r>
                      <w:t xml:space="preserve"> reglamento nuostatas, Naudos gavėjui – MSI neteikiama, kai finansavimas yra skiriamas veiklai, susijusiai su neekonomine veikla, kaip ji apibrėžta Komunikato 20 punkte.</w:t>
                    </w:r>
                  </w:p>
                  <w:p>
                    <w:pPr>
                      <w:jc w:val="both"/>
                    </w:pPr>
                    <w:r>
                      <w:t xml:space="preserve">11.3. </w:t>
                    </w:r>
                    <w:r>
                      <w:rPr>
                        <w:szCs w:val="24"/>
                      </w:rPr>
                      <w:t xml:space="preserve">Siekiant nustatyti, ar teikiamas finansavimas yra (nėra) valstybės pagalba, Pareiškėjas, atlikdamas Naudos gavėjų atranką, pildo Patikros lapą dėl valstybės pagalbos ir </w:t>
                    </w:r>
                    <w:r>
                      <w:rPr>
                        <w:i/>
                        <w:szCs w:val="24"/>
                      </w:rPr>
                      <w:t>de minimis</w:t>
                    </w:r>
                    <w:r>
                      <w:rPr>
                        <w:szCs w:val="24"/>
                      </w:rPr>
                      <w:t xml:space="preserve"> pagalbos buvimo ar nebuvimo (Aprašo 2 priedas).</w:t>
                    </w:r>
                  </w:p>
                  <w:p>
                    <w:pPr>
                      <w:jc w:val="both"/>
                    </w:pPr>
                    <w:r>
                      <w:t xml:space="preserve">11.4. Naudos gavėjui – asocijuotai verslo struktūrai ir MSI, kurios finansuojama veikla neatitinka Aprašo 11.2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w:t>
                    </w:r>
                  </w:p>
                  <w:p>
                    <w:pPr>
                      <w:jc w:val="both"/>
                      <w:rPr>
                        <w:szCs w:val="24"/>
                      </w:rPr>
                    </w:pPr>
                    <w:r>
                      <w:rPr>
                        <w:szCs w:val="24"/>
                      </w:rPr>
                      <w:t>11.5.</w:t>
                    </w:r>
                    <w:r>
                      <w:t xml:space="preserve"> Bendra </w:t>
                    </w:r>
                    <w:r>
                      <w:rPr>
                        <w:i/>
                        <w:iCs/>
                      </w:rPr>
                      <w:t>de minimis</w:t>
                    </w:r>
                    <w:r>
                      <w:t xml:space="preserve"> pagalbos, suteiktos vienai įmonei (vienam Naudos gavėjui) pagal </w:t>
                    </w:r>
                    <w:r>
                      <w:rPr>
                        <w:i/>
                        <w:iCs/>
                      </w:rPr>
                      <w:t>De minimis</w:t>
                    </w:r>
                    <w:r>
                      <w:t xml:space="preserve"> reglamentą, suma neturi viršyti 300 000,00 Eur (trijų šimtų tūkstančių eurų, 00 ct) per bet kurį trejų metų laikotarpį. Bendra </w:t>
                    </w:r>
                    <w:r>
                      <w:rPr>
                        <w:i/>
                        <w:iCs/>
                      </w:rPr>
                      <w:t>de minimis</w:t>
                    </w:r>
                    <w:r>
                      <w:t xml:space="preserve"> pagalbos, suteiktos vienai žemės ūkio sektoriaus įmonei pagal </w:t>
                    </w:r>
                    <w:r>
                      <w:rPr>
                        <w:i/>
                        <w:iCs/>
                      </w:rPr>
                      <w:t>De minimis</w:t>
                    </w:r>
                    <w:r>
                      <w:t xml:space="preserve"> pagalbos žemės ūkio sektoriuje reglamentą, suma neturi viršyti 50 000,00 Eur (penkiasdešimt tūkstančių eurų, 00 ct) per bet kurį trejų metų laikotarpį. Bendra </w:t>
                    </w:r>
                    <w:r>
                      <w:rPr>
                        <w:i/>
                        <w:iCs/>
                      </w:rPr>
                      <w:t>de minimis</w:t>
                    </w:r>
                    <w:r>
                      <w:t xml:space="preserve"> pagalbos, suteiktos vienai žuvininkystės ir akvakultūros sektoriaus įmonei pagal </w:t>
                    </w:r>
                    <w:r>
                      <w:rPr>
                        <w:i/>
                        <w:iCs/>
                      </w:rPr>
                      <w:t>De minimis</w:t>
                    </w:r>
                    <w:r>
                      <w:t xml:space="preserve"> pagalbos žuvininkystės ir akvakultūros sektoriuje reglamentą, suma neturi viršyti 40 000,00 Eur (keturiasdešimties tūkstančių eurų, 00 ct) per bet kurį trejų finansinių metų laikotarpį. Šios ribos taikomos neatsižvelgiant į </w:t>
                    </w:r>
                    <w:r>
                      <w:rPr>
                        <w:i/>
                        <w:iCs/>
                      </w:rPr>
                      <w:t>de minimis</w:t>
                    </w:r>
                    <w:r>
                      <w:t xml:space="preserve"> pagalbos formą arba siekiamus tikslus ir į tai, ar valstybės narės suteikta pagalba yra visa arba iš dalies finansuojama ES kilmės ištekliais. Viena įmonė apima visas įmones, kaip nurodyta </w:t>
                    </w:r>
                    <w:r>
                      <w:rPr>
                        <w:i/>
                        <w:iCs/>
                      </w:rPr>
                      <w:t>De minimis</w:t>
                    </w:r>
                    <w: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pPr>
                      <w:jc w:val="both"/>
                      <w:rPr>
                        <w:szCs w:val="24"/>
                      </w:rPr>
                    </w:pPr>
                    <w:r>
                      <w:rPr>
                        <w:szCs w:val="24"/>
                      </w:rPr>
                      <w:t xml:space="preserve">11.6. Pareiškėjas projekto įgyvendinimo metu patikrina Naudos gavėjo teisę gauti vienai įmonei suteikiamą </w:t>
                    </w:r>
                    <w:r>
                      <w:rPr>
                        <w:i/>
                        <w:szCs w:val="24"/>
                      </w:rPr>
                      <w:t>de minimis</w:t>
                    </w:r>
                    <w:r>
                      <w:rPr>
                        <w:szCs w:val="24"/>
                      </w:rPr>
                      <w:t xml:space="preserve"> pagalbą. Pareiškėjas turi patikrinti visas su Naudos gavėju susijusias įmones, nurodytas jo pateiktoje „Viena įmonė“ deklaracijoje pagal </w:t>
                    </w:r>
                    <w:r>
                      <w:t>Pavyzdinę „Viena įmonė“ deklaracijos formą</w:t>
                    </w:r>
                    <w:r>
                      <w:rPr>
                        <w:szCs w:val="24"/>
                      </w:rPr>
                      <w:t>, paskelbtą interneto svetainėje https://2021.esinvesticijos.lt/dokumentai/vienos-imones-deklaracija-pagal-komisijos-reglamenta-es-nr-1407-2013,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pPr>
                      <w:jc w:val="both"/>
                      <w:rPr>
                        <w:szCs w:val="24"/>
                      </w:rPr>
                    </w:pPr>
                    <w:r>
                      <w:rPr>
                        <w:szCs w:val="24"/>
                      </w:rPr>
                      <w:t xml:space="preserve">11.7.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7 dalimi, </w:t>
                    </w:r>
                    <w:r>
                      <w:rPr>
                        <w:i/>
                        <w:szCs w:val="24"/>
                      </w:rPr>
                      <w:t>De minimis</w:t>
                    </w:r>
                    <w:r>
                      <w:rPr>
                        <w:szCs w:val="24"/>
                      </w:rPr>
                      <w:t xml:space="preserve"> pagalbos žuvininkystės ir akvakultūros sektoriuje reglamento 3 straipsnio 6 dalimi.</w:t>
                    </w:r>
                  </w:p>
                  <w:p>
                    <w:pPr>
                      <w:jc w:val="both"/>
                      <w:rPr>
                        <w:szCs w:val="24"/>
                      </w:rPr>
                    </w:pPr>
                    <w:r>
                      <w:rPr>
                        <w:szCs w:val="24"/>
                      </w:rPr>
                      <w:t xml:space="preserve">11.8.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pPr>
                      <w:jc w:val="both"/>
                      <w:rPr>
                        <w:szCs w:val="24"/>
                      </w:rPr>
                    </w:pPr>
                    <w:r>
                      <w:rPr>
                        <w:szCs w:val="24"/>
                      </w:rPr>
                      <w:t xml:space="preserve">11.9. Pareiškėjas yra atsakingas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(penkias) darbo dienas nuo sprendimo finansuoti Naudos gavėjo veiklą įsigaliojimo dienos. </w:t>
                    </w:r>
                  </w:p>
                  <w:p>
                    <w:pPr>
                      <w:jc w:val="both"/>
                      <w:rPr>
                        <w:szCs w:val="24"/>
                      </w:rPr>
                    </w:pPr>
                    <w:r>
                      <w:rPr>
                        <w:szCs w:val="24"/>
                      </w:rPr>
                      <w:t>11.10</w:t>
                    </w:r>
                    <w:r>
                      <w:t>. Neteisėta ar nesuderinama pripažintą pagalbą pagalbos gavėjas turi grąžinti savanoriškai arba ji gali būti išieškoma (ne ginčo tvarka), kaip tai reglamentuota Lietuvos Respublikos konkurencijos įstatymo 55</w:t>
                    </w:r>
                    <w:r>
                      <w:rPr>
                        <w:vertAlign w:val="superscript"/>
                      </w:rPr>
                      <w:t>1</w:t>
                    </w:r>
                    <w:r>
                      <w:t xml:space="preserve"> straipsnyje, Finansinės paramos ir bendrojo finansavimo lėšų grąžinimo į Lietuvos Respublikos valstybės biudžetą taisyklėse, patvirtintose Lietuvos Respublikos Vyriausybės 2005 m. gegužės 30 d. nutarimu Nr. 590 „Dėl Finansinės paramos ir bendrojo finansavimo lėšų grąžinimo į Lietuvos Respublikos valstybės biudžetą taisyklių patvirtinimo“, ir Projektų administravimo ir finansavimo taisyklių IV skyriaus devintajame skirsnyje.</w:t>
                    </w:r>
                  </w:p>
                </w:tc>
              </w:tr>
              <w:tr>
                <w:tc>
                  <w:tcPr>
                    <w:tcW w:w="15021" w:type="dxa"/>
                  </w:tcPr>
                  <w:p>
                    <w:pPr>
                      <w:ind w:left="426" w:hanging="426"/>
                      <w:jc w:val="both"/>
                      <w:rPr>
                        <w:i/>
                        <w:szCs w:val="24"/>
                      </w:rPr>
                    </w:pPr>
                    <w:r>
                      <w:rPr>
                        <w:b/>
                        <w:szCs w:val="24"/>
                      </w:rPr>
                      <w:t>12. Projektų atrankos kriterijai</w:t>
                    </w:r>
                  </w:p>
                </w:tc>
              </w:tr>
              <w:tr>
                <w:trPr>
                  <w:trHeight w:val="690"/>
                </w:trPr>
                <w:tc>
                  <w:tcPr>
                    <w:tcW w:w="15021" w:type="dxa"/>
                  </w:tcPr>
                  <w:p>
                    <w:pPr>
                      <w:jc w:val="both"/>
                      <w:rPr>
                        <w:szCs w:val="24"/>
                      </w:rPr>
                    </w:pPr>
                    <w:r>
                      <w:rPr>
                        <w:szCs w:val="24"/>
                      </w:rPr>
                      <w:t xml:space="preserve">12.1. </w:t>
                    </w:r>
                    <w:r>
                      <w:t xml:space="preserve">Projektas turi atitikti projekto bendruosius atrankos kriterijus, nustatytus </w:t>
                    </w:r>
                    <w:r>
                      <w:rPr>
                        <w:szCs w:val="24"/>
                      </w:rPr>
                      <w:t>Strateginio valdymo metodikos 136 punkte, ir</w:t>
                    </w:r>
                    <w:r>
                      <w:t xml:space="preserve"> Projektų administravimo ir finansavimo taisyklių 2 priede.</w:t>
                    </w:r>
                  </w:p>
                  <w:p>
                    <w:pPr>
                      <w:jc w:val="both"/>
                      <w:rPr>
                        <w:szCs w:val="24"/>
                      </w:rPr>
                    </w:pPr>
                    <w:r>
                      <w:rPr>
                        <w:szCs w:val="24"/>
                      </w:rPr>
                      <w:t>12.2. Specialieji ir prioritetiniai projektų atrankos kriterijai nėra nustatomi.</w:t>
                    </w:r>
                  </w:p>
                </w:tc>
              </w:tr>
              <w:tr>
                <w:trPr>
                  <w:trHeight w:val="571"/>
                </w:trPr>
                <w:tc>
                  <w:tcPr>
                    <w:tcW w:w="15021" w:type="dxa"/>
                  </w:tcPr>
                  <w:p>
                    <w:pPr>
                      <w:jc w:val="both"/>
                      <w:rPr>
                        <w:bCs/>
                        <w:i/>
                        <w:szCs w:val="22"/>
                      </w:rPr>
                    </w:pPr>
                    <w:r>
                      <w:rPr>
                        <w:b/>
                        <w:szCs w:val="22"/>
                      </w:rPr>
                      <w:t>13</w:t>
                    </w:r>
                    <w:r>
                      <w:rPr>
                        <w:bCs/>
                        <w:szCs w:val="22"/>
                      </w:rPr>
                      <w:t xml:space="preserve">. </w:t>
                    </w:r>
                    <w:r>
                      <w:rPr>
                        <w:b/>
                        <w:szCs w:val="22"/>
                      </w:rPr>
                      <w:t>Jungtinio projekto projektų atrankos kriterijai (</w:t>
                    </w:r>
                    <w:r>
                      <w:rPr>
                        <w:b/>
                        <w:i/>
                        <w:szCs w:val="22"/>
                      </w:rPr>
                      <w:t>pildoma tik jungtiniam projektui)</w:t>
                    </w:r>
                  </w:p>
                  <w:p>
                    <w:pPr>
                      <w:jc w:val="both"/>
                      <w:rPr>
                        <w:szCs w:val="24"/>
                      </w:rPr>
                    </w:pPr>
                    <w:r>
                      <w:t>13.1. Netaikoma.</w:t>
                    </w:r>
                  </w:p>
                </w:tc>
              </w:tr>
              <w:tr>
                <w:tc>
                  <w:tcPr>
                    <w:tcW w:w="15021" w:type="dxa"/>
                  </w:tcPr>
                  <w:p>
                    <w:pPr>
                      <w:rPr>
                        <w:b/>
                        <w:szCs w:val="24"/>
                      </w:rPr>
                    </w:pPr>
                    <w:r>
                      <w:rPr>
                        <w:b/>
                        <w:szCs w:val="24"/>
                      </w:rPr>
                      <w:t xml:space="preserve">14. Reikalavimai įgyvendinus projektų veiklas </w:t>
                    </w:r>
                  </w:p>
                </w:tc>
              </w:tr>
              <w:tr>
                <w:tc>
                  <w:tcPr>
                    <w:tcW w:w="15021" w:type="dxa"/>
                  </w:tcPr>
                  <w:p>
                    <w:pPr>
                      <w:jc w:val="both"/>
                      <w:rPr>
                        <w:szCs w:val="24"/>
                      </w:rPr>
                    </w:pPr>
                    <w:r>
                      <w:rPr>
                        <w:szCs w:val="24"/>
                      </w:rPr>
                      <w:t>14.1. Papildomi reikalavimai, nei numatyta Projektų administravimo ir finansavimo taisyklėse, netaikomi.</w:t>
                    </w:r>
                  </w:p>
                </w:tc>
              </w:tr>
              <w:tr>
                <w:tc>
                  <w:tcPr>
                    <w:tcW w:w="15021" w:type="dxa"/>
                  </w:tcPr>
                  <w:p>
                    <w:pPr>
                      <w:rPr>
                        <w:szCs w:val="24"/>
                      </w:rPr>
                    </w:pPr>
                    <w:r>
                      <w:rPr>
                        <w:b/>
                        <w:szCs w:val="24"/>
                      </w:rPr>
                      <w:t>15. Kiti reikalavimai</w:t>
                    </w:r>
                  </w:p>
                </w:tc>
              </w:tr>
              <w:tr>
                <w:tc>
                  <w:tcPr>
                    <w:tcW w:w="15021" w:type="dxa"/>
                  </w:tcPr>
                  <w:p>
                    <w:pPr>
                      <w:tabs>
                        <w:tab w:val="left" w:pos="1134"/>
                      </w:tabs>
                      <w:jc w:val="both"/>
                      <w:rPr>
                        <w:szCs w:val="24"/>
                      </w:rPr>
                    </w:pPr>
                    <w:r>
                      <w:rPr>
                        <w:szCs w:val="24"/>
                      </w:rPr>
                      <w:t>15.1. Netaikoma.</w:t>
                    </w:r>
                  </w:p>
                </w:tc>
              </w:tr>
            </w:tbl>
            <w:p>
              <w:pPr>
                <w:jc w:val="center"/>
                <w:rPr>
                  <w:b/>
                  <w:szCs w:val="24"/>
                </w:rPr>
              </w:pPr>
            </w:p>
          </w:sdtContent>
        </w:sdt>
        <w:sdt>
          <w:sdtPr>
            <w:alias w:val="skyrius"/>
            <w:tag w:val="part_80ff40dfd3c34702a22b0ce25888ae01"/>
            <w:lock w:val="sdtLocked"/>
            <w:richText/>
          </w:sdtPr>
          <w:sdtContent>
            <w:p>
              <w:pPr>
                <w:jc w:val="center"/>
                <w:rPr>
                  <w:b/>
                  <w:szCs w:val="24"/>
                </w:rPr>
              </w:pPr>
              <w:sdt>
                <w:sdtPr>
                  <w:alias w:val="Numeris"/>
                  <w:tag w:val="nr_80ff40dfd3c34702a22b0ce25888ae01"/>
                  <w:lock w:val="sdtLocked"/>
                  <w:richText/>
                </w:sdtPr>
                <w:sdtContent>
                  <w:r>
                    <w:rPr>
                      <w:b/>
                      <w:szCs w:val="24"/>
                    </w:rPr>
                    <w:t>III</w:t>
                  </w:r>
                </w:sdtContent>
              </w:sdt>
              <w:r>
                <w:rPr>
                  <w:b/>
                  <w:szCs w:val="24"/>
                </w:rPr>
                <w:t xml:space="preserve"> SKYRIUS</w:t>
              </w:r>
            </w:p>
            <w:p>
              <w:pPr>
                <w:jc w:val="center"/>
                <w:rPr>
                  <w:b/>
                  <w:szCs w:val="24"/>
                </w:rPr>
              </w:pPr>
              <w:sdt>
                <w:sdtPr>
                  <w:alias w:val="Pavadinimas"/>
                  <w:tag w:val="title_80ff40dfd3c34702a22b0ce25888ae01"/>
                  <w:lock w:val="sdtLocked"/>
                  <w:richText/>
                </w:sdtPr>
                <w:sdtContent>
                  <w:r>
                    <w:rPr>
                      <w:b/>
                      <w:szCs w:val="24"/>
                    </w:rPr>
                    <w:t>IŠLAIDŲ TINKAMUMO FINANSUOTI REIKALAVIMAI</w:t>
                  </w:r>
                </w:sdtContent>
              </w:sdt>
            </w:p>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tc>
                  <w:tcPr>
                    <w:tcW w:w="15021" w:type="dxa"/>
                  </w:tcPr>
                  <w:p>
                    <w:pPr>
                      <w:jc w:val="both"/>
                      <w:rPr>
                        <w:b/>
                        <w:szCs w:val="24"/>
                      </w:rPr>
                    </w:pPr>
                    <w:r>
                      <w:rPr>
                        <w:b/>
                        <w:szCs w:val="24"/>
                      </w:rPr>
                      <w:t>16. Išlaidų tinkamumo finansuoti reikalavimai</w:t>
                    </w:r>
                  </w:p>
                </w:tc>
              </w:tr>
              <w:tr>
                <w:tc>
                  <w:tcPr>
                    <w:tcW w:w="15021" w:type="dxa"/>
                  </w:tcPr>
                  <w:p>
                    <w:pPr>
                      <w:jc w:val="both"/>
                      <w:rPr>
                        <w:color w:val="000000"/>
                      </w:rPr>
                    </w:pPr>
                    <w:r>
                      <w:rPr>
                        <w:bCs/>
                        <w:szCs w:val="24"/>
                      </w:rPr>
                      <w:t xml:space="preserve">16.1. Planuojamos išlaidos turi atitikti Projektų administravimo ir finansavimo taisyklių VII skyriuje </w:t>
                    </w:r>
                    <w:r>
                      <w:rPr>
                        <w:color w:val="000000"/>
                      </w:rPr>
                      <w:t>nustatytus projektų išlaidoms taikomus reikalavimus.</w:t>
                    </w:r>
                  </w:p>
                  <w:p>
                    <w:pPr>
                      <w:jc w:val="both"/>
                      <w:rPr>
                        <w:iCs/>
                        <w:szCs w:val="24"/>
                      </w:rPr>
                    </w:pPr>
                    <w:r>
                      <w:rPr>
                        <w:iCs/>
                        <w:szCs w:val="24"/>
                      </w:rPr>
                      <w:t>16.2. Pagal Aprašą tinkamomis finansuoti laikomos šios Naudos gavėjo išlaidos:</w:t>
                    </w:r>
                  </w:p>
                  <w:p>
                    <w:pPr>
                      <w:jc w:val="both"/>
                      <w:rPr>
                        <w:iCs/>
                        <w:szCs w:val="24"/>
                      </w:rPr>
                    </w:pPr>
                    <w:r>
                      <w:rPr>
                        <w:iCs/>
                        <w:szCs w:val="24"/>
                      </w:rPr>
                      <w:t>16.2.1. narystės ir stojimo mokestis:</w:t>
                    </w:r>
                  </w:p>
                  <w:p>
                    <w:pPr>
                      <w:jc w:val="both"/>
                      <w:rPr>
                        <w:iCs/>
                        <w:szCs w:val="24"/>
                      </w:rPr>
                    </w:pPr>
                    <w:r>
                      <w:rPr>
                        <w:iCs/>
                        <w:szCs w:val="24"/>
                      </w:rPr>
                      <w:t xml:space="preserve">16.2.1.1. tinkamos finansuoti narystės mokesčio išlaidos, kai Naudos gavėjas yra MSI, – iki 90 proc. narystės mokesčio; </w:t>
                    </w:r>
                  </w:p>
                  <w:p>
                    <w:pPr>
                      <w:jc w:val="both"/>
                      <w:rPr>
                        <w:iCs/>
                        <w:szCs w:val="24"/>
                      </w:rPr>
                    </w:pPr>
                    <w:r>
                      <w:rPr>
                        <w:iCs/>
                        <w:szCs w:val="24"/>
                      </w:rPr>
                      <w:t>16.2.1.2. tinkamos finansuoti narystės mokesčio išlaidos, kai Naudos gavėjas yra asocijuota verslo struktūra, – iki 80 proc. narystės mokesčio;</w:t>
                    </w:r>
                  </w:p>
                  <w:p>
                    <w:pPr>
                      <w:jc w:val="both"/>
                      <w:rPr>
                        <w:iCs/>
                        <w:szCs w:val="24"/>
                      </w:rPr>
                    </w:pPr>
                    <w:r>
                      <w:rPr>
                        <w:iCs/>
                        <w:szCs w:val="24"/>
                      </w:rPr>
                      <w:t>16.2.2. projektą vykdančių ir (ar) projekto veiklose dalyvaujančių asmenų komandiruočių ir kelionių išlaidos, jei jos atitinka šias sąlygas:</w:t>
                    </w:r>
                  </w:p>
                  <w:p>
                    <w:pPr>
                      <w:tabs>
                        <w:tab w:val="left" w:pos="1134"/>
                        <w:tab w:val="left" w:pos="1276"/>
                      </w:tabs>
                      <w:jc w:val="both"/>
                      <w:rPr>
                        <w:szCs w:val="24"/>
                      </w:rPr>
                    </w:pPr>
                    <w:r>
                      <w:rPr>
                        <w:iCs/>
                        <w:szCs w:val="24"/>
                      </w:rPr>
                      <w:t>16</w:t>
                    </w:r>
                    <w:r>
                      <w:rPr>
                        <w:szCs w:val="24"/>
                      </w:rPr>
                      <w:t xml:space="preserve">.2.2.1.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pPr>
                      <w:tabs>
                        <w:tab w:val="left" w:pos="1134"/>
                        <w:tab w:val="left" w:pos="1276"/>
                      </w:tabs>
                      <w:jc w:val="both"/>
                      <w:rPr>
                        <w:iCs/>
                        <w:szCs w:val="24"/>
                      </w:rPr>
                    </w:pPr>
                    <w:r>
                      <w:rPr>
                        <w:iCs/>
                        <w:szCs w:val="24"/>
                      </w:rPr>
                      <w:t>16</w:t>
                    </w:r>
                    <w:r>
                      <w:rPr>
                        <w:szCs w:val="24"/>
                      </w:rPr>
                      <w:t xml:space="preserve">.2.2.2. finansuojamos </w:t>
                    </w:r>
                    <w:r>
                      <w:rPr>
                        <w:iCs/>
                        <w:szCs w:val="24"/>
                      </w:rPr>
                      <w:t>ne daugiau kaip 2 (dvi) komandiruotės per metus vienoje asociacijoje;</w:t>
                    </w:r>
                  </w:p>
                  <w:p>
                    <w:pPr>
                      <w:tabs>
                        <w:tab w:val="left" w:pos="1134"/>
                        <w:tab w:val="left" w:pos="1276"/>
                      </w:tabs>
                      <w:jc w:val="both"/>
                      <w:rPr>
                        <w:iCs/>
                        <w:szCs w:val="24"/>
                      </w:rPr>
                    </w:pPr>
                    <w:r>
                      <w:rPr>
                        <w:iCs/>
                        <w:szCs w:val="24"/>
                      </w:rPr>
                      <w:t xml:space="preserve">16.2.2.3. jeigu vykstama į darbo grupes ar asociacijos vidines struktūras, finansuojama ne daugiau kaip 1 (viena) komandiruotė vienoje asociacijos darbo grupėje ir (arba) vidinėje struktūroje per metus; </w:t>
                    </w:r>
                  </w:p>
                  <w:p>
                    <w:pPr>
                      <w:tabs>
                        <w:tab w:val="left" w:pos="1134"/>
                        <w:tab w:val="left" w:pos="1276"/>
                      </w:tabs>
                      <w:jc w:val="both"/>
                      <w:rPr>
                        <w:iCs/>
                        <w:szCs w:val="24"/>
                      </w:rPr>
                    </w:pPr>
                    <w:r>
                      <w:rPr>
                        <w:iCs/>
                        <w:szCs w:val="24"/>
                      </w:rPr>
                      <w:t xml:space="preserve">16.2.2.4. jeigu vykstama į institucinių ar bendrai programuojamų partnerysčių susitikimus, komandiruočių skaičius neribojamas; </w:t>
                    </w:r>
                  </w:p>
                  <w:p>
                    <w:pPr>
                      <w:tabs>
                        <w:tab w:val="left" w:pos="1134"/>
                        <w:tab w:val="left" w:pos="1276"/>
                      </w:tabs>
                      <w:jc w:val="both"/>
                      <w:rPr>
                        <w:iCs/>
                        <w:szCs w:val="24"/>
                      </w:rPr>
                    </w:pPr>
                    <w:r>
                      <w:rPr>
                        <w:iCs/>
                        <w:szCs w:val="24"/>
                      </w:rPr>
                      <w:t>16.2.2.5. išlaidos komandiruotėms gali sudaryti ne daugiau kaip 50 proc. Naudos gavėjo veiklų tinkamų finansuoti išlaidų, jeigu Pareiškėjo kvietime teikti paraiškas nenustatyta kitaip;</w:t>
                    </w:r>
                  </w:p>
                  <w:p>
                    <w:pPr>
                      <w:tabs>
                        <w:tab w:val="left" w:pos="1134"/>
                        <w:tab w:val="left" w:pos="1276"/>
                      </w:tabs>
                      <w:jc w:val="both"/>
                      <w:rPr>
                        <w:iCs/>
                        <w:szCs w:val="24"/>
                      </w:rPr>
                    </w:pPr>
                    <w:r>
                      <w:rPr>
                        <w:iCs/>
                        <w:szCs w:val="24"/>
                      </w:rPr>
                      <w:t>16.2.3</w:t>
                    </w:r>
                    <w:r>
                      <w:rPr>
                        <w:szCs w:val="24"/>
                      </w:rPr>
                      <w:t xml:space="preserve">. </w:t>
                    </w:r>
                    <w:r>
                      <w:rPr>
                        <w:iCs/>
                        <w:szCs w:val="24"/>
                      </w:rPr>
                      <w:t>jeigu narystės ir / ar stojimo mokestis yra mažesnis nei 1 000,00 Eur (vienas tūkstantis eurų, 00 ct) per metus, tokia Naudos gavėjo veikla nėra tinkama finansuoti.</w:t>
                    </w:r>
                  </w:p>
                  <w:p>
                    <w:pPr>
                      <w:tabs>
                        <w:tab w:val="left" w:pos="1134"/>
                        <w:tab w:val="left" w:pos="1276"/>
                      </w:tabs>
                      <w:jc w:val="both"/>
                      <w:rPr>
                        <w:iCs/>
                        <w:szCs w:val="24"/>
                      </w:rPr>
                    </w:pPr>
                    <w:r>
                      <w:rPr>
                        <w:iCs/>
                        <w:szCs w:val="24"/>
                      </w:rPr>
                      <w:t>16.3. Pagal Aprašą tinkamomis finansuoti laikomos šios Pareiškėjo išlaidos:</w:t>
                    </w:r>
                  </w:p>
                  <w:p>
                    <w:pPr>
                      <w:tabs>
                        <w:tab w:val="left" w:pos="1134"/>
                        <w:tab w:val="left" w:pos="1276"/>
                      </w:tabs>
                      <w:jc w:val="both"/>
                      <w:rPr>
                        <w:iCs/>
                        <w:szCs w:val="24"/>
                      </w:rPr>
                    </w:pPr>
                    <w:r>
                      <w:rPr>
                        <w:iCs/>
                        <w:szCs w:val="24"/>
                      </w:rPr>
                      <w:t>16.3.1. konsultacijų teikimas;</w:t>
                    </w:r>
                  </w:p>
                  <w:p>
                    <w:pPr>
                      <w:tabs>
                        <w:tab w:val="left" w:pos="1134"/>
                        <w:tab w:val="left" w:pos="1276"/>
                      </w:tabs>
                      <w:jc w:val="both"/>
                      <w:rPr>
                        <w:iCs/>
                        <w:szCs w:val="24"/>
                      </w:rPr>
                    </w:pPr>
                    <w:r>
                      <w:rPr>
                        <w:iCs/>
                        <w:szCs w:val="24"/>
                      </w:rPr>
                      <w:t>16.3.2. informacijos sklaida (renginiai, straipsniai).</w:t>
                    </w:r>
                  </w:p>
                  <w:p>
                    <w:pPr>
                      <w:tabs>
                        <w:tab w:val="left" w:pos="1134"/>
                        <w:tab w:val="left" w:pos="1276"/>
                      </w:tabs>
                      <w:jc w:val="both"/>
                      <w:rPr>
                        <w:szCs w:val="24"/>
                      </w:rPr>
                    </w:pPr>
                    <w:r>
                      <w:rPr>
                        <w:iCs/>
                        <w:szCs w:val="24"/>
                      </w:rPr>
                      <w:t>16</w:t>
                    </w:r>
                    <w:r>
                      <w:rPr>
                        <w:szCs w:val="24"/>
                      </w:rPr>
                      <w:t>.4. PVM nėra tinkamas finansuoti EGADP lėšomis. PVM gali būti finansuojamas Lietuvos biudžeto lėšomis vadovaujantis Projektų administravimo ir finansavimo taisyklių ketvirtajame skirsnyje nustatyta tvarka.</w:t>
                    </w:r>
                  </w:p>
                  <w:p>
                    <w:pPr>
                      <w:jc w:val="both"/>
                      <w:rPr>
                        <w:szCs w:val="24"/>
                      </w:rPr>
                    </w:pPr>
                    <w:r>
                      <w:rPr>
                        <w:iCs/>
                        <w:szCs w:val="24"/>
                      </w:rPr>
                      <w:t>16</w:t>
                    </w:r>
                    <w:r>
                      <w:rPr>
                        <w:szCs w:val="24"/>
                      </w:rPr>
                      <w:t>.5. Pareiškėjas savo iniciatyva ir savo ir (arba) kitų šaltinių lėšomis gali prisidėti prie projekto įgyvendinimo didesne, nei reikalaujama, lėšų suma.</w:t>
                    </w:r>
                  </w:p>
                  <w:p>
                    <w:pPr>
                      <w:tabs>
                        <w:tab w:val="left" w:pos="645"/>
                      </w:tabs>
                      <w:jc w:val="both"/>
                      <w:rPr>
                        <w:szCs w:val="24"/>
                      </w:rPr>
                    </w:pPr>
                    <w:r>
                      <w:rPr>
                        <w:iCs/>
                        <w:szCs w:val="24"/>
                      </w:rPr>
                      <w:t>16</w:t>
                    </w:r>
                    <w:r>
                      <w:rPr>
                        <w:szCs w:val="24"/>
                      </w:rPr>
                      <w:t>.6. Projekto tinkamų finansuoti išlaidų dalis, kurios nepadengia projektui skiriamo finansavimo lėšos, turi būti finansuojama iš projekto vykdytojo lėšų.</w:t>
                    </w:r>
                  </w:p>
                  <w:p>
                    <w:pPr>
                      <w:tabs>
                        <w:tab w:val="left" w:pos="645"/>
                      </w:tabs>
                      <w:jc w:val="both"/>
                      <w:rPr>
                        <w:color w:val="000000"/>
                      </w:rPr>
                    </w:pPr>
                    <w:r>
                      <w:rPr>
                        <w:iCs/>
                        <w:szCs w:val="24"/>
                      </w:rPr>
                      <w:t>16</w:t>
                    </w:r>
                    <w:r>
                      <w:rPr>
                        <w:color w:val="000000"/>
                      </w:rPr>
                      <w:t>.7. Pareiškėjui gali būti mokamas avansas, vadovaujantis Projektų administravimo ir finansavimo taisyklių 153–159 punktais.</w:t>
                    </w:r>
                  </w:p>
                  <w:p>
                    <w:pPr>
                      <w:jc w:val="both"/>
                    </w:pPr>
                    <w:r>
                      <w:rPr>
                        <w:iCs/>
                        <w:szCs w:val="24"/>
                      </w:rPr>
                      <w:t>16</w:t>
                    </w:r>
                    <w:r>
                      <w:t>.8. Kryžminis finansavimas netaikomas.</w:t>
                    </w:r>
                  </w:p>
                  <w:p>
                    <w:pPr>
                      <w:jc w:val="both"/>
                      <w:rPr>
                        <w:b/>
                        <w:sz w:val="22"/>
                        <w:szCs w:val="22"/>
                      </w:rPr>
                    </w:pPr>
                    <w:r>
                      <w:rPr>
                        <w:iCs/>
                        <w:szCs w:val="24"/>
                      </w:rPr>
                      <w:t>16</w:t>
                    </w:r>
                    <w:r>
                      <w:rPr>
                        <w:color w:val="000000"/>
                      </w:rPr>
                      <w:t>.9. Projekto išlaidos gali būti patirtos nuo 2020 m. vasario 1 d. iki 2026 m. balandžio 30 d.</w:t>
                    </w:r>
                  </w:p>
                </w:tc>
              </w:tr>
            </w:tbl>
            <w:p>
              <w:pPr>
                <w:jc w:val="center"/>
                <w:rPr>
                  <w:b/>
                  <w:szCs w:val="24"/>
                </w:rPr>
              </w:pPr>
            </w:p>
          </w:sdtContent>
        </w:sdt>
        <w:sdt>
          <w:sdtPr>
            <w:alias w:val="skyrius"/>
            <w:tag w:val="part_c3e8865319e34158b1d7be8a1d294058"/>
            <w:lock w:val="sdtLocked"/>
            <w:richText/>
          </w:sdtPr>
          <w:sdtContent>
            <w:p>
              <w:pPr>
                <w:jc w:val="center"/>
                <w:rPr>
                  <w:b/>
                  <w:szCs w:val="24"/>
                </w:rPr>
              </w:pPr>
              <w:sdt>
                <w:sdtPr>
                  <w:alias w:val="Numeris"/>
                  <w:tag w:val="nr_c3e8865319e34158b1d7be8a1d294058"/>
                  <w:lock w:val="sdtLocked"/>
                  <w:richText/>
                </w:sdtPr>
                <w:sdtContent>
                  <w:r>
                    <w:rPr>
                      <w:b/>
                      <w:szCs w:val="24"/>
                    </w:rPr>
                    <w:t>IV</w:t>
                  </w:r>
                </w:sdtContent>
              </w:sdt>
              <w:r>
                <w:rPr>
                  <w:b/>
                  <w:szCs w:val="24"/>
                </w:rPr>
                <w:t xml:space="preserve"> SKYRIUS</w:t>
              </w:r>
            </w:p>
            <w:p>
              <w:pPr>
                <w:jc w:val="center"/>
                <w:rPr>
                  <w:b/>
                  <w:szCs w:val="24"/>
                </w:rPr>
              </w:pPr>
              <w:sdt>
                <w:sdtPr>
                  <w:alias w:val="Pavadinimas"/>
                  <w:tag w:val="title_c3e8865319e34158b1d7be8a1d294058"/>
                  <w:lock w:val="sdtLocked"/>
                  <w:richText/>
                </w:sdtPr>
                <w:sdtContent>
                  <w:r>
                    <w:rPr>
                      <w:b/>
                      <w:szCs w:val="24"/>
                    </w:rPr>
                    <w:t>SUPAPRASTINTAI APMOKAMŲ IŠLAIDŲ DYDŽIAI</w:t>
                  </w:r>
                </w:sdtContent>
              </w:sdt>
            </w:p>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trPr>
                  <w:trHeight w:val="349"/>
                </w:trPr>
                <w:tc>
                  <w:tcPr>
                    <w:tcW w:w="15163" w:type="dxa"/>
                  </w:tcPr>
                  <w:p>
                    <w:pPr>
                      <w:jc w:val="both"/>
                      <w:rPr>
                        <w:szCs w:val="24"/>
                      </w:rPr>
                    </w:pPr>
                    <w:r>
                      <w:rPr>
                        <w:b/>
                        <w:szCs w:val="24"/>
                      </w:rPr>
                      <w:t>17. Projektų veiklų ir jungtinio projekto projektų įgyvendinimui taikomi supaprastintai apmokamų išlaidų dydžiai</w:t>
                    </w:r>
                  </w:p>
                </w:tc>
              </w:tr>
              <w:tr>
                <w:tc>
                  <w:tcPr>
                    <w:tcW w:w="15163" w:type="dxa"/>
                    <w:tcBorders>
                      <w:bottom w:val="nil"/>
                    </w:tcBorders>
                  </w:tcPr>
                  <w:p>
                    <w:pPr>
                      <w:jc w:val="both"/>
                      <w:rPr>
                        <w:sz w:val="22"/>
                        <w:szCs w:val="22"/>
                      </w:rPr>
                    </w:pPr>
                  </w:p>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578"/>
                    </w:tblGrid>
                    <w:tr>
                      <w:tc>
                        <w:tcPr>
                          <w:tcW w:w="14913" w:type="dxa"/>
                          <w:gridSpan w:val="5"/>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 xml:space="preserve"> Neindeksuojama</w:t>
                          </w:r>
                        </w:p>
                      </w:tc>
                    </w:tr>
                    <w:tr>
                      <w:tc>
                        <w:tcPr>
                          <w:tcW w:w="3002" w:type="dxa"/>
                          <w:vAlign w:val="center"/>
                        </w:tcPr>
                        <w:p>
                          <w:pPr>
                            <w:jc w:val="center"/>
                            <w:rPr>
                              <w:b/>
                              <w:bCs/>
                              <w:sz w:val="22"/>
                              <w:szCs w:val="22"/>
                            </w:rPr>
                          </w:pPr>
                          <w:r>
                            <w:rPr>
                              <w:b/>
                              <w:bCs/>
                              <w:sz w:val="22"/>
                              <w:szCs w:val="22"/>
                            </w:rPr>
                            <w:t>Veiklos ir (ar) išlaidos, kurioms taikomi supaprastintai apmokamų išlaidų dydžiai</w:t>
                          </w:r>
                        </w:p>
                      </w:tc>
                      <w:tc>
                        <w:tcPr>
                          <w:tcW w:w="2890" w:type="dxa"/>
                          <w:vAlign w:val="center"/>
                        </w:tcPr>
                        <w:p>
                          <w:pPr>
                            <w:jc w:val="center"/>
                            <w:rPr>
                              <w:b/>
                              <w:bCs/>
                              <w:sz w:val="22"/>
                              <w:szCs w:val="22"/>
                            </w:rPr>
                          </w:pPr>
                          <w:r>
                            <w:rPr>
                              <w:b/>
                              <w:bCs/>
                              <w:sz w:val="22"/>
                              <w:szCs w:val="22"/>
                            </w:rPr>
                            <w:t>Supaprastintai apmokamų išlaidų dydžio kodas</w:t>
                          </w:r>
                        </w:p>
                      </w:tc>
                      <w:tc>
                        <w:tcPr>
                          <w:tcW w:w="2467" w:type="dxa"/>
                          <w:vAlign w:val="center"/>
                        </w:tcPr>
                        <w:p>
                          <w:pPr>
                            <w:jc w:val="center"/>
                            <w:rPr>
                              <w:b/>
                              <w:bCs/>
                              <w:i/>
                              <w:iCs/>
                              <w:color w:val="808080"/>
                              <w:sz w:val="22"/>
                              <w:szCs w:val="22"/>
                            </w:rPr>
                          </w:pPr>
                          <w:r>
                            <w:rPr>
                              <w:b/>
                              <w:bCs/>
                              <w:sz w:val="22"/>
                              <w:szCs w:val="22"/>
                            </w:rPr>
                            <w:t>Supaprastintai apmokamų išlaidų dydžio versija</w:t>
                          </w:r>
                        </w:p>
                      </w:tc>
                      <w:tc>
                        <w:tcPr>
                          <w:tcW w:w="2976" w:type="dxa"/>
                          <w:vAlign w:val="center"/>
                        </w:tcPr>
                        <w:p>
                          <w:pPr>
                            <w:jc w:val="center"/>
                            <w:rPr>
                              <w:b/>
                              <w:bCs/>
                              <w:sz w:val="22"/>
                              <w:szCs w:val="22"/>
                            </w:rPr>
                          </w:pPr>
                          <w:r>
                            <w:rPr>
                              <w:b/>
                              <w:bCs/>
                              <w:sz w:val="22"/>
                              <w:szCs w:val="22"/>
                            </w:rPr>
                            <w:t>Supaprastintai apmokamų išlaidų dydžio pavadinimas</w:t>
                          </w:r>
                        </w:p>
                      </w:tc>
                      <w:tc>
                        <w:tcPr>
                          <w:tcW w:w="3578" w:type="dxa"/>
                          <w:vAlign w:val="center"/>
                        </w:tcPr>
                        <w:p>
                          <w:pPr>
                            <w:jc w:val="center"/>
                            <w:rPr>
                              <w:b/>
                              <w:bCs/>
                              <w:sz w:val="22"/>
                              <w:szCs w:val="22"/>
                            </w:rPr>
                          </w:pPr>
                          <w:r>
                            <w:rPr>
                              <w:b/>
                              <w:bCs/>
                              <w:sz w:val="22"/>
                              <w:szCs w:val="22"/>
                            </w:rPr>
                            <w:t>Papildoma informacija</w:t>
                          </w:r>
                        </w:p>
                      </w:tc>
                    </w:tr>
                    <w:tr>
                      <w:tc>
                        <w:tcPr>
                          <w:tcW w:w="3002" w:type="dxa"/>
                        </w:tcPr>
                        <w:p>
                          <w:pPr>
                            <w:jc w:val="center"/>
                            <w:rPr>
                              <w:i/>
                              <w:iCs/>
                              <w:sz w:val="20"/>
                            </w:rPr>
                          </w:pPr>
                          <w:r>
                            <w:rPr>
                              <w:iCs/>
                              <w:sz w:val="20"/>
                            </w:rPr>
                            <w:t>17.1. Privalomos projekto matomumo ir informavimo apie projektus priemonės</w:t>
                          </w:r>
                        </w:p>
                      </w:tc>
                      <w:tc>
                        <w:tcPr>
                          <w:tcW w:w="2890" w:type="dxa"/>
                        </w:tcPr>
                        <w:p>
                          <w:pPr>
                            <w:jc w:val="center"/>
                            <w:rPr>
                              <w:i/>
                              <w:iCs/>
                              <w:sz w:val="20"/>
                            </w:rPr>
                          </w:pPr>
                          <w:r>
                            <w:rPr>
                              <w:sz w:val="20"/>
                            </w:rPr>
                            <w:t>FS-01-01</w:t>
                          </w:r>
                        </w:p>
                      </w:tc>
                      <w:tc>
                        <w:tcPr>
                          <w:tcW w:w="2467" w:type="dxa"/>
                        </w:tcPr>
                        <w:p>
                          <w:pPr>
                            <w:jc w:val="center"/>
                            <w:rPr>
                              <w:i/>
                              <w:iCs/>
                              <w:sz w:val="20"/>
                            </w:rPr>
                          </w:pPr>
                          <w:r>
                            <w:rPr>
                              <w:sz w:val="20"/>
                            </w:rPr>
                            <w:t>01</w:t>
                          </w:r>
                        </w:p>
                      </w:tc>
                      <w:tc>
                        <w:tcPr>
                          <w:tcW w:w="2976" w:type="dxa"/>
                        </w:tcPr>
                        <w:p>
                          <w:pPr>
                            <w:jc w:val="center"/>
                            <w:rPr>
                              <w:i/>
                              <w:iCs/>
                              <w:sz w:val="20"/>
                            </w:rPr>
                          </w:pPr>
                          <w:r>
                            <w:rPr>
                              <w:bCs/>
                              <w:iCs/>
                              <w:sz w:val="20"/>
                            </w:rPr>
                            <w:t>Įgyvendintų privalomų matomumo ir informavimo priemonių apie ES fondų investicijų veiklas fiksuotoji suma, pirmojo rinkinio FS be PVM</w:t>
                          </w:r>
                        </w:p>
                      </w:tc>
                      <w:tc>
                        <w:tcPr>
                          <w:tcW w:w="3578" w:type="dxa"/>
                        </w:tcPr>
                        <w:p>
                          <w:pPr>
                            <w:jc w:val="center"/>
                            <w:rPr>
                              <w:i/>
                              <w:iCs/>
                              <w:sz w:val="20"/>
                            </w:rPr>
                          </w:pPr>
                          <w:r>
                            <w:rPr>
                              <w:sz w:val="20"/>
                            </w:rPr>
                            <w:t>Išlaidų suma – 15,45 Eur</w:t>
                          </w:r>
                        </w:p>
                      </w:tc>
                    </w:tr>
                    <w:tr>
                      <w:tc>
                        <w:tcPr>
                          <w:tcW w:w="3002" w:type="dxa"/>
                        </w:tcPr>
                        <w:p>
                          <w:pPr>
                            <w:jc w:val="center"/>
                            <w:rPr>
                              <w:iCs/>
                              <w:sz w:val="20"/>
                            </w:rPr>
                          </w:pPr>
                          <w:r>
                            <w:rPr>
                              <w:iCs/>
                              <w:sz w:val="20"/>
                            </w:rPr>
                            <w:t>17.2. Privalomos projekto matomumo ir informavimo apie projektus priemonės</w:t>
                          </w:r>
                        </w:p>
                      </w:tc>
                      <w:tc>
                        <w:tcPr>
                          <w:tcW w:w="2890" w:type="dxa"/>
                        </w:tcPr>
                        <w:p>
                          <w:pPr>
                            <w:jc w:val="center"/>
                            <w:rPr>
                              <w:sz w:val="20"/>
                            </w:rPr>
                          </w:pPr>
                          <w:r>
                            <w:rPr>
                              <w:sz w:val="20"/>
                            </w:rPr>
                            <w:t>FS-01-02</w:t>
                          </w:r>
                        </w:p>
                      </w:tc>
                      <w:tc>
                        <w:tcPr>
                          <w:tcW w:w="2467" w:type="dxa"/>
                        </w:tcPr>
                        <w:p>
                          <w:pPr>
                            <w:jc w:val="center"/>
                            <w:rPr>
                              <w:sz w:val="20"/>
                            </w:rPr>
                          </w:pPr>
                          <w:r>
                            <w:rPr>
                              <w:sz w:val="20"/>
                            </w:rPr>
                            <w:t>01</w:t>
                          </w:r>
                        </w:p>
                      </w:tc>
                      <w:tc>
                        <w:tcPr>
                          <w:tcW w:w="2976" w:type="dxa"/>
                        </w:tcPr>
                        <w:p>
                          <w:pPr>
                            <w:jc w:val="center"/>
                            <w:rPr>
                              <w:bCs/>
                              <w:iCs/>
                              <w:sz w:val="20"/>
                            </w:rPr>
                          </w:pPr>
                          <w:r>
                            <w:rPr>
                              <w:bCs/>
                              <w:iCs/>
                              <w:sz w:val="20"/>
                            </w:rPr>
                            <w:t>Įgyvendintų privalomų matomumo ir informavimo priemonių apie ES fondų investicijų veiklas fiksuotoji suma, pirmojo rinkinio FS su PVM</w:t>
                          </w:r>
                        </w:p>
                      </w:tc>
                      <w:tc>
                        <w:tcPr>
                          <w:tcW w:w="3578" w:type="dxa"/>
                        </w:tcPr>
                        <w:p>
                          <w:pPr>
                            <w:jc w:val="center"/>
                            <w:rPr>
                              <w:sz w:val="20"/>
                            </w:rPr>
                          </w:pPr>
                          <w:r>
                            <w:rPr>
                              <w:sz w:val="20"/>
                            </w:rPr>
                            <w:t>Išlaidų suma – 18,69 Eur</w:t>
                          </w:r>
                        </w:p>
                      </w:tc>
                    </w:tr>
                    <w:tr>
                      <w:tc>
                        <w:tcPr>
                          <w:tcW w:w="3002" w:type="dxa"/>
                        </w:tcPr>
                        <w:p>
                          <w:pPr>
                            <w:jc w:val="center"/>
                            <w:rPr>
                              <w:iCs/>
                              <w:sz w:val="20"/>
                            </w:rPr>
                          </w:pPr>
                          <w:r>
                            <w:rPr>
                              <w:iCs/>
                              <w:sz w:val="20"/>
                            </w:rPr>
                            <w:t>17.3. Netiesioginės išlaidos</w:t>
                          </w:r>
                        </w:p>
                      </w:tc>
                      <w:tc>
                        <w:tcPr>
                          <w:tcW w:w="2890" w:type="dxa"/>
                        </w:tcPr>
                        <w:p>
                          <w:pPr>
                            <w:jc w:val="center"/>
                            <w:rPr>
                              <w:szCs w:val="24"/>
                            </w:rPr>
                          </w:pPr>
                          <w:r>
                            <w:rPr>
                              <w:iCs/>
                              <w:sz w:val="20"/>
                            </w:rPr>
                            <w:t>FN-01</w:t>
                          </w:r>
                        </w:p>
                      </w:tc>
                      <w:tc>
                        <w:tcPr>
                          <w:tcW w:w="2467" w:type="dxa"/>
                        </w:tcPr>
                        <w:p>
                          <w:pPr>
                            <w:jc w:val="center"/>
                            <w:rPr>
                              <w:sz w:val="20"/>
                            </w:rPr>
                          </w:pPr>
                          <w:r>
                            <w:rPr>
                              <w:bCs/>
                              <w:iCs/>
                              <w:sz w:val="20"/>
                              <w:lang w:eastAsia="lt-LT"/>
                            </w:rPr>
                            <w:t>01</w:t>
                          </w:r>
                        </w:p>
                      </w:tc>
                      <w:tc>
                        <w:tcPr>
                          <w:tcW w:w="2976" w:type="dxa"/>
                        </w:tcPr>
                        <w:p>
                          <w:pPr>
                            <w:jc w:val="center"/>
                            <w:rPr>
                              <w:bCs/>
                              <w:iCs/>
                              <w:sz w:val="20"/>
                            </w:rPr>
                          </w:pPr>
                          <w:r>
                            <w:rPr>
                              <w:iCs/>
                              <w:sz w:val="20"/>
                            </w:rPr>
                            <w:t>7 proc. netiesioginių išlaidų fiksuotoji norma</w:t>
                          </w:r>
                        </w:p>
                      </w:tc>
                      <w:tc>
                        <w:tcPr>
                          <w:tcW w:w="3578" w:type="dxa"/>
                        </w:tcPr>
                        <w:p>
                          <w:pPr>
                            <w:jc w:val="center"/>
                            <w:rPr>
                              <w:sz w:val="20"/>
                            </w:rPr>
                          </w:pPr>
                          <w:r>
                            <w:rPr>
                              <w:i/>
                              <w:iCs/>
                              <w:sz w:val="20"/>
                            </w:rPr>
                            <w:t>-</w:t>
                          </w:r>
                        </w:p>
                      </w:tc>
                    </w:tr>
                    <w:tr>
                      <w:tc>
                        <w:tcPr>
                          <w:tcW w:w="3002" w:type="dxa"/>
                        </w:tcPr>
                        <w:p>
                          <w:pPr>
                            <w:jc w:val="center"/>
                            <w:rPr>
                              <w:sz w:val="20"/>
                            </w:rPr>
                          </w:pPr>
                          <w:r>
                            <w:rPr>
                              <w:sz w:val="20"/>
                            </w:rPr>
                            <w:t>17.4. Projektą vykdančio personalo darbo užmokesčio išlaidų dalis per mėnesį, skirta kasmetinėms atostogoms, kuri apskaičiuojama nuo tinkamų finansuoti faktiškai patirtų darbo užmokesčio išlaidų už faktiškai dirbtą laiką</w:t>
                          </w:r>
                        </w:p>
                        <w:p>
                          <w:pPr>
                            <w:jc w:val="center"/>
                            <w:rPr>
                              <w:iCs/>
                              <w:sz w:val="20"/>
                            </w:rPr>
                          </w:pPr>
                          <w:r>
                            <w:rPr>
                              <w:sz w:val="20"/>
                            </w:rPr>
                            <w:t>(8,63 proc.)</w:t>
                          </w:r>
                        </w:p>
                      </w:tc>
                      <w:tc>
                        <w:tcPr>
                          <w:tcW w:w="2890" w:type="dxa"/>
                        </w:tcPr>
                        <w:p>
                          <w:pPr>
                            <w:jc w:val="center"/>
                            <w:rPr>
                              <w:iCs/>
                              <w:sz w:val="20"/>
                            </w:rPr>
                          </w:pPr>
                          <w:r>
                            <w:rPr>
                              <w:sz w:val="20"/>
                            </w:rPr>
                            <w:t>FN-05-01</w:t>
                          </w:r>
                        </w:p>
                      </w:tc>
                      <w:tc>
                        <w:tcPr>
                          <w:tcW w:w="2467" w:type="dxa"/>
                        </w:tcPr>
                        <w:p>
                          <w:pPr>
                            <w:jc w:val="center"/>
                            <w:rPr>
                              <w:bCs/>
                              <w:iCs/>
                              <w:sz w:val="20"/>
                              <w:lang w:eastAsia="lt-LT"/>
                            </w:rPr>
                          </w:pPr>
                          <w:r>
                            <w:rPr>
                              <w:sz w:val="20"/>
                            </w:rPr>
                            <w:t>01</w:t>
                          </w:r>
                        </w:p>
                      </w:tc>
                      <w:tc>
                        <w:tcPr>
                          <w:tcW w:w="2976" w:type="dxa"/>
                        </w:tcPr>
                        <w:p>
                          <w:pPr>
                            <w:jc w:val="center"/>
                            <w:rPr>
                              <w:iCs/>
                              <w:sz w:val="20"/>
                            </w:rPr>
                          </w:pPr>
                          <w:r>
                            <w:rPr>
                              <w:sz w:val="20"/>
                            </w:rPr>
                            <w:t>Fiksuotoji norma, taikoma, kai priklauso 20 darbo dienų (toliau – d. d.) (jeigu dirbama 5 d. d. per savaitę) arba 24 d. d. (jeigu dirbama 6 d. d. per savaitę) kasmetinių atostogų</w:t>
                          </w:r>
                        </w:p>
                      </w:tc>
                      <w:tc>
                        <w:tcPr>
                          <w:tcW w:w="3578" w:type="dxa"/>
                        </w:tcPr>
                        <w:p>
                          <w:pPr>
                            <w:ind w:right="322"/>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17.5. Projektą vykdančio personalo darbo užmokesčio išlaidų dalis per mėnesį, skirta kasmetinėms atostogoms, kuri apskaičiuojama nuo tinkamų finansuoti faktiškai patirtų darbo užmokesčio išlaidų už faktiškai dirbtą laiką</w:t>
                          </w:r>
                        </w:p>
                        <w:p>
                          <w:pPr>
                            <w:jc w:val="center"/>
                            <w:rPr>
                              <w:iCs/>
                              <w:sz w:val="20"/>
                            </w:rPr>
                          </w:pPr>
                          <w:r>
                            <w:rPr>
                              <w:sz w:val="20"/>
                            </w:rPr>
                            <w:t>(10,44 proc.)</w:t>
                          </w:r>
                        </w:p>
                      </w:tc>
                      <w:tc>
                        <w:tcPr>
                          <w:tcW w:w="2890" w:type="dxa"/>
                        </w:tcPr>
                        <w:p>
                          <w:pPr>
                            <w:jc w:val="center"/>
                            <w:rPr>
                              <w:iCs/>
                              <w:sz w:val="20"/>
                            </w:rPr>
                          </w:pPr>
                          <w:r>
                            <w:rPr>
                              <w:sz w:val="20"/>
                            </w:rPr>
                            <w:t>FN-05-02</w:t>
                          </w:r>
                        </w:p>
                      </w:tc>
                      <w:tc>
                        <w:tcPr>
                          <w:tcW w:w="2467" w:type="dxa"/>
                        </w:tcPr>
                        <w:p>
                          <w:pPr>
                            <w:jc w:val="center"/>
                            <w:rPr>
                              <w:bCs/>
                              <w:iCs/>
                              <w:sz w:val="20"/>
                              <w:lang w:eastAsia="lt-LT"/>
                            </w:rPr>
                          </w:pPr>
                          <w:r>
                            <w:rPr>
                              <w:sz w:val="20"/>
                            </w:rPr>
                            <w:t>01</w:t>
                          </w:r>
                        </w:p>
                      </w:tc>
                      <w:tc>
                        <w:tcPr>
                          <w:tcW w:w="2976" w:type="dxa"/>
                        </w:tcPr>
                        <w:p>
                          <w:pPr>
                            <w:jc w:val="center"/>
                            <w:rPr>
                              <w:iCs/>
                              <w:sz w:val="20"/>
                            </w:rPr>
                          </w:pPr>
                          <w:r>
                            <w:rPr>
                              <w:sz w:val="20"/>
                            </w:rPr>
                            <w:t>Fiksuotoji norma, taikoma, kai priklauso nuo 21 iki 25 d. d. (jeigu dirbama 5 d. d. per savaitę) arba nuo 25 iki 30 d. d. (jeigu dirbama 6 d. d. per savaitę) kasmetinių atostogų</w:t>
                          </w:r>
                        </w:p>
                      </w:tc>
                      <w:tc>
                        <w:tcPr>
                          <w:tcW w:w="3578" w:type="dxa"/>
                        </w:tcPr>
                        <w:p>
                          <w:pPr>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17.6. Projektą vykdančio personalo darbo užmokesčio išlaidų dalis per mėnesį, skirta kasmetinėms atostogoms, kuri apskaičiuojama nuo tinkamų finansuoti faktiškai patirtų darbo užmokesčio išlaidų už faktiškai dirbtą laiką</w:t>
                          </w:r>
                        </w:p>
                        <w:p>
                          <w:pPr>
                            <w:jc w:val="center"/>
                            <w:rPr>
                              <w:iCs/>
                              <w:sz w:val="20"/>
                            </w:rPr>
                          </w:pPr>
                          <w:r>
                            <w:rPr>
                              <w:sz w:val="20"/>
                            </w:rPr>
                            <w:t>(12,35 proc.)</w:t>
                          </w:r>
                        </w:p>
                      </w:tc>
                      <w:tc>
                        <w:tcPr>
                          <w:tcW w:w="2890" w:type="dxa"/>
                        </w:tcPr>
                        <w:p>
                          <w:pPr>
                            <w:jc w:val="center"/>
                            <w:rPr>
                              <w:iCs/>
                              <w:sz w:val="20"/>
                            </w:rPr>
                          </w:pPr>
                          <w:r>
                            <w:rPr>
                              <w:sz w:val="20"/>
                            </w:rPr>
                            <w:t>FN-05-03</w:t>
                          </w:r>
                        </w:p>
                      </w:tc>
                      <w:tc>
                        <w:tcPr>
                          <w:tcW w:w="2467" w:type="dxa"/>
                        </w:tcPr>
                        <w:p>
                          <w:pPr>
                            <w:jc w:val="center"/>
                            <w:rPr>
                              <w:bCs/>
                              <w:iCs/>
                              <w:sz w:val="20"/>
                              <w:lang w:eastAsia="lt-LT"/>
                            </w:rPr>
                          </w:pPr>
                          <w:r>
                            <w:rPr>
                              <w:sz w:val="20"/>
                            </w:rPr>
                            <w:t>01</w:t>
                          </w:r>
                        </w:p>
                      </w:tc>
                      <w:tc>
                        <w:tcPr>
                          <w:tcW w:w="2976" w:type="dxa"/>
                        </w:tcPr>
                        <w:p>
                          <w:pPr>
                            <w:jc w:val="center"/>
                            <w:rPr>
                              <w:iCs/>
                              <w:sz w:val="20"/>
                            </w:rPr>
                          </w:pPr>
                          <w:r>
                            <w:rPr>
                              <w:sz w:val="20"/>
                            </w:rPr>
                            <w:t>Fiksuotoji norma, taikoma, kai priklauso nuo 26 iki 30 d. d. (jeigu dirbama 5 d. d. per savaitę) arba nuo 31 iki 36 d. d. (jeigu dirbama 6 d. d. per savaitę) kasmetinių atostogų</w:t>
                          </w:r>
                        </w:p>
                      </w:tc>
                      <w:tc>
                        <w:tcPr>
                          <w:tcW w:w="3578" w:type="dxa"/>
                        </w:tcPr>
                        <w:p>
                          <w:pPr>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17.7.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(14,99 proc.)</w:t>
                          </w:r>
                        </w:p>
                      </w:tc>
                      <w:tc>
                        <w:tcPr>
                          <w:tcW w:w="2890" w:type="dxa"/>
                        </w:tcPr>
                        <w:p>
                          <w:pPr>
                            <w:jc w:val="center"/>
                            <w:rPr>
                              <w:sz w:val="20"/>
                            </w:rPr>
                          </w:pPr>
                          <w:r>
                            <w:rPr>
                              <w:sz w:val="20"/>
                            </w:rPr>
                            <w:t>FN-05-04</w:t>
                          </w:r>
                        </w:p>
                      </w:tc>
                      <w:tc>
                        <w:tcPr>
                          <w:tcW w:w="2467" w:type="dxa"/>
                        </w:tcPr>
                        <w:p>
                          <w:pPr>
                            <w:jc w:val="center"/>
                            <w:rPr>
                              <w:sz w:val="20"/>
                            </w:rPr>
                          </w:pPr>
                          <w:r>
                            <w:rPr>
                              <w:sz w:val="20"/>
                            </w:rPr>
                            <w:t>01</w:t>
                          </w:r>
                        </w:p>
                      </w:tc>
                      <w:tc>
                        <w:tcPr>
                          <w:tcW w:w="2976" w:type="dxa"/>
                        </w:tcPr>
                        <w:p>
                          <w:pPr>
                            <w:jc w:val="center"/>
                            <w:rPr>
                              <w:sz w:val="20"/>
                            </w:rPr>
                          </w:pPr>
                          <w:r>
                            <w:rPr>
                              <w:sz w:val="20"/>
                            </w:rPr>
                            <w:t>Fiksuotoji norma, taikoma, kai priklauso nuo 31 iki 36 d. d. (jeigu dirbama 5 d. d. per savaitę) arba nuo 37 iki 42 d. d. (jeigu dirbama 6 d. d. per savaitę) kasmetinių atostogų</w:t>
                          </w:r>
                        </w:p>
                      </w:tc>
                      <w:tc>
                        <w:tcPr>
                          <w:tcW w:w="3578" w:type="dxa"/>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17.8.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(15,25 proc.)</w:t>
                          </w:r>
                        </w:p>
                      </w:tc>
                      <w:tc>
                        <w:tcPr>
                          <w:tcW w:w="2890" w:type="dxa"/>
                        </w:tcPr>
                        <w:p>
                          <w:pPr>
                            <w:jc w:val="center"/>
                            <w:rPr>
                              <w:sz w:val="20"/>
                            </w:rPr>
                          </w:pPr>
                          <w:r>
                            <w:rPr>
                              <w:sz w:val="20"/>
                            </w:rPr>
                            <w:t>FN-05-05</w:t>
                          </w:r>
                        </w:p>
                      </w:tc>
                      <w:tc>
                        <w:tcPr>
                          <w:tcW w:w="2467" w:type="dxa"/>
                        </w:tcPr>
                        <w:p>
                          <w:pPr>
                            <w:jc w:val="center"/>
                            <w:rPr>
                              <w:sz w:val="20"/>
                            </w:rPr>
                          </w:pPr>
                          <w:r>
                            <w:rPr>
                              <w:sz w:val="20"/>
                            </w:rPr>
                            <w:t>01</w:t>
                          </w:r>
                        </w:p>
                      </w:tc>
                      <w:tc>
                        <w:tcPr>
                          <w:tcW w:w="2976" w:type="dxa"/>
                        </w:tcPr>
                        <w:p>
                          <w:pPr>
                            <w:jc w:val="center"/>
                            <w:rPr>
                              <w:sz w:val="20"/>
                            </w:rPr>
                          </w:pPr>
                          <w:r>
                            <w:rPr>
                              <w:sz w:val="20"/>
                            </w:rPr>
                            <w:t>Fiksuotoji norma, taikoma, kai priklauso nuo 37 iki 39 d. d. (jeigu dirbama 5 d. d. per savaitę) arba nuo 43 iki 47 d. d. (jeigu dirbama 6 d. d. per savaitę) kasmetinių atostogų</w:t>
                          </w:r>
                        </w:p>
                      </w:tc>
                      <w:tc>
                        <w:tcPr>
                          <w:tcW w:w="3578" w:type="dxa"/>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17.9.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(18,89 proc.)</w:t>
                          </w:r>
                        </w:p>
                      </w:tc>
                      <w:tc>
                        <w:tcPr>
                          <w:tcW w:w="2890" w:type="dxa"/>
                        </w:tcPr>
                        <w:p>
                          <w:pPr>
                            <w:jc w:val="center"/>
                            <w:rPr>
                              <w:sz w:val="20"/>
                            </w:rPr>
                          </w:pPr>
                          <w:r>
                            <w:rPr>
                              <w:sz w:val="20"/>
                            </w:rPr>
                            <w:t>FN-05-06</w:t>
                          </w:r>
                        </w:p>
                      </w:tc>
                      <w:tc>
                        <w:tcPr>
                          <w:tcW w:w="2467" w:type="dxa"/>
                        </w:tcPr>
                        <w:p>
                          <w:pPr>
                            <w:jc w:val="center"/>
                            <w:rPr>
                              <w:sz w:val="20"/>
                            </w:rPr>
                          </w:pPr>
                          <w:r>
                            <w:rPr>
                              <w:sz w:val="20"/>
                            </w:rPr>
                            <w:t>01</w:t>
                          </w:r>
                        </w:p>
                      </w:tc>
                      <w:tc>
                        <w:tcPr>
                          <w:tcW w:w="2976" w:type="dxa"/>
                        </w:tcPr>
                        <w:p>
                          <w:pPr>
                            <w:jc w:val="center"/>
                            <w:rPr>
                              <w:sz w:val="20"/>
                            </w:rPr>
                          </w:pPr>
                          <w:r>
                            <w:rPr>
                              <w:sz w:val="20"/>
                            </w:rPr>
                            <w:t>Fiksuotoji norma, taikoma, kai priklauso 40 d. d. (jeigu dirbama 5 d. d. per savaitę) arba 48 d. d. (jeigu dirbama 6 d. d. per savaitę) kasmetinių atostogų</w:t>
                          </w:r>
                        </w:p>
                      </w:tc>
                      <w:tc>
                        <w:tcPr>
                          <w:tcW w:w="3578" w:type="dxa"/>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17.10. Projektą vykdančio personalo darbo užmokesčio išlaidų dalis per mėnesį, skirta kasmetinėms atostogoms, kuri apskaičiuojama nuo tinkamų finansuoti faktiškai patirtų darbo užmokesčio išlaidų už faktiškai dirbtą laiką</w:t>
                          </w:r>
                        </w:p>
                        <w:p>
                          <w:pPr>
                            <w:jc w:val="center"/>
                            <w:rPr>
                              <w:sz w:val="20"/>
                            </w:rPr>
                          </w:pPr>
                          <w:r>
                            <w:rPr>
                              <w:sz w:val="20"/>
                            </w:rPr>
                            <w:t>(20,02 proc.)</w:t>
                          </w:r>
                        </w:p>
                      </w:tc>
                      <w:tc>
                        <w:tcPr>
                          <w:tcW w:w="2890" w:type="dxa"/>
                        </w:tcPr>
                        <w:p>
                          <w:pPr>
                            <w:jc w:val="center"/>
                            <w:rPr>
                              <w:sz w:val="20"/>
                            </w:rPr>
                          </w:pPr>
                          <w:r>
                            <w:rPr>
                              <w:sz w:val="20"/>
                            </w:rPr>
                            <w:t>FN-05-07</w:t>
                          </w:r>
                        </w:p>
                      </w:tc>
                      <w:tc>
                        <w:tcPr>
                          <w:tcW w:w="2467" w:type="dxa"/>
                        </w:tcPr>
                        <w:p>
                          <w:pPr>
                            <w:jc w:val="center"/>
                            <w:rPr>
                              <w:sz w:val="20"/>
                            </w:rPr>
                          </w:pPr>
                          <w:r>
                            <w:rPr>
                              <w:sz w:val="20"/>
                            </w:rPr>
                            <w:t>01</w:t>
                          </w:r>
                        </w:p>
                      </w:tc>
                      <w:tc>
                        <w:tcPr>
                          <w:tcW w:w="2976" w:type="dxa"/>
                        </w:tcPr>
                        <w:p>
                          <w:pPr>
                            <w:jc w:val="center"/>
                            <w:rPr>
                              <w:sz w:val="20"/>
                            </w:rPr>
                          </w:pPr>
                          <w:r>
                            <w:rPr>
                              <w:sz w:val="20"/>
                            </w:rPr>
                            <w:t>Fiksuotoji norma, taikoma, kai priklauso nuo 41 d. d. (jeigu dirbama 5 d. d. per savaitę) arba nuo 49 d. d. (jeigu dirbama 6 d. d. per savaitę) kasmetinių atostogų</w:t>
                          </w:r>
                        </w:p>
                      </w:tc>
                      <w:tc>
                        <w:tcPr>
                          <w:tcW w:w="3578" w:type="dxa"/>
                        </w:tcPr>
                        <w:p>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tc>
                        <w:tcPr>
                          <w:tcW w:w="3002" w:type="dxa"/>
                        </w:tcPr>
                        <w:p>
                          <w:pPr>
                            <w:jc w:val="center"/>
                            <w:rPr>
                              <w:sz w:val="20"/>
                            </w:rPr>
                          </w:pPr>
                          <w:r>
                            <w:rPr>
                              <w:sz w:val="20"/>
                            </w:rPr>
                            <w:t>17.11.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FĮ-32-01</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578" w:type="dxa"/>
                        </w:tcPr>
                        <w:p>
                          <w:pPr>
                            <w:jc w:val="center"/>
                            <w:rPr>
                              <w:sz w:val="20"/>
                            </w:rPr>
                          </w:pPr>
                          <w:r>
                            <w:rPr>
                              <w:bCs/>
                              <w:color w:val="000000"/>
                              <w:sz w:val="20"/>
                            </w:rPr>
                            <w:t>Išlaidų dydis – 23 Eur</w:t>
                          </w:r>
                        </w:p>
                      </w:tc>
                    </w:tr>
                    <w:tr>
                      <w:tc>
                        <w:tcPr>
                          <w:tcW w:w="3002" w:type="dxa"/>
                        </w:tcPr>
                        <w:p>
                          <w:pPr>
                            <w:jc w:val="center"/>
                            <w:rPr>
                              <w:sz w:val="20"/>
                            </w:rPr>
                          </w:pPr>
                          <w:r>
                            <w:rPr>
                              <w:sz w:val="20"/>
                            </w:rPr>
                            <w:t>17.12.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FĮ-32-02</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3578" w:type="dxa"/>
                        </w:tcPr>
                        <w:p>
                          <w:pPr>
                            <w:jc w:val="center"/>
                            <w:rPr>
                              <w:sz w:val="20"/>
                            </w:rPr>
                          </w:pPr>
                          <w:r>
                            <w:rPr>
                              <w:bCs/>
                              <w:color w:val="000000"/>
                              <w:sz w:val="20"/>
                            </w:rPr>
                            <w:t>Išlaidų dydis – 180 Eur</w:t>
                          </w:r>
                        </w:p>
                      </w:tc>
                    </w:tr>
                    <w:tr>
                      <w:tc>
                        <w:tcPr>
                          <w:tcW w:w="3002" w:type="dxa"/>
                        </w:tcPr>
                        <w:p>
                          <w:pPr>
                            <w:jc w:val="center"/>
                            <w:rPr>
                              <w:sz w:val="20"/>
                            </w:rPr>
                          </w:pPr>
                          <w:r>
                            <w:rPr>
                              <w:sz w:val="20"/>
                            </w:rPr>
                            <w:t>17.13.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FĮ-32-03</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578" w:type="dxa"/>
                        </w:tcPr>
                        <w:p>
                          <w:pPr>
                            <w:jc w:val="center"/>
                            <w:rPr>
                              <w:sz w:val="20"/>
                            </w:rPr>
                          </w:pPr>
                          <w:r>
                            <w:rPr>
                              <w:bCs/>
                              <w:color w:val="000000"/>
                              <w:sz w:val="20"/>
                            </w:rPr>
                            <w:t>Išlaidų dydis – 275 Eur</w:t>
                          </w:r>
                        </w:p>
                      </w:tc>
                    </w:tr>
                    <w:tr>
                      <w:tc>
                        <w:tcPr>
                          <w:tcW w:w="3002" w:type="dxa"/>
                        </w:tcPr>
                        <w:p>
                          <w:pPr>
                            <w:jc w:val="center"/>
                            <w:rPr>
                              <w:sz w:val="20"/>
                            </w:rPr>
                          </w:pPr>
                          <w:r>
                            <w:rPr>
                              <w:sz w:val="20"/>
                            </w:rPr>
                            <w:t>17.14.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FĮ-32-04</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578" w:type="dxa"/>
                        </w:tcPr>
                        <w:p>
                          <w:pPr>
                            <w:jc w:val="center"/>
                            <w:rPr>
                              <w:sz w:val="20"/>
                            </w:rPr>
                          </w:pPr>
                          <w:r>
                            <w:rPr>
                              <w:bCs/>
                              <w:color w:val="000000"/>
                              <w:sz w:val="20"/>
                            </w:rPr>
                            <w:t>Išlaidų dydis – 360 Eur</w:t>
                          </w:r>
                        </w:p>
                      </w:tc>
                    </w:tr>
                    <w:tr>
                      <w:tc>
                        <w:tcPr>
                          <w:tcW w:w="3002" w:type="dxa"/>
                        </w:tcPr>
                        <w:p>
                          <w:pPr>
                            <w:jc w:val="center"/>
                            <w:rPr>
                              <w:sz w:val="20"/>
                            </w:rPr>
                          </w:pPr>
                          <w:r>
                            <w:rPr>
                              <w:sz w:val="20"/>
                            </w:rPr>
                            <w:t>17.15.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FĮ-32-05</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578" w:type="dxa"/>
                        </w:tcPr>
                        <w:p>
                          <w:pPr>
                            <w:jc w:val="center"/>
                            <w:rPr>
                              <w:sz w:val="20"/>
                            </w:rPr>
                          </w:pPr>
                          <w:r>
                            <w:rPr>
                              <w:bCs/>
                              <w:color w:val="000000"/>
                              <w:sz w:val="20"/>
                            </w:rPr>
                            <w:t>Išlaidų dydis – 530 Eur</w:t>
                          </w:r>
                        </w:p>
                      </w:tc>
                    </w:tr>
                    <w:tr>
                      <w:tc>
                        <w:tcPr>
                          <w:tcW w:w="3002" w:type="dxa"/>
                        </w:tcPr>
                        <w:p>
                          <w:pPr>
                            <w:jc w:val="center"/>
                            <w:rPr>
                              <w:sz w:val="20"/>
                            </w:rPr>
                          </w:pPr>
                          <w:r>
                            <w:rPr>
                              <w:sz w:val="20"/>
                            </w:rPr>
                            <w:t>17.16.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FĮ-32-06</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nuo 4 000 km iki 7 999 km</w:t>
                          </w:r>
                        </w:p>
                      </w:tc>
                      <w:tc>
                        <w:tcPr>
                          <w:tcW w:w="3578" w:type="dxa"/>
                        </w:tcPr>
                        <w:p>
                          <w:pPr>
                            <w:jc w:val="center"/>
                            <w:rPr>
                              <w:sz w:val="20"/>
                            </w:rPr>
                          </w:pPr>
                          <w:r>
                            <w:rPr>
                              <w:bCs/>
                              <w:color w:val="000000"/>
                              <w:sz w:val="20"/>
                            </w:rPr>
                            <w:t>Išlaidų dydis – 820 Eur</w:t>
                          </w:r>
                        </w:p>
                      </w:tc>
                    </w:tr>
                    <w:tr>
                      <w:tc>
                        <w:tcPr>
                          <w:tcW w:w="3002" w:type="dxa"/>
                        </w:tcPr>
                        <w:p>
                          <w:pPr>
                            <w:jc w:val="center"/>
                            <w:rPr>
                              <w:sz w:val="20"/>
                            </w:rPr>
                          </w:pPr>
                          <w:r>
                            <w:rPr>
                              <w:sz w:val="20"/>
                            </w:rPr>
                            <w:t>17.17. Projekto dalyvio ir (arba) projektą vykdančio personalo vieno asmens kelionės į užsienį, t. y. vykimo į užsienį ir grįžimo iš jo, išlaidos</w:t>
                          </w:r>
                        </w:p>
                      </w:tc>
                      <w:tc>
                        <w:tcPr>
                          <w:tcW w:w="2890" w:type="dxa"/>
                        </w:tcPr>
                        <w:p>
                          <w:pPr>
                            <w:jc w:val="center"/>
                            <w:rPr>
                              <w:sz w:val="20"/>
                            </w:rPr>
                          </w:pPr>
                          <w:r>
                            <w:rPr>
                              <w:color w:val="000000"/>
                              <w:sz w:val="20"/>
                            </w:rPr>
                            <w:t>FĮ-32-07</w:t>
                          </w:r>
                        </w:p>
                      </w:tc>
                      <w:tc>
                        <w:tcPr>
                          <w:tcW w:w="2467" w:type="dxa"/>
                        </w:tcPr>
                        <w:p>
                          <w:pPr>
                            <w:jc w:val="center"/>
                            <w:rPr>
                              <w:sz w:val="20"/>
                            </w:rPr>
                          </w:pPr>
                          <w:r>
                            <w:rPr>
                              <w:sz w:val="20"/>
                            </w:rPr>
                            <w:t>01</w:t>
                          </w:r>
                        </w:p>
                      </w:tc>
                      <w:tc>
                        <w:tcPr>
                          <w:tcW w:w="2976" w:type="dxa"/>
                          <w:vAlign w:val="center"/>
                        </w:tcPr>
                        <w:p>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578" w:type="dxa"/>
                        </w:tcPr>
                        <w:p>
                          <w:pPr>
                            <w:jc w:val="center"/>
                            <w:rPr>
                              <w:sz w:val="20"/>
                            </w:rPr>
                          </w:pPr>
                          <w:r>
                            <w:rPr>
                              <w:bCs/>
                              <w:color w:val="000000"/>
                              <w:sz w:val="20"/>
                            </w:rPr>
                            <w:t>Išlaidų dydis – 1 500 Eur</w:t>
                          </w:r>
                        </w:p>
                      </w:tc>
                    </w:tr>
                    <w:tr>
                      <w:tc>
                        <w:tcPr>
                          <w:tcW w:w="3002" w:type="dxa"/>
                        </w:tcPr>
                        <w:p>
                          <w:pPr>
                            <w:jc w:val="center"/>
                            <w:rPr>
                              <w:sz w:val="20"/>
                            </w:rPr>
                          </w:pPr>
                          <w:r>
                            <w:rPr>
                              <w:sz w:val="20"/>
                            </w:rPr>
                            <w:t>17.18. Fiksuotuosius vieneto įkainius sudaro darbuotojo gyvenamojo ploto nuomos užsienyje išlaidos, dienpinigiai ir kitos su komandiruote susijusios būtinosios išlaidos, patirtos komandiruočių metu</w:t>
                          </w:r>
                        </w:p>
                      </w:tc>
                      <w:tc>
                        <w:tcPr>
                          <w:tcW w:w="2890" w:type="dxa"/>
                        </w:tcPr>
                        <w:p>
                          <w:pPr>
                            <w:jc w:val="center"/>
                            <w:rPr>
                              <w:sz w:val="20"/>
                            </w:rPr>
                          </w:pPr>
                          <w:r>
                            <w:rPr>
                              <w:color w:val="000000"/>
                              <w:sz w:val="20"/>
                            </w:rPr>
                            <w:t>FĮ-34-01</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578" w:type="dxa"/>
                        </w:tcPr>
                        <w:p>
                          <w:pPr>
                            <w:jc w:val="center"/>
                            <w:rPr>
                              <w:sz w:val="20"/>
                            </w:rPr>
                          </w:pPr>
                          <w:r>
                            <w:rPr>
                              <w:bCs/>
                              <w:color w:val="000000"/>
                              <w:sz w:val="20"/>
                            </w:rPr>
                            <w:t>Išlaidų dydis – 134,53 Eur</w:t>
                          </w:r>
                        </w:p>
                      </w:tc>
                    </w:tr>
                    <w:tr>
                      <w:tc>
                        <w:tcPr>
                          <w:tcW w:w="3002" w:type="dxa"/>
                        </w:tcPr>
                        <w:p>
                          <w:pPr>
                            <w:jc w:val="center"/>
                            <w:rPr>
                              <w:sz w:val="20"/>
                            </w:rPr>
                          </w:pPr>
                          <w:r>
                            <w:rPr>
                              <w:sz w:val="20"/>
                            </w:rPr>
                            <w:t>17.19. Fiksuotuosius vieneto įkainius sudaro darbuotojo gyvenamojo ploto nuomos užsienyje išlaidos, dienpinigiai ir kitos su komandiruote susijusios būtinosios išlaidos, patirtos komandiruočių metu</w:t>
                          </w:r>
                        </w:p>
                      </w:tc>
                      <w:tc>
                        <w:tcPr>
                          <w:tcW w:w="2890" w:type="dxa"/>
                        </w:tcPr>
                        <w:p>
                          <w:pPr>
                            <w:jc w:val="center"/>
                            <w:rPr>
                              <w:sz w:val="20"/>
                            </w:rPr>
                          </w:pPr>
                          <w:r>
                            <w:rPr>
                              <w:color w:val="000000"/>
                              <w:sz w:val="20"/>
                            </w:rPr>
                            <w:t>FĮ-34-02</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578" w:type="dxa"/>
                        </w:tcPr>
                        <w:p>
                          <w:pPr>
                            <w:jc w:val="center"/>
                            <w:rPr>
                              <w:sz w:val="20"/>
                            </w:rPr>
                          </w:pPr>
                          <w:r>
                            <w:rPr>
                              <w:bCs/>
                              <w:color w:val="000000"/>
                              <w:sz w:val="20"/>
                            </w:rPr>
                            <w:t>Išlaidų dydis – 153,73 Eur</w:t>
                          </w:r>
                        </w:p>
                      </w:tc>
                    </w:tr>
                    <w:tr>
                      <w:tc>
                        <w:tcPr>
                          <w:tcW w:w="3002" w:type="dxa"/>
                        </w:tcPr>
                        <w:p>
                          <w:pPr>
                            <w:jc w:val="center"/>
                            <w:rPr>
                              <w:sz w:val="20"/>
                            </w:rPr>
                          </w:pPr>
                          <w:r>
                            <w:rPr>
                              <w:sz w:val="20"/>
                            </w:rPr>
                            <w:t>17.20. Fiksuotuosius vieneto įkainius sudaro darbuotojo gyvenamojo ploto nuomos užsienyje išlaidos, dienpinigiai ir kitos su komandiruote susijusios būtinosios išlaidos, patirtos komandiruočių metu</w:t>
                          </w:r>
                        </w:p>
                      </w:tc>
                      <w:tc>
                        <w:tcPr>
                          <w:tcW w:w="2890" w:type="dxa"/>
                        </w:tcPr>
                        <w:p>
                          <w:pPr>
                            <w:jc w:val="center"/>
                            <w:rPr>
                              <w:sz w:val="20"/>
                            </w:rPr>
                          </w:pPr>
                          <w:r>
                            <w:rPr>
                              <w:color w:val="000000"/>
                              <w:sz w:val="20"/>
                            </w:rPr>
                            <w:t>FĮ-34-03</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578" w:type="dxa"/>
                        </w:tcPr>
                        <w:p>
                          <w:pPr>
                            <w:jc w:val="center"/>
                            <w:rPr>
                              <w:sz w:val="20"/>
                            </w:rPr>
                          </w:pPr>
                          <w:r>
                            <w:rPr>
                              <w:bCs/>
                              <w:color w:val="000000"/>
                              <w:sz w:val="20"/>
                            </w:rPr>
                            <w:t>Išlaidų dydis – 175,7 Eur</w:t>
                          </w:r>
                        </w:p>
                      </w:tc>
                    </w:tr>
                    <w:tr>
                      <w:tc>
                        <w:tcPr>
                          <w:tcW w:w="3002" w:type="dxa"/>
                        </w:tcPr>
                        <w:p>
                          <w:pPr>
                            <w:jc w:val="center"/>
                            <w:rPr>
                              <w:sz w:val="20"/>
                            </w:rPr>
                          </w:pPr>
                          <w:r>
                            <w:rPr>
                              <w:sz w:val="20"/>
                            </w:rPr>
                            <w:t>17.21. Fiksuotuosius vieneto įkainius sudaro darbuotojo gyvenamojo ploto nuomos užsienyje išlaidos, dienpinigiai ir kitos su komandiruote susijusios būtinosios išlaidos, patirtos komandiruočių metu</w:t>
                          </w:r>
                        </w:p>
                      </w:tc>
                      <w:tc>
                        <w:tcPr>
                          <w:tcW w:w="2890" w:type="dxa"/>
                        </w:tcPr>
                        <w:p>
                          <w:pPr>
                            <w:jc w:val="center"/>
                            <w:rPr>
                              <w:sz w:val="20"/>
                            </w:rPr>
                          </w:pPr>
                          <w:r>
                            <w:rPr>
                              <w:color w:val="000000"/>
                              <w:sz w:val="20"/>
                            </w:rPr>
                            <w:t>FĮ-34-04</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578" w:type="dxa"/>
                        </w:tcPr>
                        <w:p>
                          <w:pPr>
                            <w:jc w:val="center"/>
                            <w:rPr>
                              <w:sz w:val="20"/>
                            </w:rPr>
                          </w:pPr>
                          <w:r>
                            <w:rPr>
                              <w:bCs/>
                              <w:color w:val="000000"/>
                              <w:sz w:val="20"/>
                            </w:rPr>
                            <w:t>Išlaidų dydis – 188,75 Eur</w:t>
                          </w:r>
                        </w:p>
                      </w:tc>
                    </w:tr>
                    <w:tr>
                      <w:tc>
                        <w:tcPr>
                          <w:tcW w:w="3002" w:type="dxa"/>
                        </w:tcPr>
                        <w:p>
                          <w:pPr>
                            <w:jc w:val="center"/>
                            <w:rPr>
                              <w:sz w:val="20"/>
                            </w:rPr>
                          </w:pPr>
                          <w:r>
                            <w:rPr>
                              <w:sz w:val="20"/>
                            </w:rPr>
                            <w:t>17.22. Fiksuotuosius vieneto įkainius sudaro darbuotojo gyvenamojo ploto nuomos užsienyje išlaidos, dienpinigiai ir kitos su komandiruote susijusios būtinosios išlaidos, patirtos komandiruočių metu</w:t>
                          </w:r>
                        </w:p>
                      </w:tc>
                      <w:tc>
                        <w:tcPr>
                          <w:tcW w:w="2890" w:type="dxa"/>
                        </w:tcPr>
                        <w:p>
                          <w:pPr>
                            <w:jc w:val="center"/>
                            <w:rPr>
                              <w:sz w:val="20"/>
                            </w:rPr>
                          </w:pPr>
                          <w:r>
                            <w:rPr>
                              <w:color w:val="000000"/>
                              <w:sz w:val="20"/>
                            </w:rPr>
                            <w:t>FĮ-34-05</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vienos dienos, praleistos komandiruotėje, fiksuotasis vieneto įkainis (kai komandiruotė trunka dvi ir daugiau dienų), kai vykstama į šalį, nustatytą 5-oje šalių grupėje</w:t>
                          </w:r>
                        </w:p>
                      </w:tc>
                      <w:tc>
                        <w:tcPr>
                          <w:tcW w:w="3578" w:type="dxa"/>
                        </w:tcPr>
                        <w:p>
                          <w:pPr>
                            <w:jc w:val="center"/>
                            <w:rPr>
                              <w:sz w:val="20"/>
                            </w:rPr>
                          </w:pPr>
                          <w:r>
                            <w:rPr>
                              <w:bCs/>
                              <w:color w:val="000000"/>
                              <w:sz w:val="20"/>
                            </w:rPr>
                            <w:t>Išlaidų dydis – 211,55 Eur</w:t>
                          </w:r>
                        </w:p>
                      </w:tc>
                    </w:tr>
                    <w:tr>
                      <w:tc>
                        <w:tcPr>
                          <w:tcW w:w="3002" w:type="dxa"/>
                        </w:tcPr>
                        <w:p>
                          <w:pPr>
                            <w:jc w:val="center"/>
                            <w:rPr>
                              <w:sz w:val="20"/>
                            </w:rPr>
                          </w:pPr>
                          <w:r>
                            <w:rPr>
                              <w:sz w:val="20"/>
                            </w:rPr>
                            <w:t>17.23. Fiksuotuosius vieneto įkainius sudaro darbuotojo dienpinigiai ir kitos su komandiruote susijusios būtinosios išlaidos, patirtos komandiruočių metu</w:t>
                          </w:r>
                        </w:p>
                      </w:tc>
                      <w:tc>
                        <w:tcPr>
                          <w:tcW w:w="2890" w:type="dxa"/>
                        </w:tcPr>
                        <w:p>
                          <w:pPr>
                            <w:jc w:val="center"/>
                            <w:rPr>
                              <w:sz w:val="20"/>
                            </w:rPr>
                          </w:pPr>
                          <w:r>
                            <w:rPr>
                              <w:color w:val="000000"/>
                              <w:sz w:val="20"/>
                            </w:rPr>
                            <w:t>FĮ-34-06</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komandiruotės fiksuotasis vieneto įkainis (kai komandiruotė trunka vieną dieną), kai vykstama į šalį, nustatytą 6-oje grupėje</w:t>
                          </w:r>
                        </w:p>
                      </w:tc>
                      <w:tc>
                        <w:tcPr>
                          <w:tcW w:w="3578" w:type="dxa"/>
                        </w:tcPr>
                        <w:p>
                          <w:pPr>
                            <w:jc w:val="center"/>
                            <w:rPr>
                              <w:sz w:val="20"/>
                            </w:rPr>
                          </w:pPr>
                          <w:r>
                            <w:rPr>
                              <w:bCs/>
                              <w:color w:val="000000"/>
                              <w:sz w:val="20"/>
                            </w:rPr>
                            <w:t>Išlaidų dydis – 78,61 Eur</w:t>
                          </w:r>
                        </w:p>
                      </w:tc>
                    </w:tr>
                    <w:tr>
                      <w:tc>
                        <w:tcPr>
                          <w:tcW w:w="3002" w:type="dxa"/>
                        </w:tcPr>
                        <w:p>
                          <w:pPr>
                            <w:jc w:val="center"/>
                            <w:rPr>
                              <w:sz w:val="20"/>
                            </w:rPr>
                          </w:pPr>
                          <w:r>
                            <w:rPr>
                              <w:sz w:val="20"/>
                            </w:rPr>
                            <w:t>17.24. Fiksuotuosius vieneto įkainius sudaro darbuotojo dienpinigiai ir kitos su komandiruote susijusios būtinosios išlaidos, patirtos komandiruočių metu</w:t>
                          </w:r>
                        </w:p>
                      </w:tc>
                      <w:tc>
                        <w:tcPr>
                          <w:tcW w:w="2890" w:type="dxa"/>
                        </w:tcPr>
                        <w:p>
                          <w:pPr>
                            <w:jc w:val="center"/>
                            <w:rPr>
                              <w:sz w:val="20"/>
                            </w:rPr>
                          </w:pPr>
                          <w:r>
                            <w:rPr>
                              <w:color w:val="000000"/>
                              <w:sz w:val="20"/>
                            </w:rPr>
                            <w:t>FĮ-34-07</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komandiruotės fiksuotasis vieneto įkainis (kai komandiruotė trunka vieną dieną), kai vykstama į šalį, nustatytą 7-oje grupėje</w:t>
                          </w:r>
                        </w:p>
                      </w:tc>
                      <w:tc>
                        <w:tcPr>
                          <w:tcW w:w="3578" w:type="dxa"/>
                        </w:tcPr>
                        <w:p>
                          <w:pPr>
                            <w:jc w:val="center"/>
                            <w:rPr>
                              <w:sz w:val="20"/>
                            </w:rPr>
                          </w:pPr>
                          <w:r>
                            <w:rPr>
                              <w:bCs/>
                              <w:color w:val="000000"/>
                              <w:sz w:val="20"/>
                            </w:rPr>
                            <w:t>Išlaidų dydis – 89,61 Eur</w:t>
                          </w:r>
                        </w:p>
                      </w:tc>
                    </w:tr>
                    <w:tr>
                      <w:tc>
                        <w:tcPr>
                          <w:tcW w:w="3002" w:type="dxa"/>
                        </w:tcPr>
                        <w:p>
                          <w:pPr>
                            <w:jc w:val="center"/>
                            <w:rPr>
                              <w:sz w:val="20"/>
                            </w:rPr>
                          </w:pPr>
                          <w:r>
                            <w:rPr>
                              <w:sz w:val="20"/>
                            </w:rPr>
                            <w:t>17.25. Fiksuotuosius vieneto įkainius sudaro darbuotojo dienpinigiai ir kitos su komandiruote susijusios būtinosios išlaidos, patirtos komandiruočių metu</w:t>
                          </w:r>
                        </w:p>
                      </w:tc>
                      <w:tc>
                        <w:tcPr>
                          <w:tcW w:w="2890" w:type="dxa"/>
                        </w:tcPr>
                        <w:p>
                          <w:pPr>
                            <w:jc w:val="center"/>
                            <w:rPr>
                              <w:sz w:val="20"/>
                            </w:rPr>
                          </w:pPr>
                          <w:r>
                            <w:rPr>
                              <w:color w:val="000000"/>
                              <w:sz w:val="20"/>
                            </w:rPr>
                            <w:t>FĮ-34-08</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komandiruotės fiksuotasis vieneto įkainis (kai komandiruotė trunka vieną dieną), kai vykstama į šalį, nustatytą 8-oje grupėje</w:t>
                          </w:r>
                        </w:p>
                      </w:tc>
                      <w:tc>
                        <w:tcPr>
                          <w:tcW w:w="3578" w:type="dxa"/>
                        </w:tcPr>
                        <w:p>
                          <w:pPr>
                            <w:jc w:val="center"/>
                            <w:rPr>
                              <w:sz w:val="20"/>
                            </w:rPr>
                          </w:pPr>
                          <w:r>
                            <w:rPr>
                              <w:bCs/>
                              <w:color w:val="000000"/>
                              <w:sz w:val="20"/>
                            </w:rPr>
                            <w:t>Išlaidų dydis – 101,11 Eur</w:t>
                          </w:r>
                        </w:p>
                      </w:tc>
                    </w:tr>
                    <w:tr>
                      <w:tc>
                        <w:tcPr>
                          <w:tcW w:w="3002" w:type="dxa"/>
                        </w:tcPr>
                        <w:p>
                          <w:pPr>
                            <w:jc w:val="center"/>
                            <w:rPr>
                              <w:sz w:val="20"/>
                            </w:rPr>
                          </w:pPr>
                          <w:r>
                            <w:rPr>
                              <w:sz w:val="20"/>
                            </w:rPr>
                            <w:t>17.26. Fiksuotuosius vieneto įkainius sudaro darbuotojo dienpinigiai ir kitos su komandiruote susijusios būtinosios išlaidos, patirtos komandiruočių metu</w:t>
                          </w:r>
                        </w:p>
                      </w:tc>
                      <w:tc>
                        <w:tcPr>
                          <w:tcW w:w="2890" w:type="dxa"/>
                        </w:tcPr>
                        <w:p>
                          <w:pPr>
                            <w:jc w:val="center"/>
                            <w:rPr>
                              <w:sz w:val="20"/>
                            </w:rPr>
                          </w:pPr>
                          <w:r>
                            <w:rPr>
                              <w:color w:val="000000"/>
                              <w:sz w:val="20"/>
                            </w:rPr>
                            <w:t>FĮ-34-09</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komandiruotės fiksuotasis vieneto įkainis (kai komandiruotė trunka vieną dieną), kai vykstama į šalį, nustatytą 9-oje grupėje</w:t>
                          </w:r>
                        </w:p>
                      </w:tc>
                      <w:tc>
                        <w:tcPr>
                          <w:tcW w:w="3578" w:type="dxa"/>
                        </w:tcPr>
                        <w:p>
                          <w:pPr>
                            <w:jc w:val="center"/>
                            <w:rPr>
                              <w:sz w:val="20"/>
                            </w:rPr>
                          </w:pPr>
                          <w:r>
                            <w:rPr>
                              <w:bCs/>
                              <w:color w:val="000000"/>
                              <w:sz w:val="20"/>
                            </w:rPr>
                            <w:t>Išlaidų dydis – 108,11 Eur</w:t>
                          </w:r>
                        </w:p>
                      </w:tc>
                    </w:tr>
                    <w:tr>
                      <w:tc>
                        <w:tcPr>
                          <w:tcW w:w="3002" w:type="dxa"/>
                        </w:tcPr>
                        <w:p>
                          <w:pPr>
                            <w:jc w:val="center"/>
                            <w:rPr>
                              <w:sz w:val="20"/>
                            </w:rPr>
                          </w:pPr>
                          <w:r>
                            <w:rPr>
                              <w:sz w:val="20"/>
                            </w:rPr>
                            <w:t>17.27. Fiksuotuosius vieneto įkainius sudaro darbuotojo dienpinigiai ir kitos su komandiruote susijusios būtinosios išlaidos, patirtos komandiruočių metu</w:t>
                          </w:r>
                        </w:p>
                      </w:tc>
                      <w:tc>
                        <w:tcPr>
                          <w:tcW w:w="2890" w:type="dxa"/>
                        </w:tcPr>
                        <w:p>
                          <w:pPr>
                            <w:jc w:val="center"/>
                            <w:rPr>
                              <w:sz w:val="20"/>
                            </w:rPr>
                          </w:pPr>
                          <w:r>
                            <w:rPr>
                              <w:color w:val="000000"/>
                              <w:sz w:val="20"/>
                            </w:rPr>
                            <w:t>FĮ-34-10</w:t>
                          </w:r>
                        </w:p>
                      </w:tc>
                      <w:tc>
                        <w:tcPr>
                          <w:tcW w:w="2467" w:type="dxa"/>
                        </w:tcPr>
                        <w:p>
                          <w:pPr>
                            <w:jc w:val="center"/>
                            <w:rPr>
                              <w:sz w:val="20"/>
                            </w:rPr>
                          </w:pPr>
                          <w:r>
                            <w:rPr>
                              <w:sz w:val="20"/>
                            </w:rPr>
                            <w:t>01</w:t>
                          </w:r>
                        </w:p>
                      </w:tc>
                      <w:tc>
                        <w:tcPr>
                          <w:tcW w:w="2976" w:type="dxa"/>
                        </w:tcPr>
                        <w:p>
                          <w:pPr>
                            <w:jc w:val="center"/>
                            <w:rPr>
                              <w:sz w:val="20"/>
                            </w:rPr>
                          </w:pPr>
                          <w:r>
                            <w:rPr>
                              <w:color w:val="000000"/>
                              <w:sz w:val="20"/>
                            </w:rPr>
                            <w:t>Darbuotojo komandiruotės fiksuotasis vieneto įkainis (kai komandiruotė trunka vieną dieną), kai vykstama į šalį, nustatytą 10-oje grupėje</w:t>
                          </w:r>
                        </w:p>
                      </w:tc>
                      <w:tc>
                        <w:tcPr>
                          <w:tcW w:w="3578" w:type="dxa"/>
                        </w:tcPr>
                        <w:p>
                          <w:pPr>
                            <w:jc w:val="center"/>
                            <w:rPr>
                              <w:sz w:val="20"/>
                            </w:rPr>
                          </w:pPr>
                          <w:r>
                            <w:rPr>
                              <w:bCs/>
                              <w:color w:val="000000"/>
                              <w:sz w:val="20"/>
                            </w:rPr>
                            <w:t>Išlaidų dydis – 119,11 Eur</w:t>
                          </w:r>
                        </w:p>
                      </w:tc>
                    </w:tr>
                  </w:tbl>
                  <w:p>
                    <w:pPr>
                      <w:jc w:val="both"/>
                      <w:rPr>
                        <w:iCs/>
                        <w:sz w:val="22"/>
                        <w:szCs w:val="22"/>
                      </w:rPr>
                    </w:pPr>
                  </w:p>
                </w:tc>
              </w:tr>
            </w:tbl>
            <w:p/>
          </w:sdtContent>
        </w:sdt>
        <w:sdt>
          <w:sdtPr>
            <w:alias w:val="pabaiga"/>
            <w:tag w:val="part_b9377640998d469f8eac69bb354d4a76"/>
            <w:lock w:val="sdtLocked"/>
            <w:richText/>
          </w:sdtPr>
          <w:sdtContent>
            <w:p>
              <w:pPr>
                <w:spacing w:line="276" w:lineRule="auto"/>
                <w:jc w:val="center"/>
                <w:rPr>
                  <w:rFonts w:eastAsia="Calibri"/>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567" w:bottom="426" w:left="1134" w:header="567" w:footer="567" w:gutter="0"/>
                  <w:cols w:space="1296"/>
                  <w:titlePg/>
                  <w:docGrid w:linePitch="360"/>
                </w:sectPr>
              </w:pPr>
              <w:r>
                <w:rPr>
                  <w:rFonts w:eastAsia="Calibri"/>
                  <w:szCs w:val="24"/>
                </w:rPr>
                <w:t>________________</w:t>
              </w:r>
            </w:p>
            <w:p>
              <w:pPr>
                <w:tabs>
                  <w:tab w:val="center" w:pos="4819"/>
                  <w:tab w:val="right" w:pos="9638"/>
                </w:tabs>
              </w:pPr>
            </w:p>
          </w:sdtContent>
        </w:sdt>
      </w:sdtContent>
    </w:sdt>
    <w:sdt>
      <w:sdtPr>
        <w:alias w:val="1 pr."/>
        <w:tag w:val="part_dfa464d9d0374a25bbcac00704294a11"/>
        <w:lock w:val="sdtLocked"/>
        <w:richText/>
      </w:sdtPr>
      <w:sdtContent>
        <w:p>
          <w:pPr>
            <w:ind w:left="9923"/>
            <w:jc w:val="both"/>
            <w:rPr>
              <w:szCs w:val="24"/>
            </w:rPr>
          </w:pPr>
          <w:r>
            <w:rPr>
              <w:szCs w:val="24"/>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pPr>
            <w:ind w:left="9923"/>
            <w:jc w:val="both"/>
            <w:rPr>
              <w:szCs w:val="24"/>
            </w:rPr>
          </w:pPr>
          <w:sdt>
            <w:sdtPr>
              <w:alias w:val="Numeris"/>
              <w:tag w:val="nr_dfa464d9d0374a25bbcac00704294a11"/>
              <w:lock w:val="sdtLocked"/>
              <w:richText/>
            </w:sdtPr>
            <w:sdtContent>
              <w:r>
                <w:rPr>
                  <w:szCs w:val="24"/>
                </w:rPr>
                <w:t>1</w:t>
              </w:r>
            </w:sdtContent>
          </w:sdt>
          <w:r>
            <w:rPr>
              <w:szCs w:val="24"/>
            </w:rPr>
            <w:t xml:space="preserve"> priedas</w:t>
          </w:r>
        </w:p>
        <w:p>
          <w:pPr>
            <w:ind w:left="9923"/>
            <w:jc w:val="both"/>
            <w:rPr>
              <w:rFonts w:eastAsia="Calibri"/>
              <w:b/>
              <w:bCs/>
              <w:szCs w:val="24"/>
            </w:rPr>
          </w:pPr>
        </w:p>
        <w:p>
          <w:pPr>
            <w:jc w:val="center"/>
            <w:rPr>
              <w:rFonts w:eastAsia="Calibri"/>
              <w:b/>
              <w:bCs/>
              <w:szCs w:val="24"/>
            </w:rPr>
          </w:pPr>
          <w:sdt>
            <w:sdtPr>
              <w:alias w:val="Pavadinimas"/>
              <w:tag w:val="title_dfa464d9d0374a25bbcac00704294a11"/>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 xml:space="preserve">Finansavimo šaltinis, pagal kurį finansuojamas projektas: </w:t>
          </w:r>
        </w:p>
        <w:p>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933"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Cs/>
                    <w:color w:val="000000"/>
                    <w:sz w:val="22"/>
                    <w:szCs w:val="22"/>
                  </w:rPr>
                  <w:t xml:space="preserve">(ES) Nr. 2020/852 </w:t>
                </w:r>
                <w:r>
                  <w:rPr>
                    <w:rFonts w:eastAsia="Calibri"/>
                    <w:i/>
                    <w:sz w:val="22"/>
                    <w:szCs w:val="22"/>
                  </w:rPr>
                  <w:t xml:space="preserve">dėl sistemos tvariam investavimui palengvinti sukūrimo, kuriuo iš dalies keičiamas Reglamentas </w:t>
                </w:r>
                <w:r>
                  <w:rPr>
                    <w:rFonts w:eastAsia="Calibri"/>
                    <w:i/>
                    <w:color w:val="000000"/>
                    <w:sz w:val="22"/>
                    <w:szCs w:val="22"/>
                  </w:rPr>
                  <w:t>(ES) Nr. 2019/2088</w:t>
                </w:r>
                <w:r>
                  <w:rPr>
                    <w:rFonts w:eastAsia="Calibri"/>
                    <w:i/>
                    <w:sz w:val="22"/>
                    <w:szCs w:val="22"/>
                  </w:rPr>
                  <w:t>)</w:t>
                </w:r>
              </w:p>
            </w:tc>
            <w:tc>
              <w:tcPr>
                <w:tcW w:w="4678" w:type="dxa"/>
              </w:tcPr>
              <w:p>
                <w:pPr>
                  <w:jc w:val="center"/>
                  <w:rPr>
                    <w:rFonts w:eastAsia="Calibri"/>
                    <w:b/>
                    <w:szCs w:val="24"/>
                  </w:rPr>
                </w:pPr>
                <w:r>
                  <w:rPr>
                    <w:rFonts w:eastAsia="Calibri"/>
                    <w:b/>
                    <w:szCs w:val="24"/>
                  </w:rPr>
                  <w:t>Pagrindimas</w:t>
                </w:r>
              </w:p>
              <w:p>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pPr>
                  <w:jc w:val="center"/>
                  <w:rPr>
                    <w:rFonts w:eastAsia="Calibri"/>
                    <w:i/>
                    <w:sz w:val="20"/>
                  </w:rPr>
                </w:pPr>
                <w:r>
                  <w:rPr>
                    <w:rFonts w:eastAsia="Calibri"/>
                    <w:b/>
                    <w:szCs w:val="24"/>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Cs w:val="24"/>
                  </w:rPr>
                </w:pPr>
                <w:r>
                  <w:rPr>
                    <w:rFonts w:eastAsia="Calibri"/>
                    <w:szCs w:val="24"/>
                  </w:rPr>
                  <w:t>1.</w:t>
                  <w:tab/>
                  <w:t>Klimato kaitos švelninimas</w:t>
                </w:r>
              </w:p>
            </w:tc>
            <w:tc>
              <w:tcPr>
                <w:tcW w:w="4678" w:type="dxa"/>
              </w:tcPr>
              <w:p>
                <w:pPr>
                  <w:jc w:val="both"/>
                  <w:rPr>
                    <w:rFonts w:eastAsia="Calibri"/>
                    <w:bCs/>
                    <w:sz w:val="20"/>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tc>
            <w:tc>
              <w:tcPr>
                <w:tcW w:w="5387" w:type="dxa"/>
              </w:tcPr>
              <w:p>
                <w:pPr>
                  <w:tabs>
                    <w:tab w:val="left" w:pos="589"/>
                  </w:tabs>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2.</w:t>
                  <w:tab/>
                  <w:t>Prisitaikymas prie klimato kaitos</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pPr>
                  <w:jc w:val="both"/>
                  <w:rPr>
                    <w:rFonts w:eastAsia="Calibri"/>
                    <w:bCs/>
                    <w:szCs w:val="24"/>
                  </w:rPr>
                </w:pPr>
                <w:r>
                  <w:rPr>
                    <w:rFonts w:eastAsia="Calibri"/>
                    <w:bCs/>
                    <w:szCs w:val="24"/>
                  </w:rPr>
                  <w:t>Netaikoma.</w:t>
                </w:r>
              </w:p>
            </w:tc>
          </w:tr>
          <w:tr>
            <w:tc>
              <w:tcPr>
                <w:tcW w:w="4933"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pPr>
                  <w:jc w:val="both"/>
                  <w:rPr>
                    <w:rFonts w:eastAsia="Calibri"/>
                    <w:szCs w:val="24"/>
                  </w:rPr>
                </w:pPr>
                <w:r>
                  <w:rPr>
                    <w:rFonts w:eastAsia="Calibri"/>
                    <w:szCs w:val="24"/>
                  </w:rPr>
                  <w:t>Netaikoma.</w:t>
                </w:r>
              </w:p>
            </w:tc>
          </w:tr>
          <w:tr>
            <w:tc>
              <w:tcPr>
                <w:tcW w:w="4933"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apsaugos ir atkūrimo tikslui, todėl reikalavimai dėl pagrindimo dokumentų nenustatomi.</w:t>
                </w:r>
              </w:p>
            </w:tc>
            <w:tc>
              <w:tcPr>
                <w:tcW w:w="5387" w:type="dxa"/>
              </w:tcPr>
              <w:p>
                <w:pPr>
                  <w:jc w:val="both"/>
                  <w:rPr>
                    <w:rFonts w:eastAsia="Calibri"/>
                    <w:szCs w:val="24"/>
                  </w:rPr>
                </w:pPr>
                <w:r>
                  <w:rPr>
                    <w:rFonts w:eastAsia="Calibri"/>
                    <w:szCs w:val="24"/>
                  </w:rPr>
                  <w:t>Netaikoma.</w:t>
                </w:r>
              </w:p>
            </w:tc>
          </w:tr>
        </w:tbl>
        <w:p>
          <w:pPr>
            <w:spacing w:line="276" w:lineRule="auto"/>
            <w:jc w:val="center"/>
            <w:rPr>
              <w:rFonts w:ascii="Calibri" w:eastAsia="Calibri" w:hAnsi="Calibri"/>
              <w:sz w:val="22"/>
              <w:szCs w:val="22"/>
            </w:rPr>
          </w:pPr>
        </w:p>
        <w:p>
          <w:pPr>
            <w:rPr>
              <w:sz w:val="18"/>
              <w:szCs w:val="18"/>
            </w:rPr>
          </w:pPr>
        </w:p>
        <w:sdt>
          <w:sdtPr>
            <w:alias w:val="pabaiga"/>
            <w:tag w:val="part_179d0abdb1924348bd7d2c0b04dc749d"/>
            <w:lock w:val="sdtLocked"/>
            <w:richText/>
          </w:sdtPr>
          <w:sdtContent>
            <w:p>
              <w:pPr>
                <w:spacing w:line="276" w:lineRule="auto"/>
                <w:jc w:val="center"/>
                <w:rPr>
                  <w:rFonts w:ascii="Calibri" w:eastAsia="Calibri" w:hAnsi="Calibri"/>
                  <w:sz w:val="22"/>
                  <w:szCs w:val="22"/>
                </w:rPr>
              </w:pPr>
              <w:r>
                <w:rPr>
                  <w:rFonts w:ascii="Calibri" w:eastAsia="Calibri" w:hAnsi="Calibri"/>
                  <w:sz w:val="22"/>
                  <w:szCs w:val="22"/>
                </w:rPr>
                <w:t>________________</w:t>
              </w:r>
            </w:p>
            <w:p>
              <w:pPr>
                <w:spacing w:line="276" w:lineRule="auto"/>
                <w:jc w:val="center"/>
                <w:rPr>
                  <w:szCs w:val="24"/>
                </w:rPr>
              </w:pPr>
            </w:p>
            <w:p>
              <w:pPr>
                <w:rPr>
                  <w:szCs w:val="24"/>
                </w:rPr>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1276" w:right="567" w:bottom="1134" w:left="1701" w:header="567" w:footer="567" w:gutter="0"/>
                  <w:pgNumType w:start="1"/>
                  <w:cols w:space="1296"/>
                  <w:titlePg/>
                  <w:docGrid w:linePitch="360"/>
                </w:sectPr>
              </w:pPr>
            </w:p>
            <w:p>
              <w:pPr>
                <w:tabs>
                  <w:tab w:val="center" w:pos="4986"/>
                  <w:tab w:val="right" w:pos="9972"/>
                </w:tabs>
              </w:pPr>
            </w:p>
            <w:p>
              <w:pPr>
                <w:tabs>
                  <w:tab w:val="center" w:pos="4819"/>
                  <w:tab w:val="right" w:pos="9638"/>
                </w:tabs>
              </w:pPr>
            </w:p>
            <w:p>
              <w:pPr>
                <w:rPr>
                  <w:szCs w:val="24"/>
                </w:rPr>
              </w:pPr>
            </w:p>
          </w:sdtContent>
        </w:sdt>
      </w:sdtContent>
    </w:sdt>
    <w:sdt>
      <w:sdtPr>
        <w:alias w:val="2 pr."/>
        <w:tag w:val="part_c5090788e1d543d4bbaf37dc69e625a8"/>
        <w:lock w:val="sdtLocked"/>
        <w:richText/>
      </w:sdtPr>
      <w:sdtContent>
        <w:p>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pPr>
            <w:ind w:left="5670"/>
            <w:jc w:val="both"/>
            <w:textAlignment w:val="baseline"/>
            <w:rPr>
              <w:rFonts w:ascii="Segoe UI" w:hAnsi="Segoe UI" w:cs="Segoe UI"/>
              <w:sz w:val="18"/>
              <w:szCs w:val="18"/>
              <w:lang w:eastAsia="lt-LT"/>
            </w:rPr>
          </w:pPr>
          <w:sdt>
            <w:sdtPr>
              <w:alias w:val="Numeris"/>
              <w:tag w:val="nr_c5090788e1d543d4bbaf37dc69e625a8"/>
              <w:lock w:val="sdtLocked"/>
              <w:richText/>
            </w:sdtPr>
            <w:sdtContent>
              <w:r>
                <w:rPr>
                  <w:color w:val="000000"/>
                  <w:sz w:val="22"/>
                  <w:szCs w:val="22"/>
                  <w:lang w:eastAsia="lt-LT"/>
                </w:rPr>
                <w:t>2</w:t>
              </w:r>
            </w:sdtContent>
          </w:sdt>
          <w:r>
            <w:rPr>
              <w:color w:val="000000"/>
              <w:sz w:val="22"/>
              <w:szCs w:val="22"/>
              <w:lang w:eastAsia="lt-LT"/>
            </w:rPr>
            <w:t xml:space="preserve"> priedas</w:t>
          </w:r>
        </w:p>
        <w:p>
          <w:pPr>
            <w:spacing w:line="276" w:lineRule="auto"/>
            <w:jc w:val="both"/>
            <w:rPr>
              <w:rFonts w:eastAsia="Calibri"/>
              <w:szCs w:val="24"/>
            </w:rPr>
          </w:pPr>
        </w:p>
        <w:p>
          <w:pPr>
            <w:rPr>
              <w:sz w:val="18"/>
              <w:szCs w:val="18"/>
            </w:rPr>
          </w:pPr>
        </w:p>
        <w:p>
          <w:pPr>
            <w:spacing w:line="276" w:lineRule="auto"/>
            <w:jc w:val="center"/>
            <w:rPr>
              <w:rFonts w:eastAsia="Calibri"/>
              <w:b/>
              <w:szCs w:val="24"/>
            </w:rPr>
          </w:pPr>
          <w:sdt>
            <w:sdtPr>
              <w:alias w:val="Pavadinimas"/>
              <w:tag w:val="title_c5090788e1d543d4bbaf37dc69e625a8"/>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tc>
              <w:tcPr>
                <w:tcW w:w="5094" w:type="dxa"/>
                <w:shd w:val="clear" w:color="auto" w:fill="auto"/>
              </w:tcPr>
              <w:p>
                <w:pPr>
                  <w:rPr>
                    <w:rFonts w:eastAsia="Calibri"/>
                    <w:b/>
                    <w:sz w:val="22"/>
                    <w:szCs w:val="22"/>
                  </w:rPr>
                </w:pPr>
                <w:r>
                  <w:rPr>
                    <w:rFonts w:eastAsia="Calibri"/>
                    <w:b/>
                    <w:sz w:val="22"/>
                    <w:szCs w:val="22"/>
                  </w:rPr>
                  <w:t>Projekto numeris</w:t>
                </w:r>
              </w:p>
            </w:tc>
            <w:tc>
              <w:tcPr>
                <w:tcW w:w="482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482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482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30"/>
            <w:gridCol w:w="1218"/>
            <w:gridCol w:w="1206"/>
            <w:gridCol w:w="2186"/>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Statytojo / savininko</w:t>
                </w:r>
              </w:p>
              <w:p>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Valdytojo</w:t>
                </w:r>
              </w:p>
              <w:p>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Galutinio naudotojo (galutinio naudos gavėjo – GNG)</w:t>
                </w: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pPr>
            <w:rPr>
              <w:sz w:val="18"/>
              <w:szCs w:val="18"/>
            </w:rPr>
          </w:pPr>
        </w:p>
        <w:p>
          <w:pPr>
            <w:spacing w:line="276" w:lineRule="auto"/>
            <w:jc w:val="center"/>
            <w:rPr>
              <w:sz w:val="22"/>
              <w:szCs w:val="22"/>
            </w:rPr>
          </w:pPr>
        </w:p>
        <w:sdt>
          <w:sdtPr>
            <w:alias w:val="pabaiga"/>
            <w:tag w:val="part_e5b2e63bc04b4991bec2e0d5ecfeba96"/>
            <w:lock w:val="sdtLocked"/>
            <w:richText/>
          </w:sdtPr>
          <w:sdtContent>
            <w:p>
              <w:pPr>
                <w:spacing w:line="276" w:lineRule="auto"/>
                <w:jc w:val="center"/>
                <w:rPr>
                  <w:szCs w:val="24"/>
                </w:rPr>
              </w:pPr>
              <w:r>
                <w:rPr>
                  <w:szCs w:val="24"/>
                </w:rPr>
                <w:t>_______________</w:t>
              </w:r>
            </w:p>
          </w:sdtContent>
        </w:sdt>
      </w:sdtContent>
    </w:sdt>
    <w:sectPr>
      <w:pgSz w:w="11906" w:h="16838"/>
      <w:pgMar w:top="567" w:right="1134" w:bottom="1701" w:left="85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 w:name="Yu Gothic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14</w:t>
    </w:r>
    <w:r>
      <w:rPr>
        <w:szCs w:val="22"/>
      </w:rPr>
      <w:fldChar w:fldCharType="end"/>
    </w:r>
  </w:p>
  <w:p>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BC938FDA-FB1A-472E-9519-18A37B7AA3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customXml" Target="../customXml/item2.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5" Abbr="5 pr." Title="2022–2030 M. PLĖTROS PROGRAMOS VALDYTOJOS LIETUVOS RESPUBLIKOS ŠVIETIMO, MOKSLO IR SPORTO MINISTERIJOS MOKSLO PLĖTROS PROGRAMOS PAŽANGOS PRIEMONĖS NR. 12-001-01-02-01 „STIPRINTI INOVACIJŲ EKOSISTEMAS MOKSLO CENTRUOSE“ PROJEKTŲ FINANSAVIMO SĄLYGŲ APRAŠAS NR. 5" DocPartId="cf1ae99bbf534cc48f5ccb2e9105ceab" PartId="f15ef48a174c4a8fa888dd3aea568416">
    <Part Type="skyrius" Nr="1" Title="VEIKLOS AR POVEIKLĖS, KURIOMS NUSTATOMOS PROJEKTŲ FINANSAVIMO SĄLYGOS IR JŲ RODIKLIAI" DocPartId="19f9eed110bf44338016d715ebf42870" PartId="cc945195c2c24feb9a97e0c590234ae1"/>
    <Part Type="skyrius" Nr="2" Title="SPECIALIEJI FINANSAVIMO REIKALAVIMAI" DocPartId="0342ef4e8df345c882e64f507897e2f3" PartId="cb9e07f8d2bd4286a175ef2b834b814e"/>
    <Part Type="skyrius" Nr="3" Title="IŠLAIDŲ TINKAMUMO FINANSUOTI REIKALAVIMAI" DocPartId="00025a90356c45a18194f691829d3feb" PartId="80ff40dfd3c34702a22b0ce25888ae01"/>
    <Part Type="skyrius" Nr="4" Title="SUPAPRASTINTAI APMOKAMŲ IŠLAIDŲ DYDŽIAI" DocPartId="995b5518e0924eeb99a8fb5f72d70db9" PartId="c3e8865319e34158b1d7be8a1d294058"/>
    <Part Type="pabaiga" DocPartId="595dde3920be445cbb473c33e9085866" PartId="b9377640998d469f8eac69bb354d4a76"/>
  </Part>
  <Part Type="priedas" Nr="1" Abbr="1 pr." Title="PROJEKTO (ĮSKAITANT JUNGTINĮ PROJEKTĄ) ATITIKTIES REIKŠMINGOS ŽALOS NEDARYMO HORIZONTALIAJAM PRINCIPUI VERTINIMO REIKALAVIMŲ APRAŠAS" DocPartId="e31f272d37a74f489712068c28dee6ad" PartId="dfa464d9d0374a25bbcac00704294a11">
    <Part Type="pabaiga" DocPartId="b93940f68d4845c799c6bb48d46d2001" PartId="179d0abdb1924348bd7d2c0b04dc749d"/>
  </Part>
  <Part Type="priedas" Nr="2" Abbr="2 pr." Title="PATIKROS LAPAS DĖL VALSTYBĖS PAGALBOS IR DE MINIMIS PAGALBOS BUVIMO AR NEBUVIMO" DocPartId="a39a1069af1f446a9bdadec6dde1bff6" PartId="c5090788e1d543d4bbaf37dc69e625a8">
    <Part Type="pabaiga" DocPartId="c5160b25d7554d788455dd173ad41907" PartId="e5b2e63bc04b4991bec2e0d5ecfeba96"/>
  </Part>
</Parts>
</file>

<file path=customXml/itemProps1.xml><?xml version="1.0" encoding="utf-8"?>
<ds:datastoreItem xmlns:ds="http://schemas.openxmlformats.org/officeDocument/2006/customXml" ds:itemID="{5388A5E0-D1FA-4F45-8011-0868C7E520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75912FF3-10A7-4541-B235-111B131A9E97}">
  <ds:schemaRefs>
    <ds:schemaRef ds:uri="http://schemas.openxmlformats.org/officeDocument/2006/bibliography"/>
  </ds:schemaRefs>
</ds:datastoreItem>
</file>

<file path=customXml/itemProps5.xml><?xml version="1.0" encoding="utf-8"?>
<ds:datastoreItem xmlns:ds="http://schemas.openxmlformats.org/officeDocument/2006/customXml" ds:itemID="{A1117E1A-3AA5-4497-A560-35AEDF51078D}">
  <ds:schemaRefs>
    <ds:schemaRef ds:uri="http://schemas.openxmlformats.org/officeDocument/2006/bibliography"/>
  </ds:schemaRefs>
</ds:datastoreItem>
</file>

<file path=customXml/itemProps6.xml><?xml version="1.0" encoding="utf-8"?>
<ds:datastoreItem xmlns:ds="http://schemas.openxmlformats.org/officeDocument/2006/customXml" ds:itemID="{F62C6551-87DD-4165-9FAE-C5BBB56120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6302</Words>
  <Characters>44055</Characters>
  <Application>Microsoft Office Word</Application>
  <DocSecurity>4</DocSecurity>
  <Lines>1159</Lines>
  <Paragraphs>479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a784a918-1a3d-4464-9933-5211b79652cc</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49878</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2025-04-24T09:35:00Z</dcterms:created>
  <lastModifiedBy>adlibuser</lastModifiedBy>
  <dcterms:modified xsi:type="dcterms:W3CDTF">2025-04-24T09:35:00Z</dcterms:modified>
  <revision>2</revision>
  <dc:title>a784a918-1a3d-4464-9933-5211b79652cc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