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3fc4c6985aa74c11b8e5aaacc74ba7c9"/>
        <w:lock w:val="sdtLocked"/>
        <w:richText/>
      </w:sdtPr>
      <w:sdtContent>
        <w:p>
          <w:pPr>
            <w:tabs>
              <w:tab w:val="center" w:pos="4986"/>
              <w:tab w:val="right" w:pos="9972"/>
            </w:tabs>
          </w:pPr>
        </w:p>
        <w:p>
          <w:pPr>
            <w:ind w:left="8505"/>
            <w:jc w:val="both"/>
          </w:pPr>
          <w:r>
            <w:t>4 priedo „2021–2030 m. plėtros programos valdytojos Lietuvos Respublikos švietimo, mokslo ir sporto ministerijos švietimo plėtros programos pažangos priemonės Nr. 12-003-03-04-03 „Sukurti rinkos poreikius atliepiančią profesinio ugdymo sistemą“ projektų finansavimo sąlygų aprašo Nr. 4“</w:t>
          </w:r>
        </w:p>
        <w:p>
          <w:pPr>
            <w:ind w:left="8505"/>
            <w:jc w:val="both"/>
          </w:pPr>
          <w:r>
            <w:t>priedas</w:t>
          </w:r>
        </w:p>
        <w:p>
          <w:pPr>
            <w:jc w:val="center"/>
            <w:rPr>
              <w:i/>
              <w:iCs/>
              <w:szCs w:val="24"/>
            </w:rPr>
          </w:pPr>
        </w:p>
        <w:p>
          <w:pPr>
            <w:jc w:val="center"/>
            <w:rPr>
              <w:rFonts w:eastAsia="Calibri"/>
              <w:b/>
              <w:bCs/>
              <w:szCs w:val="24"/>
            </w:rPr>
          </w:pPr>
        </w:p>
        <w:p>
          <w:pPr>
            <w:jc w:val="center"/>
            <w:rPr>
              <w:rFonts w:eastAsia="Calibri"/>
              <w:b/>
              <w:bCs/>
              <w:szCs w:val="24"/>
            </w:rPr>
          </w:pPr>
          <w:sdt>
            <w:sdtPr>
              <w:alias w:val="Pavadinimas"/>
              <w:tag w:val="title_3fc4c6985aa74c11b8e5aaacc74ba7c9"/>
              <w:lock w:val="sdtLocked"/>
              <w:richText/>
            </w:sdtPr>
            <w:sdtContent>
              <w:r>
                <w:rPr>
                  <w:rFonts w:eastAsia="Calibri"/>
                  <w:b/>
                  <w:bCs/>
                  <w:szCs w:val="24"/>
                </w:rPr>
                <w:t>PROJEKTO (ĮSKAITANT JUNGTINĮ PROJEKTĄ)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3"/>
            <w:gridCol w:w="4634"/>
            <w:gridCol w:w="5332"/>
          </w:tblGrid>
          <w:tr>
            <w:tc>
              <w:tcPr>
                <w:tcW w:w="4933" w:type="dxa"/>
              </w:tcPr>
              <w:p>
                <w:pPr>
                  <w:jc w:val="center"/>
                  <w:rPr>
                    <w:rFonts w:eastAsia="Calibri"/>
                    <w:b/>
                    <w:szCs w:val="24"/>
                  </w:rPr>
                </w:pPr>
                <w:r>
                  <w:rPr>
                    <w:rFonts w:eastAsia="Calibri"/>
                    <w:b/>
                    <w:szCs w:val="24"/>
                  </w:rPr>
                  <w:t>Aplinkos tikslai</w:t>
                </w:r>
              </w:p>
              <w:p>
                <w:pPr>
                  <w:jc w:val="both"/>
                  <w:rPr>
                    <w:rFonts w:eastAsia="Calibri"/>
                    <w:b/>
                    <w:szCs w:val="24"/>
                  </w:rPr>
                </w:pPr>
                <w:r>
                  <w:rPr>
                    <w:rFonts w:eastAsia="Calibri"/>
                    <w:szCs w:val="24"/>
                  </w:rPr>
                  <w:t>(pagal 2020 m. birželio 18 d. Europos Parlamento ir Tarybos reglamentą (ES) Nr. 2020/852 dėl sistemos tvariam investavimui palengvinti sukūrimo, kuriuo iš dalies keičiamas Reglamentas (ES) Nr. 2019/2088)</w:t>
                </w:r>
              </w:p>
            </w:tc>
            <w:tc>
              <w:tcPr>
                <w:tcW w:w="4678" w:type="dxa"/>
              </w:tcPr>
              <w:p>
                <w:pPr>
                  <w:jc w:val="center"/>
                  <w:rPr>
                    <w:rFonts w:eastAsia="Calibri"/>
                    <w:b/>
                    <w:szCs w:val="24"/>
                  </w:rPr>
                </w:pPr>
                <w:r>
                  <w:rPr>
                    <w:rFonts w:eastAsia="Calibri"/>
                    <w:b/>
                    <w:szCs w:val="24"/>
                  </w:rPr>
                  <w:t>Pagrindimas</w:t>
                </w:r>
              </w:p>
              <w:p>
                <w:pPr>
                  <w:jc w:val="both"/>
                  <w:rPr>
                    <w:rFonts w:eastAsia="Calibri"/>
                    <w:b/>
                    <w:szCs w:val="24"/>
                  </w:rPr>
                </w:pPr>
                <w:r>
                  <w:rPr>
                    <w:rFonts w:eastAsia="Calibri"/>
                    <w:bCs/>
                    <w:szCs w:val="24"/>
                  </w:rPr>
                  <w:t>(remiantis priemonių (kai finansavimo šaltinis EGADP) arba veiksmų (veiklų) (kai finansavimo šaltinis ESIFP) vertinimo klausimynais, nurodykite tik tą klausimyno vertinimo dalį, kuri aktuali finansuotinai veiklai)</w:t>
                </w:r>
              </w:p>
            </w:tc>
            <w:tc>
              <w:tcPr>
                <w:tcW w:w="5387" w:type="dxa"/>
              </w:tcPr>
              <w:p>
                <w:pPr>
                  <w:jc w:val="center"/>
                  <w:rPr>
                    <w:rFonts w:eastAsia="Calibri"/>
                    <w:sz w:val="20"/>
                  </w:rPr>
                </w:pPr>
                <w:r>
                  <w:rPr>
                    <w:rFonts w:eastAsia="Calibri"/>
                    <w:b/>
                    <w:szCs w:val="24"/>
                  </w:rPr>
                  <w:t>Pagrindimo dokumentai</w:t>
                </w:r>
              </w:p>
              <w:p>
                <w:pPr>
                  <w:jc w:val="both"/>
                  <w:rPr>
                    <w:rFonts w:eastAsia="Calibri"/>
                    <w:szCs w:val="24"/>
                  </w:rPr>
                </w:pPr>
                <w:r>
                  <w:rPr>
                    <w:rFonts w:eastAsia="Calibri"/>
                    <w:szCs w:val="24"/>
                  </w:rPr>
                  <w:t>(nurodomas dokumentas, kuris bus vertinamas siekiant įvertinti projekto atitiktį aplinkos tikslams, arba pateikiama šią atitiktį pagrindžianti informacija)</w:t>
                </w:r>
              </w:p>
            </w:tc>
          </w:tr>
          <w:tr>
            <w:tc>
              <w:tcPr>
                <w:tcW w:w="4933" w:type="dxa"/>
              </w:tcPr>
              <w:p>
                <w:pPr>
                  <w:tabs>
                    <w:tab w:val="left" w:pos="289"/>
                  </w:tabs>
                  <w:ind w:firstLine="5"/>
                  <w:jc w:val="both"/>
                  <w:rPr>
                    <w:rFonts w:eastAsia="Calibri"/>
                    <w:szCs w:val="24"/>
                  </w:rPr>
                </w:pPr>
                <w:r>
                  <w:rPr>
                    <w:rFonts w:eastAsia="Calibri"/>
                    <w:szCs w:val="24"/>
                  </w:rPr>
                  <w:t>1.</w:t>
                  <w:tab/>
                  <w:t>Klimato kaitos švelninimas</w:t>
                </w:r>
              </w:p>
            </w:tc>
            <w:tc>
              <w:tcPr>
                <w:tcW w:w="4678" w:type="dxa"/>
              </w:tcPr>
              <w:p>
                <w:pPr>
                  <w:jc w:val="both"/>
                  <w:rPr>
                    <w:rFonts w:eastAsia="Calibri"/>
                    <w:szCs w:val="24"/>
                  </w:rPr>
                </w:pPr>
                <w:r>
                  <w:rPr>
                    <w:rFonts w:eastAsia="Calibri"/>
                    <w:szCs w:val="24"/>
                  </w:rPr>
                  <w:t xml:space="preserve">Vertinama, kad planuojama įgyvendinti priemonė neturi jokio numatomo poveikio šiam aplinkos tikslui arba numatomas jos poveikis yra nereikšmingas, t. y. neplanuojama, kad įgyvendinama priemonė prisidės prie išmetamų šiltnamio efektą sukeliančių dujų (ŠESD) išsiskyrimo. Planuojama priemonės veikla (pagal savo pobūdį) neturi jokio tiesioginio ar netiesioginio neigiamo poveikio šiam aplinkos tikslui. Bus teikiama parama profesinio mokymo įstaigoms, kurios vykdys mokinių mokymą pagal eksperimentines profesinio mokymo programas. Ši veikla neturės jokio neigiamo tiesioginio ar netiesioginio poveikio klimato kaitos švelninimo tikslui, nes nenumatoma, kad įgyvendinant veiklas galėtų būti ŠESD išsiskyrimas.    </w:t>
                </w:r>
              </w:p>
            </w:tc>
            <w:tc>
              <w:tcPr>
                <w:tcW w:w="5387" w:type="dxa"/>
              </w:tcPr>
              <w:p>
                <w:pPr>
                  <w:tabs>
                    <w:tab w:val="left" w:pos="589"/>
                  </w:tabs>
                  <w:jc w:val="both"/>
                  <w:rPr>
                    <w:rFonts w:eastAsia="Calibri"/>
                    <w:b/>
                    <w:szCs w:val="24"/>
                  </w:rPr>
                </w:pPr>
                <w:r>
                  <w:rPr>
                    <w:rFonts w:eastAsia="Calibri"/>
                    <w:szCs w:val="24"/>
                  </w:rPr>
                  <w:t xml:space="preserve">Netaikoma, nes priemonės veikla apima ir yra nukreipta į mokinių mokymą pagal eksperimentines profesinio mokymo programas, kurios suprantamos kaip IV kvalifikacijos lygiui įgyti skirtos formaliojo profesinio mokymo programos, įgyvendinamos kartu su pagrindinio ugdymo programos antrąja dalimi ir vidurinio ugdymo programa (toliau – eksperimentinės profesinio mokymo programos). </w:t>
                </w:r>
              </w:p>
            </w:tc>
          </w:tr>
          <w:tr>
            <w:tc>
              <w:tcPr>
                <w:tcW w:w="4933" w:type="dxa"/>
              </w:tcPr>
              <w:p>
                <w:pPr>
                  <w:tabs>
                    <w:tab w:val="left" w:pos="289"/>
                  </w:tabs>
                  <w:ind w:firstLine="5"/>
                  <w:jc w:val="both"/>
                  <w:rPr>
                    <w:rFonts w:eastAsia="Calibri"/>
                    <w:szCs w:val="24"/>
                  </w:rPr>
                </w:pPr>
                <w:r>
                  <w:rPr>
                    <w:rFonts w:eastAsia="Calibri"/>
                    <w:szCs w:val="24"/>
                  </w:rPr>
                  <w:t>2.</w:t>
                  <w:tab/>
                  <w:t>Prisitaikymas prie klimato kaitos</w:t>
                </w:r>
              </w:p>
            </w:tc>
            <w:tc>
              <w:tcPr>
                <w:tcW w:w="4678" w:type="dxa"/>
              </w:tcPr>
              <w:p>
                <w:pPr>
                  <w:jc w:val="both"/>
                  <w:rPr>
                    <w:rFonts w:eastAsia="Calibri"/>
                  </w:rPr>
                </w:pPr>
                <w:r>
                  <w:rPr>
                    <w:rFonts w:eastAsia="Calibri"/>
                  </w:rPr>
                  <w:t>Vertinama, kad planuojama įgyvendinti priemonė neturi jokio numatomo poveikio šiam aplinkos tikslui arba numatomas jos poveikis yra nereikšmingas, t. y. neplanuojama, kad įgyvendinama priemonė didina neigiamą dabartinio ir ateities klimato poveikį ar daro neigiamą poveikį žmonėms, gamtai ar turtui: priemonės veiklos (pagal savo pobūdį) neturi jokio tiesioginio ar netiesioginio neigiamo poveikio šiam aplinkos tikslui.</w:t>
                </w:r>
              </w:p>
            </w:tc>
            <w:tc>
              <w:tcPr>
                <w:tcW w:w="5387" w:type="dxa"/>
              </w:tcPr>
              <w:p>
                <w:pPr>
                  <w:tabs>
                    <w:tab w:val="left" w:pos="589"/>
                  </w:tabs>
                  <w:jc w:val="both"/>
                  <w:rPr>
                    <w:rFonts w:eastAsia="Calibri"/>
                    <w:b/>
                    <w:bCs/>
                  </w:rPr>
                </w:pPr>
                <w:r>
                  <w:rPr>
                    <w:rFonts w:eastAsia="Calibri"/>
                    <w:szCs w:val="24"/>
                  </w:rPr>
                  <w:t xml:space="preserve">Netaikoma, nes priemonės veikla apima ir yra nukreipta į mokinių mokymą pagal eksperimentines profesinio mokymo programas. </w:t>
                </w:r>
              </w:p>
            </w:tc>
          </w:tr>
          <w:tr>
            <w:tc>
              <w:tcPr>
                <w:tcW w:w="4933" w:type="dxa"/>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4678" w:type="dxa"/>
              </w:tcPr>
              <w:p>
                <w:pPr>
                  <w:jc w:val="both"/>
                  <w:rPr>
                    <w:rFonts w:eastAsia="Calibri"/>
                    <w:b/>
                    <w:bCs/>
                  </w:rPr>
                </w:pPr>
                <w:r>
                  <w:rPr>
                    <w:rFonts w:eastAsia="Calibri"/>
                  </w:rPr>
                  <w:t>Vertinama, kad planuojama įgyvendinti priemonė neturi jokio numatomo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jokia infrastruktūra, kuri galėtų turėti poveikį tausiam vandens ir jūrų išteklių naudojimui: veiklos (pagal savo pobūdį) neturi jokio tiesioginio ar netiesioginio neigiamo poveikio šiam aplinkos tikslui.</w:t>
                </w:r>
                <w:r>
                  <w:rPr>
                    <w:rFonts w:eastAsia="Calibri"/>
                    <w:b/>
                    <w:bCs/>
                  </w:rPr>
                  <w:t xml:space="preserve">  </w:t>
                </w:r>
              </w:p>
            </w:tc>
            <w:tc>
              <w:tcPr>
                <w:tcW w:w="5387" w:type="dxa"/>
              </w:tcPr>
              <w:p>
                <w:pPr>
                  <w:tabs>
                    <w:tab w:val="left" w:pos="589"/>
                  </w:tabs>
                  <w:jc w:val="both"/>
                  <w:rPr>
                    <w:rFonts w:eastAsia="Calibri"/>
                  </w:rPr>
                </w:pPr>
                <w:r>
                  <w:rPr>
                    <w:rFonts w:eastAsia="Calibri"/>
                    <w:szCs w:val="24"/>
                  </w:rPr>
                  <w:t>Netaikoma, nes priemonės veikla apima ir yra nukreipta į mokinių mokymą pagal eksperimentines profesinio mokymo programas.</w:t>
                </w:r>
              </w:p>
            </w:tc>
          </w:tr>
          <w:tr>
            <w:tc>
              <w:tcPr>
                <w:tcW w:w="4933" w:type="dxa"/>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78" w:type="dxa"/>
              </w:tcPr>
              <w:p>
                <w:pPr>
                  <w:jc w:val="both"/>
                  <w:rPr>
                    <w:rFonts w:eastAsia="Calibri"/>
                  </w:rPr>
                </w:pPr>
                <w:r>
                  <w:rPr>
                    <w:rFonts w:eastAsia="Calibri"/>
                  </w:rPr>
                  <w:t xml:space="preserve">Vertinama, kad planuojama įgyvendinti  priemonė neturi jokio numatomo poveikio šiam aplinkos tikslui arba numatomas jos poveikis yra nereikšmingas, kadangi įgyvendinant reformas ir investicijas nenumatoma kurti infrastruktūros, kuri daro žalą žiedinei ekonomikai, įskaitant atliekų prevenciją ir perdirbimą: veiklos (pagal savo pobūdį) neturi jokio tiesioginio ar netiesioginio neigiamo poveikio šiam aplinkos tikslui.  </w:t>
                </w:r>
              </w:p>
            </w:tc>
            <w:tc>
              <w:tcPr>
                <w:tcW w:w="5387" w:type="dxa"/>
              </w:tcPr>
              <w:p>
                <w:pPr>
                  <w:tabs>
                    <w:tab w:val="left" w:pos="589"/>
                  </w:tabs>
                  <w:jc w:val="both"/>
                  <w:rPr>
                    <w:rFonts w:eastAsia="Calibri"/>
                  </w:rPr>
                </w:pPr>
                <w:r>
                  <w:rPr>
                    <w:rFonts w:eastAsia="Calibri"/>
                    <w:szCs w:val="24"/>
                  </w:rPr>
                  <w:t>Netaikoma, nes priemonės veikla apima ir yra nukreipta į mokinių mokymą pagal eksperimentines profesinio mokymo programas.</w:t>
                </w:r>
              </w:p>
            </w:tc>
          </w:tr>
          <w:tr>
            <w:tc>
              <w:tcPr>
                <w:tcW w:w="4933" w:type="dxa"/>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78" w:type="dxa"/>
              </w:tcPr>
              <w:p>
                <w:pPr>
                  <w:jc w:val="both"/>
                  <w:rPr>
                    <w:rFonts w:eastAsia="Calibri"/>
                  </w:rPr>
                </w:pPr>
                <w:r>
                  <w:rPr>
                    <w:rFonts w:eastAsia="Calibri"/>
                  </w:rPr>
                  <w:t xml:space="preserve">Vertinama, kad planuojama įgyvendinti priemonė neturi jokio numatomo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387" w:type="dxa"/>
              </w:tcPr>
              <w:p>
                <w:pPr>
                  <w:tabs>
                    <w:tab w:val="left" w:pos="589"/>
                  </w:tabs>
                  <w:jc w:val="both"/>
                  <w:rPr>
                    <w:rFonts w:eastAsia="Calibri"/>
                  </w:rPr>
                </w:pPr>
                <w:r>
                  <w:rPr>
                    <w:rFonts w:eastAsia="Calibri"/>
                    <w:szCs w:val="24"/>
                  </w:rPr>
                  <w:t>Netaikoma, nes priemonės veikla apima ir yra nukreipta į mokinių mokymą pagal eksperimentines profesinio mokymo programas.</w:t>
                </w:r>
              </w:p>
            </w:tc>
          </w:tr>
          <w:tr>
            <w:tc>
              <w:tcPr>
                <w:tcW w:w="4933" w:type="dxa"/>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78" w:type="dxa"/>
              </w:tcPr>
              <w:p>
                <w:pPr>
                  <w:jc w:val="both"/>
                  <w:rPr>
                    <w:rFonts w:eastAsia="Calibri"/>
                  </w:rPr>
                </w:pPr>
                <w:r>
                  <w:rPr>
                    <w:rFonts w:eastAsia="Calibri"/>
                  </w:rPr>
                  <w:t xml:space="preserve">Vertinama, kad planuojama įgyvendinti priemonė neturi jokio numatomo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w:t>
                </w:r>
              </w:p>
            </w:tc>
            <w:tc>
              <w:tcPr>
                <w:tcW w:w="5387" w:type="dxa"/>
              </w:tcPr>
              <w:p>
                <w:pPr>
                  <w:tabs>
                    <w:tab w:val="left" w:pos="589"/>
                  </w:tabs>
                  <w:jc w:val="both"/>
                  <w:rPr>
                    <w:rFonts w:eastAsia="Calibri"/>
                  </w:rPr>
                </w:pPr>
                <w:r>
                  <w:rPr>
                    <w:rFonts w:eastAsia="Calibri"/>
                    <w:szCs w:val="24"/>
                  </w:rPr>
                  <w:t>Netaikoma, nes priemonės veikla apima ir yra nukreipta į mokinių mokymą pagal eksperimentines profesinio mokymo programas.</w:t>
                </w:r>
              </w:p>
            </w:tc>
          </w:tr>
        </w:tbl>
        <w:p/>
        <w:sdt>
          <w:sdtPr>
            <w:alias w:val="pabaiga"/>
            <w:tag w:val="part_365d36d051154f34afe9e9d1243d784d"/>
            <w:lock w:val="sdtLocked"/>
            <w:richText/>
          </w:sdtPr>
          <w:sdtContent>
            <w:p>
              <w:pPr>
                <w:spacing w:line="276" w:lineRule="auto"/>
                <w:jc w:val="center"/>
                <w:rPr>
                  <w:sz w:val="22"/>
                  <w:szCs w:val="22"/>
                  <w:u w:val="single"/>
                </w:rPr>
              </w:pPr>
              <w:r>
                <w:rPr>
                  <w:rFonts w:ascii="Calibri" w:eastAsia="Calibri" w:hAnsi="Calibri"/>
                  <w:sz w:val="22"/>
                  <w:szCs w:val="22"/>
                  <w:u w:val="single"/>
                </w:rPr>
                <w:t>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709" w:right="567" w:bottom="709"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p>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E80C0019-BD25-4B01-85D9-8090027AFAF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Abbr="pr." Title="PROJEKTO (ĮSKAITANT JUNGTINĮ PROJEKTĄ) ATITIKTIES REIKŠMINGOS ŽALOS NEDARYMO HORIZONTALIAJAM PRINCIPUI VERTINIMO REIKALAVIMŲ APRAŠAS" DocPartId="28f5ce3f37f9475eb0319a3c07db2e22" PartId="3fc4c6985aa74c11b8e5aaacc74ba7c9">
    <Part Type="pabaiga" DocPartId="9ba48f2077214ba8924c8e43c31ad89f" PartId="365d36d051154f34afe9e9d1243d784d"/>
  </Part>
</Parts>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91F5236-34C2-4A94-897D-3995730214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5FCE61A-BB07-4AE3-94E7-259CD926A5EB}">
  <ds:schemaRefs>
    <ds:schemaRef ds:uri="http://schemas.openxmlformats.org/officeDocument/2006/bibliography"/>
  </ds:schemaRefs>
</ds:datastoreItem>
</file>

<file path=customXml/itemProps5.xml><?xml version="1.0" encoding="utf-8"?>
<ds:datastoreItem xmlns:ds="http://schemas.openxmlformats.org/officeDocument/2006/customXml" ds:itemID="{72ABCFCB-5F41-4F03-8B06-2F5DDDA5BA2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714</Words>
  <Characters>5006</Characters>
  <Application>Microsoft Office Word</Application>
  <DocSecurity>4</DocSecurity>
  <Lines>147</Lines>
  <Paragraphs>35</Paragraphs>
  <ScaleCrop>false</ScaleCrop>
  <HeadingPairs>
    <vt:vector size="2" baseType="variant">
      <vt:variant>
        <vt:lpstr>Pavadinimas</vt:lpstr>
      </vt:variant>
      <vt:variant>
        <vt:i4>1</vt:i4>
      </vt:variant>
    </vt:vector>
  </HeadingPairs>
  <TitlesOfParts>
    <vt:vector size="1" baseType="lpstr">
      <vt:lpstr>c4f65097-4682-404c-b654-8c4cb4c3adbd</vt:lpstr>
    </vt:vector>
  </TitlesOfParts>
  <Company>HP Inc.</Company>
  <LinksUpToDate>false</LinksUpToDate>
  <CharactersWithSpaces>5685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2025-04-09T04:39:00Z</dcterms:created>
  <dc:creator>Virginija Levinskienė</dc:creator>
  <lastModifiedBy>adlibuser</lastModifiedBy>
  <dcterms:modified xsi:type="dcterms:W3CDTF">2025-04-09T04:39:00Z</dcterms:modified>
  <revision>2</revision>
  <dc:title>c4f65097-4682-404c-b654-8c4cb4c3adbd</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Koreguota vizavimo metu</vt:lpwstr>
  </property>
</Properties>
</file>