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2 pr."/>
        <w:tag w:val="part_c960ed033c75454fbcb08c451761e44c"/>
        <w:lock w:val="sdtLocked"/>
        <w:richText/>
      </w:sdtPr>
      <w:sdtContent>
        <w:p>
          <w:pPr>
            <w:tabs>
              <w:tab w:val="center" w:pos="4986"/>
              <w:tab w:val="right" w:pos="9972"/>
            </w:tabs>
            <w:rPr>
              <w:rFonts w:ascii="Calibri" w:eastAsia="Calibri" w:hAnsi="Calibri"/>
              <w:sz w:val="22"/>
              <w:szCs w:val="22"/>
              <w:lang w:val="en-US"/>
            </w:rPr>
          </w:pPr>
        </w:p>
        <w:p>
          <w:pPr>
            <w:ind w:left="4962"/>
            <w:jc w:val="both"/>
            <w:textAlignment w:val="baseline"/>
            <w:rPr>
              <w:sz w:val="23"/>
              <w:szCs w:val="23"/>
              <w:lang w:eastAsia="lt-LT"/>
            </w:rPr>
          </w:pPr>
          <w:r>
            <w:rPr>
              <w:sz w:val="23"/>
              <w:szCs w:val="23"/>
              <w:lang w:eastAsia="lt-LT"/>
            </w:rPr>
            <w:t xml:space="preserve">2022–2030 metų sveikatos priežiūros kokybės ir efektyvumo didinimo plėtros programos pažangos priemonės Nr. 11-002-02-11-01 „Gerinti sveikatos priežiūros paslaugų kokybę ir prieinamumą“ projekto finansavimo sąlygų aprašo Nr. 3 </w:t>
          </w:r>
        </w:p>
        <w:p>
          <w:pPr>
            <w:ind w:left="4962"/>
            <w:jc w:val="both"/>
            <w:textAlignment w:val="baseline"/>
            <w:rPr>
              <w:color w:val="000000"/>
              <w:sz w:val="22"/>
              <w:szCs w:val="22"/>
              <w:lang w:eastAsia="lt-LT"/>
            </w:rPr>
          </w:pPr>
          <w:sdt>
            <w:sdtPr>
              <w:alias w:val="Numeris"/>
              <w:tag w:val="nr_c960ed033c75454fbcb08c451761e44c"/>
              <w:lock w:val="sdtLocked"/>
              <w:richText/>
            </w:sdtPr>
            <w:sdtContent>
              <w:r>
                <w:rPr>
                  <w:color w:val="000000"/>
                  <w:sz w:val="22"/>
                  <w:szCs w:val="22"/>
                  <w:lang w:eastAsia="lt-LT"/>
                </w:rPr>
                <w:t>3.2</w:t>
              </w:r>
            </w:sdtContent>
          </w:sdt>
          <w:r>
            <w:rPr>
              <w:color w:val="000000"/>
              <w:sz w:val="22"/>
              <w:szCs w:val="22"/>
              <w:lang w:eastAsia="lt-LT"/>
            </w:rPr>
            <w:t xml:space="preserve"> priedas</w:t>
          </w:r>
        </w:p>
        <w:p>
          <w:pPr>
            <w:ind w:left="4678" w:hanging="142"/>
            <w:jc w:val="center"/>
            <w:textAlignment w:val="baseline"/>
            <w:rPr>
              <w:rFonts w:ascii="Segoe UI" w:hAnsi="Segoe UI" w:cs="Segoe UI"/>
              <w:sz w:val="18"/>
              <w:szCs w:val="18"/>
              <w:lang w:eastAsia="lt-LT"/>
            </w:rPr>
          </w:pPr>
        </w:p>
        <w:p>
          <w:pPr>
            <w:spacing w:line="276" w:lineRule="auto"/>
            <w:jc w:val="center"/>
            <w:rPr>
              <w:rFonts w:eastAsia="Calibri"/>
              <w:b/>
              <w:szCs w:val="24"/>
            </w:rPr>
          </w:pPr>
          <w:sdt>
            <w:sdtPr>
              <w:alias w:val="Pavadinimas"/>
              <w:tag w:val="title_c960ed033c75454fbcb08c451761e44c"/>
              <w:lock w:val="sdtLocked"/>
              <w:richText/>
            </w:sdtPr>
            <w:sdtContent>
              <w:r>
                <w:rPr>
                  <w:rFonts w:eastAsia="Calibri"/>
                  <w:b/>
                  <w:szCs w:val="24"/>
                </w:rPr>
                <w:t xml:space="preserve">(Patikros lapo dėl valstybės pagalbos ir </w:t>
              </w:r>
              <w:r>
                <w:rPr>
                  <w:rFonts w:eastAsia="Calibri"/>
                  <w:b/>
                  <w:i/>
                  <w:szCs w:val="24"/>
                </w:rPr>
                <w:t>de minimis</w:t>
              </w:r>
              <w:r>
                <w:rPr>
                  <w:rFonts w:eastAsia="Calibri"/>
                  <w:b/>
                  <w:szCs w:val="24"/>
                </w:rPr>
                <w:t xml:space="preserve"> pagalbos buvimo ar nebuvimo forma)</w:t>
              </w:r>
            </w:sdtContent>
          </w:sdt>
        </w:p>
        <w:p>
          <w:pPr>
            <w:rPr>
              <w:sz w:val="18"/>
              <w:szCs w:val="18"/>
            </w:rPr>
          </w:pPr>
        </w:p>
        <w:p>
          <w:pPr>
            <w:spacing w:line="276" w:lineRule="auto"/>
            <w:jc w:val="center"/>
            <w:rPr>
              <w:rFonts w:eastAsia="Calibri"/>
              <w:szCs w:val="24"/>
            </w:rPr>
          </w:pPr>
        </w:p>
        <w:p>
          <w:pPr>
            <w:rPr>
              <w:sz w:val="18"/>
              <w:szCs w:val="18"/>
            </w:rPr>
          </w:pPr>
        </w:p>
        <w:sdt>
          <w:sdtPr>
            <w:alias w:val="skirsnis"/>
            <w:tag w:val="part_18b71e01de794b1a85846fd7e34f1f01"/>
            <w:lock w:val="sdtLocked"/>
            <w:richText/>
          </w:sdtPr>
          <w:sdtContent>
            <w:p>
              <w:pPr>
                <w:spacing w:line="276" w:lineRule="auto"/>
                <w:jc w:val="center"/>
                <w:rPr>
                  <w:rFonts w:eastAsia="Calibri"/>
                  <w:b/>
                  <w:szCs w:val="24"/>
                </w:rPr>
              </w:pPr>
              <w:sdt>
                <w:sdtPr>
                  <w:alias w:val="Pavadinimas"/>
                  <w:tag w:val="title_18b71e01de794b1a85846fd7e34f1f01"/>
                  <w:lock w:val="sdtLocked"/>
                  <w:richText/>
                </w:sdt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pPr>
                <w:rPr>
                  <w:sz w:val="18"/>
                  <w:szCs w:val="18"/>
                </w:rPr>
              </w:pPr>
            </w:p>
            <w:p>
              <w:pPr>
                <w:jc w:val="center"/>
                <w:rPr>
                  <w:rFonts w:eastAsia="Calibri"/>
                  <w:sz w:val="22"/>
                  <w:szCs w:val="22"/>
                </w:rPr>
              </w:pPr>
              <w:r>
                <w:rPr>
                  <w:rFonts w:eastAsia="Calibri"/>
                  <w:sz w:val="22"/>
                  <w:szCs w:val="22"/>
                </w:rPr>
                <w:t xml:space="preserve">2022-10- </w:t>
              </w:r>
            </w:p>
            <w:p>
              <w:pPr>
                <w:rPr>
                  <w:rFonts w:eastAsia="Calibri"/>
                  <w:szCs w:val="24"/>
                </w:rPr>
              </w:pPr>
            </w:p>
            <w:p>
              <w:pPr>
                <w:jc w:val="right"/>
                <w:rPr>
                  <w:rFonts w:eastAsia="Calibri"/>
                  <w:sz w:val="22"/>
                  <w:szCs w:val="22"/>
                </w:rPr>
              </w:pPr>
              <w:r>
                <w:rPr>
                  <w:rFonts w:eastAsia="Calibri"/>
                  <w:sz w:val="22"/>
                  <w:szCs w:val="22"/>
                </w:rPr>
                <w:t>(Pildoma priemonės veiklos ar poveiklės vertinimui)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3"/>
                <w:gridCol w:w="4969"/>
              </w:tblGrid>
              <w:tr>
                <w:trPr>
                  <w:trHeight w:val="558"/>
                </w:trPr>
                <w:tc>
                  <w:tcPr>
                    <w:tcW w:w="5094" w:type="dxa"/>
                    <w:shd w:val="clear" w:color="auto" w:fill="auto"/>
                  </w:tcPr>
                  <w:p>
                    <w:pPr>
                      <w:rPr>
                        <w:rFonts w:eastAsia="Calibri"/>
                        <w:b/>
                        <w:sz w:val="22"/>
                        <w:szCs w:val="22"/>
                      </w:rPr>
                    </w:pPr>
                    <w:r>
                      <w:rPr>
                        <w:rFonts w:eastAsia="Calibri"/>
                        <w:b/>
                        <w:sz w:val="22"/>
                        <w:szCs w:val="22"/>
                      </w:rPr>
                      <w:t>Priemonės veiklos ar poveiklės numeris</w:t>
                    </w:r>
                  </w:p>
                </w:tc>
                <w:tc>
                  <w:tcPr>
                    <w:tcW w:w="5094" w:type="dxa"/>
                    <w:shd w:val="clear" w:color="auto" w:fill="auto"/>
                  </w:tcPr>
                  <w:p>
                    <w:pPr>
                      <w:spacing w:line="276" w:lineRule="auto"/>
                      <w:jc w:val="both"/>
                      <w:rPr>
                        <w:rFonts w:eastAsia="Calibri"/>
                        <w:sz w:val="22"/>
                        <w:szCs w:val="22"/>
                      </w:rPr>
                    </w:pPr>
                    <w:r>
                      <w:rPr>
                        <w:rFonts w:eastAsia="Calibri"/>
                        <w:sz w:val="22"/>
                        <w:szCs w:val="22"/>
                      </w:rPr>
                      <w:t>Poveiklė Nr. 11-002-02-11-01-03-03</w:t>
                    </w:r>
                  </w:p>
                </w:tc>
              </w:tr>
              <w:tr>
                <w:tc>
                  <w:tcPr>
                    <w:tcW w:w="5094" w:type="dxa"/>
                    <w:shd w:val="clear" w:color="auto" w:fill="auto"/>
                  </w:tcPr>
                  <w:p>
                    <w:pPr>
                      <w:rPr>
                        <w:rFonts w:eastAsia="Calibri"/>
                        <w:b/>
                        <w:sz w:val="22"/>
                        <w:szCs w:val="22"/>
                      </w:rPr>
                    </w:pPr>
                    <w:r>
                      <w:rPr>
                        <w:rFonts w:eastAsia="Calibri"/>
                        <w:b/>
                        <w:sz w:val="22"/>
                        <w:szCs w:val="22"/>
                      </w:rPr>
                      <w:t>Priemonės veiklos ar poveiklės pavadinimas</w:t>
                    </w:r>
                  </w:p>
                </w:tc>
                <w:tc>
                  <w:tcPr>
                    <w:tcW w:w="5094" w:type="dxa"/>
                    <w:shd w:val="clear" w:color="auto" w:fill="auto"/>
                  </w:tcPr>
                  <w:p>
                    <w:pPr>
                      <w:spacing w:line="276" w:lineRule="auto"/>
                      <w:jc w:val="both"/>
                      <w:rPr>
                        <w:rFonts w:eastAsia="Calibri"/>
                        <w:sz w:val="22"/>
                        <w:szCs w:val="22"/>
                      </w:rPr>
                    </w:pPr>
                    <w:r>
                      <w:rPr>
                        <w:rFonts w:eastAsia="Calibri"/>
                        <w:sz w:val="22"/>
                        <w:szCs w:val="22"/>
                      </w:rPr>
                      <w:t>Pažangos priemonės „G</w:t>
                    </w:r>
                    <w:r>
                      <w:rPr>
                        <w:rFonts w:eastAsia="Calibri"/>
                        <w:color w:val="000000"/>
                        <w:sz w:val="22"/>
                        <w:szCs w:val="22"/>
                        <w:lang w:eastAsia="lt-LT"/>
                      </w:rPr>
                      <w:t>erinti sveikatos priežiūros paslaugų kokybę ir prieinamumą“</w:t>
                    </w:r>
                    <w:r>
                      <w:rPr>
                        <w:rFonts w:eastAsia="Calibri"/>
                        <w:sz w:val="22"/>
                        <w:szCs w:val="22"/>
                      </w:rPr>
                      <w:t xml:space="preserve"> veikla – „Pažangių ir įrodymais pagrįstų technologijų sveikatos sektoriuje diegimas“, poveiklė – „Genomo tyrimams atlikti reikalingos įrangos įsigijimas ir tyrimų atlikimas“</w:t>
                    </w:r>
                    <w:r>
                      <w:rPr>
                        <w:rFonts w:eastAsia="Calibri"/>
                        <w:color w:val="000000"/>
                        <w:sz w:val="22"/>
                        <w:szCs w:val="22"/>
                        <w:lang w:eastAsia="lt-LT"/>
                      </w:rPr>
                      <w:t>.</w:t>
                    </w:r>
                  </w:p>
                </w:tc>
              </w:tr>
              <w:tr>
                <w:tc>
                  <w:tcPr>
                    <w:tcW w:w="5094" w:type="dxa"/>
                    <w:shd w:val="clear" w:color="auto" w:fill="auto"/>
                  </w:tcPr>
                  <w:p>
                    <w:pPr>
                      <w:rPr>
                        <w:rFonts w:eastAsia="Calibri"/>
                        <w:b/>
                        <w:sz w:val="22"/>
                        <w:szCs w:val="22"/>
                      </w:rPr>
                    </w:pPr>
                    <w:r>
                      <w:rPr>
                        <w:rFonts w:eastAsia="Calibri"/>
                        <w:b/>
                        <w:sz w:val="22"/>
                        <w:szCs w:val="22"/>
                      </w:rPr>
                      <w:t>Už priemonę atsakinga ministerija (-os) (paramos / pagalbos teikėjas)</w:t>
                    </w:r>
                  </w:p>
                </w:tc>
                <w:tc>
                  <w:tcPr>
                    <w:tcW w:w="5094" w:type="dxa"/>
                    <w:shd w:val="clear" w:color="auto" w:fill="auto"/>
                  </w:tcPr>
                  <w:p>
                    <w:pPr>
                      <w:spacing w:line="276" w:lineRule="auto"/>
                      <w:jc w:val="both"/>
                      <w:rPr>
                        <w:rFonts w:eastAsia="Calibri"/>
                        <w:i/>
                        <w:sz w:val="22"/>
                        <w:szCs w:val="22"/>
                      </w:rPr>
                    </w:pPr>
                    <w:r>
                      <w:rPr>
                        <w:rFonts w:eastAsia="Calibri"/>
                        <w:sz w:val="22"/>
                        <w:szCs w:val="22"/>
                      </w:rPr>
                      <w:t>Lietuvos Respublikos sveikatos apsaugos ministerija</w:t>
                    </w:r>
                  </w:p>
                </w:tc>
              </w:tr>
              <w:tr>
                <w:tc>
                  <w:tcPr>
                    <w:tcW w:w="5094" w:type="dxa"/>
                    <w:shd w:val="clear" w:color="auto" w:fill="auto"/>
                  </w:tcPr>
                  <w:p>
                    <w:pPr>
                      <w:rPr>
                        <w:rFonts w:eastAsia="Calibri"/>
                        <w:b/>
                        <w:sz w:val="22"/>
                        <w:szCs w:val="22"/>
                      </w:rPr>
                    </w:pPr>
                    <w:r>
                      <w:rPr>
                        <w:rFonts w:eastAsia="Calibri"/>
                        <w:b/>
                        <w:sz w:val="22"/>
                        <w:szCs w:val="22"/>
                      </w:rPr>
                      <w:t>Pagal priemonės veiklą ar poveiklę numatytos remti veiklos</w:t>
                    </w:r>
                  </w:p>
                  <w:p>
                    <w:pPr>
                      <w:rPr>
                        <w:rFonts w:eastAsia="Calibri"/>
                        <w:b/>
                        <w:sz w:val="22"/>
                        <w:szCs w:val="22"/>
                      </w:rPr>
                    </w:pPr>
                  </w:p>
                </w:tc>
                <w:tc>
                  <w:tcPr>
                    <w:tcW w:w="5094" w:type="dxa"/>
                    <w:shd w:val="clear" w:color="auto" w:fill="auto"/>
                  </w:tcPr>
                  <w:p>
                    <w:pPr>
                      <w:tabs>
                        <w:tab w:val="left" w:pos="439"/>
                      </w:tabs>
                      <w:jc w:val="both"/>
                      <w:rPr>
                        <w:rFonts w:eastAsia="Calibri"/>
                        <w:sz w:val="22"/>
                        <w:szCs w:val="22"/>
                      </w:rPr>
                    </w:pPr>
                    <w:r>
                      <w:rPr>
                        <w:rFonts w:eastAsia="Calibri"/>
                        <w:color w:val="000000"/>
                        <w:sz w:val="22"/>
                        <w:szCs w:val="22"/>
                        <w:lang w:eastAsia="lt-LT"/>
                      </w:rPr>
                      <w:t xml:space="preserve">Pagal priemonės poveiklę remiama projekto veikla </w:t>
                    </w:r>
                    <w:r>
                      <w:rPr>
                        <w:rFonts w:eastAsia="Calibri"/>
                        <w:sz w:val="22"/>
                        <w:szCs w:val="22"/>
                      </w:rPr>
                      <w:t>–</w:t>
                    </w:r>
                    <w:r>
                      <w:rPr>
                        <w:rFonts w:eastAsia="Calibri"/>
                        <w:color w:val="000000"/>
                        <w:sz w:val="22"/>
                        <w:szCs w:val="22"/>
                        <w:lang w:eastAsia="lt-LT"/>
                      </w:rPr>
                      <w:t xml:space="preserve"> </w:t>
                    </w:r>
                    <w:r>
                      <w:rPr>
                        <w:rFonts w:eastAsia="Calibri"/>
                        <w:sz w:val="22"/>
                        <w:szCs w:val="22"/>
                      </w:rPr>
                      <w:t>žmogaus genomo sekos nustatymo tyrimams būtinos įrangos įsigijimas</w:t>
                    </w:r>
                    <w:r>
                      <w:rPr>
                        <w:rFonts w:eastAsia="Calibri"/>
                        <w:iCs/>
                        <w:sz w:val="22"/>
                        <w:szCs w:val="22"/>
                      </w:rPr>
                      <w:t xml:space="preserve"> ir viso žmogaus genomo sekos nustatymo tyrimų atlikimas.</w:t>
                    </w:r>
                  </w:p>
                </w:tc>
              </w:tr>
              <w:tr>
                <w:trPr>
                  <w:trHeight w:val="60"/>
                </w:trPr>
                <w:tc>
                  <w:tcPr>
                    <w:tcW w:w="5094" w:type="dxa"/>
                    <w:shd w:val="clear" w:color="auto" w:fill="auto"/>
                  </w:tcPr>
                  <w:p>
                    <w:pPr>
                      <w:rPr>
                        <w:rFonts w:eastAsia="Calibri"/>
                        <w:b/>
                        <w:sz w:val="22"/>
                        <w:szCs w:val="22"/>
                      </w:rPr>
                    </w:pPr>
                    <w:r>
                      <w:rPr>
                        <w:rFonts w:eastAsia="Calibri"/>
                        <w:b/>
                        <w:sz w:val="22"/>
                        <w:szCs w:val="22"/>
                      </w:rPr>
                      <w:t>Galimi pareiškėjai/partneriai pagal priemonę ar poveiklę</w:t>
                    </w:r>
                  </w:p>
                </w:tc>
                <w:tc>
                  <w:tcPr>
                    <w:tcW w:w="5094" w:type="dxa"/>
                    <w:shd w:val="clear" w:color="auto" w:fill="auto"/>
                  </w:tcPr>
                  <w:p>
                    <w:pPr>
                      <w:tabs>
                        <w:tab w:val="left" w:pos="287"/>
                      </w:tabs>
                      <w:ind w:left="3"/>
                      <w:jc w:val="both"/>
                      <w:rPr>
                        <w:rFonts w:eastAsia="Calibri"/>
                        <w:iCs/>
                        <w:sz w:val="22"/>
                        <w:szCs w:val="22"/>
                      </w:rPr>
                    </w:pPr>
                    <w:r>
                      <w:rPr>
                        <w:rFonts w:eastAsia="Calibri"/>
                        <w:iCs/>
                        <w:sz w:val="22"/>
                        <w:szCs w:val="22"/>
                      </w:rPr>
                      <w:t>Pareiškėjas:</w:t>
                    </w:r>
                  </w:p>
                  <w:p>
                    <w:pPr>
                      <w:tabs>
                        <w:tab w:val="left" w:pos="287"/>
                      </w:tabs>
                      <w:ind w:left="13"/>
                      <w:jc w:val="both"/>
                      <w:rPr>
                        <w:rFonts w:eastAsia="Calibri"/>
                        <w:sz w:val="22"/>
                        <w:szCs w:val="22"/>
                        <w:lang w:val="en-US"/>
                      </w:rPr>
                    </w:pPr>
                    <w:r>
                      <w:rPr>
                        <w:rFonts w:eastAsia="Calibri"/>
                        <w:sz w:val="22"/>
                        <w:szCs w:val="22"/>
                      </w:rPr>
                      <w:t>1.</w:t>
                      <w:tab/>
                    </w:r>
                    <w:r>
                      <w:rPr>
                        <w:rFonts w:eastAsia="Calibri"/>
                        <w:sz w:val="22"/>
                        <w:szCs w:val="22"/>
                        <w:lang w:val="en-US"/>
                      </w:rPr>
                      <w:t>VšĮ Vilniaus universiteto ligoninė Santaros klinikos.</w:t>
                    </w:r>
                  </w:p>
                  <w:p>
                    <w:pPr>
                      <w:tabs>
                        <w:tab w:val="left" w:pos="287"/>
                      </w:tabs>
                      <w:ind w:left="13"/>
                      <w:jc w:val="both"/>
                      <w:rPr>
                        <w:rFonts w:eastAsia="Calibri"/>
                        <w:sz w:val="22"/>
                        <w:szCs w:val="22"/>
                      </w:rPr>
                    </w:pPr>
                    <w:r>
                      <w:rPr>
                        <w:rFonts w:eastAsia="Calibri"/>
                        <w:sz w:val="22"/>
                        <w:szCs w:val="22"/>
                      </w:rPr>
                      <w:t>Partneriai:</w:t>
                    </w:r>
                  </w:p>
                  <w:p>
                    <w:pPr>
                      <w:tabs>
                        <w:tab w:val="left" w:pos="287"/>
                      </w:tabs>
                      <w:ind w:left="13"/>
                      <w:jc w:val="both"/>
                      <w:rPr>
                        <w:rFonts w:eastAsia="Calibri"/>
                        <w:sz w:val="22"/>
                        <w:szCs w:val="22"/>
                      </w:rPr>
                    </w:pPr>
                    <w:r>
                      <w:rPr>
                        <w:rFonts w:eastAsia="Calibri"/>
                        <w:sz w:val="22"/>
                        <w:szCs w:val="22"/>
                      </w:rPr>
                      <w:t>1. VšĮ Lietuvos sveikatos mokslų universiteto ligoninė Kauno klinikos;</w:t>
                    </w:r>
                  </w:p>
                  <w:p>
                    <w:pPr>
                      <w:tabs>
                        <w:tab w:val="left" w:pos="287"/>
                      </w:tabs>
                      <w:ind w:left="13" w:hanging="13"/>
                      <w:jc w:val="both"/>
                      <w:rPr>
                        <w:rFonts w:eastAsia="Calibri"/>
                        <w:iCs/>
                        <w:sz w:val="22"/>
                        <w:szCs w:val="22"/>
                        <w:lang w:val="en-US"/>
                      </w:rPr>
                    </w:pPr>
                    <w:r>
                      <w:rPr>
                        <w:rFonts w:eastAsia="Calibri"/>
                        <w:iCs/>
                        <w:sz w:val="22"/>
                        <w:szCs w:val="22"/>
                      </w:rPr>
                      <w:t>2.</w:t>
                      <w:tab/>
                    </w:r>
                    <w:r>
                      <w:rPr>
                        <w:rFonts w:eastAsia="Calibri"/>
                        <w:iCs/>
                        <w:sz w:val="22"/>
                        <w:szCs w:val="22"/>
                        <w:lang w:val="en-US"/>
                      </w:rPr>
                      <w:t>Nacionalinis vėžio institutas.</w:t>
                    </w:r>
                  </w:p>
                </w:tc>
              </w:tr>
            </w:tbl>
            <w:p>
              <w:pPr>
                <w:jc w:val="right"/>
                <w:rPr>
                  <w:rFonts w:eastAsia="Calibri"/>
                  <w:szCs w:val="24"/>
                </w:rPr>
              </w:pPr>
            </w:p>
            <w:p>
              <w:pPr>
                <w:jc w:val="right"/>
                <w:rPr>
                  <w:rFonts w:eastAsia="Calibri"/>
                  <w:szCs w:val="24"/>
                </w:rPr>
              </w:pPr>
            </w:p>
            <w:p>
              <w:pPr>
                <w:jc w:val="right"/>
                <w:rPr>
                  <w:rFonts w:eastAsia="Calibri"/>
                  <w:szCs w:val="24"/>
                </w:rPr>
              </w:pPr>
            </w:p>
            <w:p>
              <w:pPr>
                <w:jc w:val="right"/>
                <w:rPr>
                  <w:rFonts w:eastAsia="Calibri"/>
                  <w:szCs w:val="24"/>
                </w:rPr>
              </w:pPr>
              <w:r>
                <w:rPr>
                  <w:rFonts w:eastAsia="Calibri"/>
                  <w:szCs w:val="24"/>
                </w:rPr>
                <w:t>(Pildoma projekto vertinimui)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
                <w:gridCol w:w="4358"/>
                <w:gridCol w:w="230"/>
                <w:gridCol w:w="1259"/>
                <w:gridCol w:w="1247"/>
                <w:gridCol w:w="2228"/>
              </w:tblGrid>
              <w:tr>
                <w:tc>
                  <w:tcPr>
                    <w:tcW w:w="5094" w:type="dxa"/>
                    <w:gridSpan w:val="2"/>
                    <w:shd w:val="clear" w:color="auto" w:fill="auto"/>
                  </w:tcPr>
                  <w:p>
                    <w:pPr>
                      <w:rPr>
                        <w:rFonts w:eastAsia="Calibri"/>
                        <w:b/>
                        <w:sz w:val="22"/>
                        <w:szCs w:val="22"/>
                      </w:rPr>
                    </w:pPr>
                    <w:r>
                      <w:rPr>
                        <w:rFonts w:eastAsia="Calibri"/>
                        <w:b/>
                        <w:sz w:val="22"/>
                        <w:szCs w:val="22"/>
                      </w:rPr>
                      <w:t>Projekto numeris</w:t>
                    </w:r>
                  </w:p>
                </w:tc>
                <w:tc>
                  <w:tcPr>
                    <w:tcW w:w="5094" w:type="dxa"/>
                    <w:gridSpan w:val="4"/>
                    <w:shd w:val="clear" w:color="auto" w:fill="auto"/>
                  </w:tcPr>
                  <w:p>
                    <w:pPr>
                      <w:rPr>
                        <w:rFonts w:eastAsia="Calibri"/>
                        <w:szCs w:val="24"/>
                      </w:rPr>
                    </w:pPr>
                    <w:r>
                      <w:rPr>
                        <w:rFonts w:eastAsia="Calibri"/>
                        <w:szCs w:val="24"/>
                      </w:rPr>
                      <w:t>-</w:t>
                    </w:r>
                  </w:p>
                </w:tc>
              </w:tr>
              <w:tr>
                <w:tc>
                  <w:tcPr>
                    <w:tcW w:w="5094" w:type="dxa"/>
                    <w:gridSpan w:val="2"/>
                    <w:shd w:val="clear" w:color="auto" w:fill="auto"/>
                  </w:tcPr>
                  <w:p>
                    <w:pPr>
                      <w:rPr>
                        <w:rFonts w:eastAsia="Calibri"/>
                        <w:b/>
                        <w:szCs w:val="24"/>
                      </w:rPr>
                    </w:pPr>
                    <w:r>
                      <w:rPr>
                        <w:rFonts w:eastAsia="Calibri"/>
                        <w:b/>
                        <w:szCs w:val="24"/>
                      </w:rPr>
                      <w:t>Projekto pavadinimas</w:t>
                    </w:r>
                  </w:p>
                </w:tc>
                <w:tc>
                  <w:tcPr>
                    <w:tcW w:w="5094" w:type="dxa"/>
                    <w:gridSpan w:val="4"/>
                    <w:shd w:val="clear" w:color="auto" w:fill="auto"/>
                  </w:tcPr>
                  <w:p>
                    <w:pPr>
                      <w:tabs>
                        <w:tab w:val="left" w:pos="297"/>
                      </w:tabs>
                      <w:jc w:val="both"/>
                      <w:rPr>
                        <w:szCs w:val="24"/>
                        <w:lang w:val="en-US" w:eastAsia="lt-LT"/>
                      </w:rPr>
                    </w:pPr>
                  </w:p>
                </w:tc>
              </w:tr>
              <w:tr>
                <w:tc>
                  <w:tcPr>
                    <w:tcW w:w="5094" w:type="dxa"/>
                    <w:gridSpan w:val="2"/>
                    <w:shd w:val="clear" w:color="auto" w:fill="auto"/>
                  </w:tcPr>
                  <w:p>
                    <w:pPr>
                      <w:rPr>
                        <w:rFonts w:eastAsia="Calibri"/>
                        <w:b/>
                        <w:sz w:val="22"/>
                        <w:szCs w:val="22"/>
                      </w:rPr>
                    </w:pPr>
                    <w:r>
                      <w:rPr>
                        <w:rFonts w:eastAsia="Calibri"/>
                        <w:b/>
                        <w:sz w:val="22"/>
                        <w:szCs w:val="22"/>
                      </w:rPr>
                      <w:t>Projekto vykdytojo / galutinio naudos gavėjo pavadinimas</w:t>
                    </w:r>
                  </w:p>
                </w:tc>
                <w:tc>
                  <w:tcPr>
                    <w:tcW w:w="5094" w:type="dxa"/>
                    <w:gridSpan w:val="4"/>
                    <w:shd w:val="clear" w:color="auto" w:fill="auto"/>
                  </w:tcPr>
                  <w:p>
                    <w:pPr>
                      <w:tabs>
                        <w:tab w:val="left" w:pos="287"/>
                      </w:tabs>
                      <w:jc w:val="both"/>
                      <w:rPr>
                        <w:rFonts w:eastAsia="Calibri"/>
                        <w:szCs w:val="24"/>
                      </w:rPr>
                    </w:pPr>
                  </w:p>
                </w:tc>
              </w:tr>
              <w:tr>
                <w:tc>
                  <w:tcPr>
                    <w:tcW w:w="5094" w:type="dxa"/>
                    <w:gridSpan w:val="2"/>
                    <w:shd w:val="clear" w:color="auto" w:fill="auto"/>
                  </w:tcPr>
                  <w:p>
                    <w:pPr>
                      <w:rPr>
                        <w:rFonts w:eastAsia="Calibri"/>
                        <w:b/>
                        <w:sz w:val="22"/>
                        <w:szCs w:val="22"/>
                      </w:rPr>
                    </w:pPr>
                    <w:r>
                      <w:rPr>
                        <w:rFonts w:eastAsia="Calibri"/>
                        <w:b/>
                        <w:sz w:val="22"/>
                        <w:szCs w:val="22"/>
                      </w:rPr>
                      <w:t>Projekto partnerio (-ių) pavadinimas</w:t>
                    </w:r>
                  </w:p>
                </w:tc>
                <w:tc>
                  <w:tcPr>
                    <w:tcW w:w="5094" w:type="dxa"/>
                    <w:gridSpan w:val="4"/>
                    <w:shd w:val="clear" w:color="auto" w:fill="auto"/>
                  </w:tcPr>
                  <w:p>
                    <w:pPr>
                      <w:rPr>
                        <w:rFonts w:eastAsia="Calibri"/>
                        <w:szCs w:val="24"/>
                      </w:rPr>
                    </w:pPr>
                  </w:p>
                </w:tc>
              </w:tr>
              <w:tr>
                <w:tc>
                  <w:tcPr>
                    <w:tcW w:w="5000" w:type="pct"/>
                    <w:gridSpan w:val="6"/>
                    <w:shd w:val="pct20" w:color="auto" w:fill="auto"/>
                  </w:tcPr>
                  <w:p>
                    <w:pPr>
                      <w:ind w:left="567" w:hanging="360"/>
                      <w:rPr>
                        <w:rFonts w:eastAsia="Calibri"/>
                        <w:b/>
                        <w:sz w:val="22"/>
                        <w:szCs w:val="22"/>
                        <w:lang w:val="en-US"/>
                      </w:rPr>
                    </w:pPr>
                    <w:r>
                      <w:rPr>
                        <w:rFonts w:eastAsia="Calibri"/>
                        <w:b/>
                        <w:sz w:val="22"/>
                        <w:szCs w:val="22"/>
                      </w:rPr>
                      <w:t>I.</w:t>
                      <w:tab/>
                    </w:r>
                    <w:r>
                      <w:rPr>
                        <w:rFonts w:eastAsia="Calibri"/>
                        <w:b/>
                        <w:sz w:val="22"/>
                        <w:szCs w:val="22"/>
                        <w:lang w:val="en-US"/>
                      </w:rPr>
                      <w:t>Valstybės pagalbos požymių identifikavimas pagal priemonės veiklą ar poveiklę / projektą remtinose veiklose</w:t>
                    </w:r>
                    <w:r>
                      <w:rPr>
                        <w:rFonts w:eastAsia="Calibri"/>
                        <w:b/>
                        <w:sz w:val="22"/>
                        <w:szCs w:val="22"/>
                        <w:vertAlign w:val="superscript"/>
                        <w:lang w:val="en-US"/>
                      </w:rPr>
                      <w:footnoteReference w:id="1"/>
                    </w:r>
                  </w:p>
                </w:tc>
              </w:tr>
              <w:tr>
                <w:tc>
                  <w:tcPr>
                    <w:tcW w:w="321" w:type="pct"/>
                    <w:shd w:val="clear" w:color="auto" w:fill="auto"/>
                  </w:tcPr>
                  <w:p>
                    <w:pPr>
                      <w:ind w:left="360" w:hanging="360"/>
                      <w:rPr>
                        <w:rFonts w:eastAsia="Calibri"/>
                        <w:b/>
                        <w:sz w:val="22"/>
                        <w:szCs w:val="22"/>
                        <w:lang w:val="en-US"/>
                      </w:rPr>
                    </w:pPr>
                    <w:r>
                      <w:rPr>
                        <w:rFonts w:eastAsia="Calibri"/>
                        <w:b/>
                        <w:sz w:val="22"/>
                        <w:szCs w:val="22"/>
                      </w:rPr>
                      <w:t>1.</w:t>
                      <w:tab/>
                    </w:r>
                  </w:p>
                </w:tc>
                <w:tc>
                  <w:tcPr>
                    <w:tcW w:w="2303" w:type="pct"/>
                    <w:gridSpan w:val="2"/>
                    <w:shd w:val="clear" w:color="auto" w:fill="auto"/>
                  </w:tcPr>
                  <w:p>
                    <w:pPr>
                      <w:rPr>
                        <w:sz w:val="10"/>
                        <w:szCs w:val="10"/>
                      </w:rPr>
                    </w:pPr>
                  </w:p>
                  <w:p>
                    <w:pPr>
                      <w:jc w:val="both"/>
                      <w:rPr>
                        <w:rFonts w:eastAsia="Calibri"/>
                        <w:b/>
                        <w:sz w:val="22"/>
                        <w:szCs w:val="22"/>
                      </w:rPr>
                    </w:pPr>
                    <w:r>
                      <w:rPr>
                        <w:rFonts w:eastAsia="Calibri"/>
                        <w:b/>
                        <w:sz w:val="22"/>
                        <w:szCs w:val="22"/>
                      </w:rPr>
                      <w:t>Ar finansavimą tiesiogiai ar netiesiogiai numatoma teikti ūkio subjektams (-ui) ūkinei veiklai vykdyti?</w:t>
                    </w:r>
                  </w:p>
                  <w:p>
                    <w:pPr>
                      <w:rPr>
                        <w:sz w:val="10"/>
                        <w:szCs w:val="10"/>
                      </w:rPr>
                    </w:pPr>
                  </w:p>
                  <w:p>
                    <w:pPr>
                      <w:rPr>
                        <w:rFonts w:eastAsia="Calibri"/>
                        <w:sz w:val="22"/>
                        <w:szCs w:val="22"/>
                      </w:rPr>
                    </w:pP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5" w:type="pct"/>
                    <w:gridSpan w:val="2"/>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pPr>
                      <w:rPr>
                        <w:sz w:val="10"/>
                        <w:szCs w:val="10"/>
                      </w:rPr>
                    </w:pPr>
                  </w:p>
                  <w:p>
                    <w:pPr>
                      <w:rPr>
                        <w:rFonts w:eastAsia="Calibri"/>
                        <w:sz w:val="22"/>
                        <w:szCs w:val="22"/>
                      </w:rPr>
                    </w:pPr>
                    <w:r>
                      <w:rPr>
                        <w:rFonts w:eastAsia="Calibri"/>
                        <w:i/>
                        <w:sz w:val="22"/>
                        <w:szCs w:val="22"/>
                      </w:rPr>
                      <w:t xml:space="preserve">(Patikros lapą pildant projektui,   neigiamai atsakius, kiti patikros lapo klausimų atsakymai žymimi „nevertinama“)</w:t>
                    </w:r>
                  </w:p>
                </w:tc>
              </w:tr>
              <w:tr>
                <w:tc>
                  <w:tcPr>
                    <w:tcW w:w="5000" w:type="pct"/>
                    <w:gridSpan w:val="6"/>
                    <w:shd w:val="clear" w:color="auto" w:fill="auto"/>
                  </w:tcPr>
                  <w:p>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pPr>
                      <w:jc w:val="both"/>
                      <w:rPr>
                        <w:rFonts w:eastAsia="Calibri"/>
                        <w:sz w:val="22"/>
                        <w:szCs w:val="22"/>
                      </w:rPr>
                    </w:pPr>
                    <w:r>
                      <w:rPr>
                        <w:rFonts w:eastAsia="Calibri"/>
                        <w:sz w:val="22"/>
                        <w:szCs w:val="22"/>
                      </w:rPr>
                      <w:t xml:space="preserve">Vertinant, ar subjektas yra priskiriamas ūkio subjektui, jo statusas neturi lemiamos reikšmės, taip pat lemiamos reikšmės neturi ir tai, ar subjektas yra įsteigtas pelnui siekti, esminis kriterijus </w:t>
                    </w:r>
                    <w:r>
                      <w:rPr>
                        <w:rFonts w:eastAsia="Calibri"/>
                        <w:szCs w:val="24"/>
                      </w:rPr>
                      <w:t>–</w:t>
                    </w:r>
                    <w:r>
                      <w:rPr>
                        <w:rFonts w:eastAsia="Calibri"/>
                        <w:sz w:val="22"/>
                        <w:szCs w:val="22"/>
                      </w:rPr>
                      <w:t xml:space="preserve"> ar vykdoma / numatoma vykdyti veikla yra priskiriama ūkinei veiklai. Subjektas, vykdantis tiek ekonominę, tiek neekonominę veiklą, turi būti laikomas ūkio subjektu tik ekonominės veiklos atžvilgiu. </w:t>
                    </w:r>
                  </w:p>
                  <w:p>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pPr>
                      <w:ind w:left="720" w:hanging="360"/>
                      <w:jc w:val="both"/>
                      <w:rPr>
                        <w:rFonts w:eastAsia="Calibri"/>
                        <w:sz w:val="22"/>
                        <w:szCs w:val="22"/>
                      </w:rPr>
                    </w:pPr>
                    <w:r>
                      <w:rPr>
                        <w:rFonts w:ascii="Symbol" w:eastAsia="Calibri" w:hAnsi="Symbol"/>
                        <w:sz w:val="22"/>
                        <w:szCs w:val="22"/>
                      </w:rPr>
                      <w:t></w:t>
                      <w:tab/>
                    </w:r>
                    <w:r>
                      <w:rPr>
                        <w:rFonts w:eastAsia="Calibri"/>
                        <w:sz w:val="22"/>
                        <w:szCs w:val="22"/>
                      </w:rPr>
                      <w:t>statytojo / savininko;</w:t>
                    </w:r>
                  </w:p>
                  <w:p>
                    <w:pPr>
                      <w:ind w:left="720" w:hanging="360"/>
                      <w:jc w:val="both"/>
                      <w:rPr>
                        <w:rFonts w:eastAsia="Calibri"/>
                        <w:sz w:val="22"/>
                        <w:szCs w:val="22"/>
                      </w:rPr>
                    </w:pPr>
                    <w:r>
                      <w:rPr>
                        <w:rFonts w:ascii="Symbol" w:eastAsia="Calibri" w:hAnsi="Symbol"/>
                        <w:sz w:val="22"/>
                        <w:szCs w:val="22"/>
                      </w:rPr>
                      <w:t></w:t>
                      <w:tab/>
                    </w:r>
                    <w:r>
                      <w:rPr>
                        <w:rFonts w:eastAsia="Calibri"/>
                        <w:sz w:val="22"/>
                        <w:szCs w:val="22"/>
                      </w:rPr>
                      <w:t>valdytojo;</w:t>
                    </w:r>
                  </w:p>
                  <w:p>
                    <w:pPr>
                      <w:ind w:left="720" w:hanging="360"/>
                      <w:jc w:val="both"/>
                      <w:rPr>
                        <w:rFonts w:eastAsia="Calibri"/>
                        <w:sz w:val="22"/>
                        <w:szCs w:val="22"/>
                      </w:rPr>
                    </w:pPr>
                    <w:r>
                      <w:rPr>
                        <w:rFonts w:ascii="Symbol" w:eastAsia="Calibri" w:hAnsi="Symbol"/>
                        <w:sz w:val="22"/>
                        <w:szCs w:val="22"/>
                      </w:rPr>
                      <w:t></w:t>
                      <w:tab/>
                    </w:r>
                    <w:r>
                      <w:rPr>
                        <w:rFonts w:eastAsia="Calibri"/>
                        <w:sz w:val="22"/>
                        <w:szCs w:val="22"/>
                      </w:rPr>
                      <w:t>galutinio naudotojo (galutinio naudos gavėjo – GNG).</w:t>
                    </w:r>
                  </w:p>
                  <w:p>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2"/>
                    </w:r>
                    <w:r>
                      <w:rPr>
                        <w:rFonts w:eastAsia="Calibri"/>
                        <w:sz w:val="22"/>
                        <w:szCs w:val="22"/>
                      </w:rPr>
                      <w:t xml:space="preserve"> arba kai valstybės sektoriaus subjektai veikia „kaip valdžios institucijos“</w:t>
                    </w:r>
                    <w:r>
                      <w:rPr>
                        <w:rFonts w:eastAsia="Calibri"/>
                        <w:sz w:val="22"/>
                        <w:szCs w:val="22"/>
                        <w:vertAlign w:val="superscript"/>
                      </w:rPr>
                      <w:footnoteReference w:id="3"/>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pPr>
                      <w:jc w:val="both"/>
                      <w:rPr>
                        <w:rFonts w:eastAsia="Calibri"/>
                        <w:sz w:val="22"/>
                        <w:szCs w:val="22"/>
                      </w:rPr>
                    </w:pPr>
                    <w:r>
                      <w:rPr>
                        <w:rFonts w:eastAsia="Calibri"/>
                        <w:sz w:val="22"/>
                        <w:szCs w:val="22"/>
                      </w:rPr>
                      <w:t>a) kariuomenė arba policija;</w:t>
                    </w:r>
                  </w:p>
                  <w:p>
                    <w:pPr>
                      <w:jc w:val="both"/>
                      <w:rPr>
                        <w:rFonts w:eastAsia="Calibri"/>
                        <w:sz w:val="22"/>
                        <w:szCs w:val="22"/>
                      </w:rPr>
                    </w:pPr>
                    <w:r>
                      <w:rPr>
                        <w:rFonts w:eastAsia="Calibri"/>
                        <w:sz w:val="22"/>
                        <w:szCs w:val="22"/>
                      </w:rPr>
                      <w:t>b) oro navigacijos sauga ir kontrolė;</w:t>
                    </w:r>
                  </w:p>
                  <w:p>
                    <w:pPr>
                      <w:jc w:val="both"/>
                      <w:rPr>
                        <w:rFonts w:eastAsia="Calibri"/>
                        <w:sz w:val="22"/>
                        <w:szCs w:val="22"/>
                      </w:rPr>
                    </w:pPr>
                    <w:r>
                      <w:rPr>
                        <w:rFonts w:eastAsia="Calibri"/>
                        <w:sz w:val="22"/>
                        <w:szCs w:val="22"/>
                      </w:rPr>
                      <w:t>c) jūrų eismo kontrolė ir sauga;</w:t>
                    </w:r>
                  </w:p>
                  <w:p>
                    <w:pPr>
                      <w:jc w:val="both"/>
                      <w:rPr>
                        <w:rFonts w:eastAsia="Calibri"/>
                        <w:sz w:val="22"/>
                        <w:szCs w:val="22"/>
                      </w:rPr>
                    </w:pPr>
                    <w:r>
                      <w:rPr>
                        <w:rFonts w:eastAsia="Calibri"/>
                        <w:sz w:val="22"/>
                        <w:szCs w:val="22"/>
                      </w:rPr>
                      <w:t>d) kovos su tarša priežiūra;</w:t>
                    </w:r>
                  </w:p>
                  <w:p>
                    <w:pPr>
                      <w:jc w:val="both"/>
                      <w:rPr>
                        <w:rFonts w:eastAsia="Calibri"/>
                        <w:sz w:val="22"/>
                        <w:szCs w:val="22"/>
                      </w:rPr>
                    </w:pPr>
                    <w:r>
                      <w:rPr>
                        <w:rFonts w:eastAsia="Calibri"/>
                        <w:sz w:val="22"/>
                        <w:szCs w:val="22"/>
                      </w:rPr>
                      <w:t>e) laisvės atėmimo nuosprendžių organizavimas, finansavimas ir vykdymas;</w:t>
                    </w:r>
                  </w:p>
                  <w:p>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tc>
                  <w:tcPr>
                    <w:tcW w:w="5000" w:type="pct"/>
                    <w:gridSpan w:val="6"/>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6"/>
                    <w:shd w:val="clear" w:color="auto" w:fill="auto"/>
                  </w:tcPr>
                  <w:p>
                    <w:pPr>
                      <w:shd w:val="clear" w:color="auto" w:fill="FFFFFF"/>
                      <w:spacing w:line="276" w:lineRule="auto"/>
                      <w:ind w:firstLine="851"/>
                      <w:jc w:val="both"/>
                      <w:rPr>
                        <w:rFonts w:eastAsia="Calibri"/>
                        <w:b/>
                        <w:bCs/>
                        <w:szCs w:val="24"/>
                      </w:rPr>
                    </w:pPr>
                    <w:r>
                      <w:rPr>
                        <w:rFonts w:eastAsia="Calibri"/>
                        <w:b/>
                        <w:bCs/>
                        <w:szCs w:val="24"/>
                      </w:rPr>
                      <w:t>Žmogaus viso genomo sekoskaitos tyrimai</w:t>
                    </w:r>
                  </w:p>
                  <w:p>
                    <w:pPr>
                      <w:suppressAutoHyphens/>
                      <w:spacing w:line="276" w:lineRule="auto"/>
                      <w:ind w:firstLine="851"/>
                      <w:jc w:val="both"/>
                      <w:rPr>
                        <w:rFonts w:eastAsia="Calibri"/>
                        <w:iCs/>
                        <w:color w:val="000000"/>
                        <w:sz w:val="22"/>
                        <w:szCs w:val="22"/>
                      </w:rPr>
                    </w:pPr>
                    <w:r>
                      <w:rPr>
                        <w:rFonts w:eastAsia="Calibri"/>
                        <w:iCs/>
                        <w:color w:val="000000"/>
                        <w:sz w:val="22"/>
                        <w:szCs w:val="22"/>
                      </w:rPr>
                      <w:t>2003 m. pasaulyje pirmą kartą nuskaičius žmogaus genomą, atsirado galimybė genetinius duomenis ateityje pritaikyti kasdienėje praktikoje, atveriant naujas galimybes klinikinėje praktikoje pradėti taikyti personalizuotos individualizuotos medicinos principus. Neabejojama, jog personalizuota medicina klinikinėje praktikoje turės tiesioginį poveikį tiek individualiam pacientui, tiek bendrai populiacijai, šalies sveikatos sistemai, mokslui bei šalių ekonomikai.</w:t>
                    </w:r>
                  </w:p>
                  <w:p>
                    <w:pPr>
                      <w:suppressAutoHyphens/>
                      <w:spacing w:line="276" w:lineRule="auto"/>
                      <w:ind w:firstLine="851"/>
                      <w:jc w:val="both"/>
                      <w:rPr>
                        <w:rFonts w:eastAsia="Calibri"/>
                        <w:iCs/>
                        <w:color w:val="000000"/>
                        <w:sz w:val="22"/>
                        <w:szCs w:val="22"/>
                      </w:rPr>
                    </w:pPr>
                    <w:r>
                      <w:rPr>
                        <w:rFonts w:eastAsia="Calibri"/>
                        <w:iCs/>
                        <w:color w:val="000000"/>
                        <w:sz w:val="22"/>
                        <w:szCs w:val="22"/>
                      </w:rPr>
                      <w:t>2018 m. Europos Komisija ėmėsi iniciatyvos sukurti bendras Europos genomų nuskaitymo ir genomo informacijos naudojimo gaires. Tai bendra Europos šalių iniciatyva, kuri padės gausybę genomo duomenų padaryti prieinamais ir naudingais sveikatos priežiūros inovacijų kūrimui. Tarp pirmųjų trylikos Europos šalių, pasirašiusių bendrų veiksmų deklaraciją, yra ir Lietuva.</w:t>
                    </w:r>
                  </w:p>
                  <w:p>
                    <w:pPr>
                      <w:suppressAutoHyphens/>
                      <w:spacing w:line="276" w:lineRule="auto"/>
                      <w:ind w:firstLine="851"/>
                      <w:jc w:val="both"/>
                      <w:rPr>
                        <w:rFonts w:eastAsia="Calibri"/>
                        <w:iCs/>
                        <w:color w:val="000000"/>
                        <w:sz w:val="22"/>
                        <w:szCs w:val="22"/>
                      </w:rPr>
                    </w:pPr>
                    <w:r>
                      <w:rPr>
                        <w:rFonts w:eastAsia="Calibri"/>
                        <w:iCs/>
                        <w:color w:val="000000"/>
                        <w:sz w:val="22"/>
                        <w:szCs w:val="22"/>
                      </w:rPr>
                      <w:t>Siekiant aktyviai įsijungti į pasirašytos deklaracijos „Mažiausiai vieno milijono nuskaitytų genomų prieinamumas Europos Sąjungoje iki 2022 metų“ (angl. „Towards Access to at Least 1 Million Sequenced Genomes in the European Union by 2022”) įgyvendinimą ir reikšmingai prisidėti prie Europos šalių iniciatyvos, būtina atnaujinti įstaigų, gebančių atlikti viso žmogaus genomo nuskaitymą laboratorinę įrangą, sukurti informacinių technologijų išteklius, kuriuose būtų kaupiami, saugomi bei analizuojami žmogaus genomo tyrimai. Reikalingi ir svarbūs žingsniai nacionaliniu mastu – būtina sukurti teisinę žmogaus genomo tyrimų bazę, tvarų tyrimų finansavimo modelį, vystyti tarptautinį bendradarbiavimą. Nauda Lietuvos pacientams, susijusi su dalyvavimu šiuose veiksmuose, yra retų, onkologinių ir kitų sudėtingų ligų savalaikis nustatymas, personalizuotos (geriausiai konkrečiam ligoniui tinkamos) medicinos vystymas, veiksmingas prevencinių programų įgyvendinimas. Iniciatyvai koordinuoti Lietuvos Respublikos sveikatos apsaugos ministro 2021 m. balandžio 19 d. įsakymu Nr. V-867 yra sudaryta Retų ligų sveikatos politikos grupė.</w:t>
                    </w:r>
                  </w:p>
                  <w:p>
                    <w:pPr>
                      <w:suppressAutoHyphens/>
                      <w:spacing w:line="276" w:lineRule="auto"/>
                      <w:ind w:firstLine="851"/>
                      <w:jc w:val="both"/>
                      <w:rPr>
                        <w:rFonts w:eastAsia="Calibri"/>
                        <w:iCs/>
                        <w:color w:val="000000"/>
                        <w:sz w:val="22"/>
                        <w:szCs w:val="22"/>
                      </w:rPr>
                    </w:pPr>
                    <w:r>
                      <w:rPr>
                        <w:rFonts w:eastAsia="Calibri"/>
                        <w:iCs/>
                        <w:color w:val="000000"/>
                        <w:sz w:val="22"/>
                        <w:szCs w:val="22"/>
                      </w:rPr>
                      <w:t xml:space="preserve">Vilniaus universiteto Medicinos fakultete yra sukurtas Lietuvos populiacijos tyrimų tinklas, integruojantis įvairių šiuolaikiniams žmogaus genomo ir regulomo tyrimams svarbių sričių specialistus, klinikinę ir eksperimentinę bazę, bioinformacinės ir biostatistinės analizės platformas, įdiegimo į Lietuvos asmens sveikatos priežiūros sistemą potencialą. Tokiu būdu yra kaupiami Lietuvos populiacijos viso žmogaus genomo duomenys (daugiau nei 100). </w:t>
                    </w:r>
                  </w:p>
                  <w:p>
                    <w:pPr>
                      <w:suppressAutoHyphens/>
                      <w:spacing w:line="276" w:lineRule="auto"/>
                      <w:ind w:firstLine="851"/>
                      <w:jc w:val="both"/>
                      <w:rPr>
                        <w:rFonts w:eastAsia="Calibri"/>
                        <w:iCs/>
                        <w:color w:val="000000"/>
                        <w:sz w:val="22"/>
                        <w:szCs w:val="22"/>
                      </w:rPr>
                    </w:pPr>
                    <w:r>
                      <w:rPr>
                        <w:rFonts w:eastAsia="Calibri"/>
                        <w:iCs/>
                        <w:color w:val="000000"/>
                        <w:sz w:val="22"/>
                        <w:szCs w:val="22"/>
                      </w:rPr>
                      <w:t>Lietuva aktyviai dalyvauja Europos referentinių centrų tinklų (ERN) veikloje, kitose tarptautinėse tinklinėse struktūrose (BBMRI-ERIC ir kt.), padedančiose kurti Lietuvos genominės medicinos ir biobankų infrastruktūrą, būtiną kokybiškų genomo ir klinikinių duomenų surinkimui bei atvėrimui. Siekiant atlikti Lietuvos populiaciją atspindinčios reprezentatyvios imties viso žmogaus genomo sekos nustatymo tyrimus, p</w:t>
                    </w:r>
                    <w:r>
                      <w:rPr>
                        <w:rFonts w:eastAsia="Calibri"/>
                        <w:color w:val="000000"/>
                        <w:sz w:val="22"/>
                        <w:szCs w:val="22"/>
                      </w:rPr>
                      <w:t xml:space="preserve">agal pažangos priemonės Nr. 11-002-02-11-01 „Gerinti sveikatos priežiūros paslaugų kokybę ir prieinamumą“ (toliau – Pažangos priemonė) veiklos „Pažangių ir įrodymais pagrįstų technologijų sveikatos sektoriuje diegimas“ poveiklę Nr. 3.3 „Genomo tyrimams atlikti reikalingos įrangos įsigijimas ir tyrimų atlikimas“ (toliau – Poveiklė) planuojamas projektas, kurį įgyvendinus Lietuvoje bus sukurta reikiama infrastruktūra, reikalinga </w:t>
                    </w:r>
                    <w:r>
                      <w:rPr>
                        <w:iCs/>
                        <w:color w:val="000000"/>
                        <w:sz w:val="22"/>
                        <w:szCs w:val="22"/>
                      </w:rPr>
                      <w:t xml:space="preserve">Lietuvos populiaciją atspindinčios reprezentatyvios imties viso žmogaus genomo sekos nustatymo tyrimams atlikti. Siekiant, kad Lietuvos populiaciją atspindinčios reprezentatyvios imties viso žmogaus genomo sekos nustatymo tyrimai būtų atliekami Lietuvoje reikiama apimtimi, reikia išplėsti pirmiau minėtų tyrimų atlikimą </w:t>
                    </w:r>
                    <w:r>
                      <w:rPr>
                        <w:rFonts w:eastAsia="Calibri"/>
                        <w:iCs/>
                        <w:color w:val="000000"/>
                        <w:sz w:val="22"/>
                        <w:szCs w:val="22"/>
                      </w:rPr>
                      <w:t>šalies universitetų ligoninėse (Lietuvos sveikatos mokslų universiteto ligoninėje Kauno klinikose bei VšĮ Vilniaus universiteto ligoninėje Santaros klinikose) ir Nacionaliniame vėžio institute. Šiuo metu Lietuvoje žmogaus viso genomo sekoskaitos tyrimai atliekami tik mokslo tikslais ir nėra apmokami Privalomojo sveikatos draudimo fondo lėšomis. Tikimasi, kad apmokėjimo įkainis už žmogaus viso genomo sekoskaitos tyrimą, kuris būtų apmokamas iš Privalomojo sveikatos draudimo fondo biudžeto, bus nustatytas iki projekto įgyvendinimo pabaigos.</w:t>
                    </w:r>
                  </w:p>
                  <w:p>
                    <w:pPr>
                      <w:suppressAutoHyphens/>
                      <w:spacing w:line="276" w:lineRule="auto"/>
                      <w:ind w:firstLine="851"/>
                      <w:jc w:val="both"/>
                      <w:rPr>
                        <w:rFonts w:eastAsia="Calibri"/>
                        <w:sz w:val="22"/>
                        <w:szCs w:val="22"/>
                      </w:rPr>
                    </w:pPr>
                    <w:r>
                      <w:rPr>
                        <w:rFonts w:eastAsia="Calibri"/>
                        <w:iCs/>
                        <w:sz w:val="22"/>
                        <w:szCs w:val="22"/>
                      </w:rPr>
                      <w:t xml:space="preserve">Šis projektas leistų sukurti tvarų genominės medicinos tinklą šalyje ateities personalizuotos medicinos plėtrai, sutelkti aukščiausios kompetencijos žmogiškuosius išteklius ir inovatyvią įrangą sėkmingam įsijungimui į ES tinklines struktūras, pasitarnautų Europos 1 mln. genomų tyrimo duomenų atvėrimui ateities personalizuotos medicinos inovacijoms kurti. </w:t>
                    </w:r>
                    <w:r>
                      <w:rPr>
                        <w:iCs/>
                        <w:sz w:val="22"/>
                        <w:szCs w:val="22"/>
                      </w:rPr>
                      <w:t xml:space="preserve">Šia veikla taip pat prisidedama </w:t>
                    </w:r>
                    <w:r>
                      <w:rPr>
                        <w:rFonts w:eastAsia="Calibri"/>
                        <w:sz w:val="22"/>
                        <w:szCs w:val="22"/>
                      </w:rPr>
                      <w:t xml:space="preserve">prie Ekonomikos gaivinimo ir atsparumo didinimo plane </w:t>
                    </w:r>
                    <w:r>
                      <w:rPr>
                        <w:sz w:val="22"/>
                        <w:szCs w:val="22"/>
                        <w:lang w:eastAsia="lt-LT"/>
                      </w:rPr>
                      <w:t>„</w:t>
                    </w:r>
                    <w:r>
                      <w:rPr>
                        <w:rFonts w:eastAsia="Calibri"/>
                        <w:sz w:val="22"/>
                        <w:szCs w:val="22"/>
                      </w:rPr>
                      <w:t>Naujos kartos Lietuva</w:t>
                    </w:r>
                    <w:r>
                      <w:rPr>
                        <w:sz w:val="22"/>
                        <w:szCs w:val="22"/>
                        <w:lang w:eastAsia="lt-LT"/>
                      </w:rPr>
                      <w:t>“</w:t>
                    </w:r>
                    <w:r>
                      <w:rPr>
                        <w:rFonts w:eastAsia="Calibri"/>
                        <w:sz w:val="22"/>
                        <w:szCs w:val="22"/>
                        <w:vertAlign w:val="superscript"/>
                      </w:rPr>
                      <w:footnoteReference w:id="4"/>
                    </w:r>
                    <w:r>
                      <w:rPr>
                        <w:sz w:val="22"/>
                        <w:szCs w:val="22"/>
                        <w:lang w:eastAsia="lt-LT"/>
                      </w:rPr>
                      <w:t xml:space="preserve"> </w:t>
                    </w:r>
                    <w:r>
                      <w:rPr>
                        <w:rFonts w:eastAsia="Calibri"/>
                        <w:sz w:val="22"/>
                        <w:szCs w:val="22"/>
                      </w:rPr>
                      <w:t>suplanuotos paslaugų kokybės ir prieinamumo gerinimo bei inovacijų skatinimo reformos įgyvendinimo.</w:t>
                    </w:r>
                  </w:p>
                  <w:p>
                    <w:pPr>
                      <w:spacing w:line="276" w:lineRule="auto"/>
                      <w:ind w:firstLine="883"/>
                      <w:jc w:val="both"/>
                      <w:rPr>
                        <w:rFonts w:eastAsia="Calibri"/>
                        <w:sz w:val="22"/>
                        <w:szCs w:val="22"/>
                      </w:rPr>
                    </w:pPr>
                    <w:r>
                      <w:rPr>
                        <w:rFonts w:eastAsia="Calibri"/>
                        <w:sz w:val="22"/>
                        <w:szCs w:val="22"/>
                      </w:rPr>
                      <w:t xml:space="preserve">Ekonomikos gaivinimo ir atsparumo didinimo plane </w:t>
                    </w:r>
                    <w:r>
                      <w:rPr>
                        <w:sz w:val="22"/>
                        <w:szCs w:val="22"/>
                        <w:lang w:eastAsia="lt-LT"/>
                      </w:rPr>
                      <w:t>„</w:t>
                    </w:r>
                    <w:r>
                      <w:rPr>
                        <w:rFonts w:eastAsia="Calibri"/>
                        <w:sz w:val="22"/>
                        <w:szCs w:val="22"/>
                      </w:rPr>
                      <w:t>Naujos kartos Lietuva</w:t>
                    </w:r>
                    <w:r>
                      <w:rPr>
                        <w:sz w:val="22"/>
                        <w:szCs w:val="22"/>
                        <w:lang w:eastAsia="lt-LT"/>
                      </w:rPr>
                      <w:t>“</w:t>
                    </w:r>
                    <w:r>
                      <w:rPr>
                        <w:rFonts w:eastAsia="Calibri"/>
                        <w:sz w:val="22"/>
                        <w:szCs w:val="22"/>
                      </w:rPr>
                      <w:t xml:space="preserve"> suplanuotos veiklos </w:t>
                    </w:r>
                    <w:r>
                      <w:rPr>
                        <w:rFonts w:eastAsia="Calibri"/>
                        <w:iCs/>
                        <w:sz w:val="22"/>
                        <w:szCs w:val="22"/>
                      </w:rPr>
                      <w:t xml:space="preserve">„Pažangių ir įrodymais pagrįstų technologijų sveikatos sektoriuje diegimas“ aprašyme minimos konkrečios sveikatos priežiūros įstaigos, kurios gali įgyvendinti projektą, kadangi šios įstaigos turi didžiausią patirtį šioje srityje, t. y. įstaigose dirba pasirengę specialistai, galintys interpretuoti viso žmogaus genomo sekoskaitos tyrimų </w:t>
                    </w:r>
                    <w:r>
                      <w:rPr>
                        <w:rFonts w:eastAsia="Calibri"/>
                        <w:sz w:val="22"/>
                        <w:szCs w:val="22"/>
                      </w:rPr>
                      <w:t>rezultatus, turi išvystytą infrastruktūrą, kur reikalingos palyginti nedidelės investicijos). Taip pat įstaigos, kurios sutiko ir dalyvauja iniciatyvoje „Towards Access to at Least 1 Million Sequenced Genomes in the European Union by 2022“, kurios metu apsispręsta pradėti nuo retomis ir onkologinėmis ligomis sergančiųjų pacientų viso genomo sekoskaitos tyrimų atlikimo ir pasiekiamumo užtikrinimo (</w:t>
                    </w:r>
                    <w:r>
                      <w:rPr>
                        <w:rFonts w:eastAsia="Calibri"/>
                        <w:iCs/>
                        <w:sz w:val="22"/>
                        <w:szCs w:val="22"/>
                      </w:rPr>
                      <w:t>VšĮ Vilniaus universiteto ligoninėje Santaros klinikose</w:t>
                    </w:r>
                    <w:r>
                      <w:rPr>
                        <w:rFonts w:eastAsia="Calibri"/>
                        <w:sz w:val="22"/>
                        <w:szCs w:val="22"/>
                      </w:rPr>
                      <w:t xml:space="preserve"> yra 39 retų ligų kompetencijos centrai, </w:t>
                    </w:r>
                    <w:r>
                      <w:rPr>
                        <w:rFonts w:eastAsia="Calibri"/>
                        <w:iCs/>
                        <w:sz w:val="22"/>
                        <w:szCs w:val="22"/>
                      </w:rPr>
                      <w:t>Lietuvos sveikatos mokslų universiteto ligoninėje Kauno klinikose</w:t>
                    </w:r>
                    <w:r>
                      <w:rPr>
                        <w:rFonts w:eastAsia="Calibri"/>
                        <w:sz w:val="22"/>
                        <w:szCs w:val="22"/>
                      </w:rPr>
                      <w:t xml:space="preserve"> – 25, </w:t>
                    </w:r>
                    <w:r>
                      <w:rPr>
                        <w:rFonts w:eastAsia="Calibri"/>
                        <w:iCs/>
                        <w:sz w:val="22"/>
                        <w:szCs w:val="22"/>
                      </w:rPr>
                      <w:t>Nacionaliniame vėžio institute</w:t>
                    </w:r>
                    <w:r>
                      <w:rPr>
                        <w:rFonts w:eastAsia="Calibri"/>
                        <w:sz w:val="22"/>
                        <w:szCs w:val="22"/>
                      </w:rPr>
                      <w:t xml:space="preserve"> – tikrasis Retųjų vėžinių susirgimų (EURACAN) Europos referencijos tinklo narys).</w:t>
                    </w:r>
                  </w:p>
                  <w:p>
                    <w:pPr>
                      <w:spacing w:line="276" w:lineRule="auto"/>
                      <w:ind w:firstLine="883"/>
                      <w:jc w:val="both"/>
                      <w:rPr>
                        <w:rFonts w:eastAsia="Calibri"/>
                        <w:sz w:val="22"/>
                        <w:szCs w:val="22"/>
                      </w:rPr>
                    </w:pPr>
                    <w:r>
                      <w:rPr>
                        <w:rFonts w:eastAsia="Calibri"/>
                        <w:sz w:val="22"/>
                        <w:szCs w:val="22"/>
                      </w:rPr>
                      <w:t>Galimas projekto vykdytojas ir partneriai yra Lietuvos nacionalinės sveikatos sistemos viešosios asmens sveikatos priežiūros įstaigos, kuriose teikiamos stacionarinės ir ambulatorinės konsultacinės asmens sveikatos priežiūros paslaugos. Ligoninės yra finansuojamos iš Privalomojo sveikatos draudimo fondo ir kitų valstybinių išteklių ir savo paslaugas teikia nemokamai pagal visuotinės aprėpties principą. Taip pat galimas projekto vykdytojas ir partneriai yra universitetų mokslo bazės, kurios dalyvauja atliekant plataus spektro mokslinius tyrimus bei yra įsitraukę į Europos Komisijos vykdomą iniciatyvą – Mažiausiai vieno milijono nusekvenuotų genomų prieinamumas Europos Sąjungoje iki 2022 metų“ (angl. „Towards Access to at Least 1 Million Sequenced Genomes in the European Union by 2022“).</w:t>
                    </w:r>
                  </w:p>
                  <w:p>
                    <w:pPr>
                      <w:suppressAutoHyphens/>
                      <w:spacing w:line="276" w:lineRule="auto"/>
                      <w:ind w:firstLine="851"/>
                      <w:jc w:val="both"/>
                      <w:rPr>
                        <w:rFonts w:eastAsia="Calibri"/>
                        <w:color w:val="000000"/>
                        <w:sz w:val="22"/>
                        <w:szCs w:val="22"/>
                        <w:lang w:eastAsia="lt-LT"/>
                      </w:rPr>
                    </w:pPr>
                    <w:r>
                      <w:rPr>
                        <w:rFonts w:eastAsia="Calibri"/>
                        <w:sz w:val="22"/>
                        <w:szCs w:val="22"/>
                      </w:rPr>
                      <w:t>Projekte, įgyvendinamam pagal Pažangos priemonės Poveiklę, nebus teikiamos paslaugos ar nuomojama infrastruktūra ekonominei veiklai vykdyti.</w:t>
                    </w:r>
                  </w:p>
                </w:tc>
              </w:tr>
              <w:tr>
                <w:tc>
                  <w:tcPr>
                    <w:tcW w:w="321" w:type="pct"/>
                    <w:shd w:val="clear" w:color="auto" w:fill="auto"/>
                  </w:tcPr>
                  <w:p>
                    <w:pPr>
                      <w:ind w:left="360" w:hanging="360"/>
                      <w:rPr>
                        <w:rFonts w:eastAsia="Calibri"/>
                        <w:b/>
                        <w:sz w:val="22"/>
                        <w:szCs w:val="22"/>
                        <w:lang w:val="en-US"/>
                      </w:rPr>
                    </w:pPr>
                    <w:r>
                      <w:rPr>
                        <w:rFonts w:eastAsia="Calibri"/>
                        <w:b/>
                        <w:sz w:val="22"/>
                        <w:szCs w:val="22"/>
                      </w:rPr>
                      <w:t>2.</w:t>
                      <w:tab/>
                    </w:r>
                  </w:p>
                </w:tc>
                <w:tc>
                  <w:tcPr>
                    <w:tcW w:w="2303" w:type="pct"/>
                    <w:gridSpan w:val="2"/>
                    <w:shd w:val="clear" w:color="auto" w:fill="auto"/>
                  </w:tcPr>
                  <w:p>
                    <w:pPr>
                      <w:rPr>
                        <w:sz w:val="10"/>
                        <w:szCs w:val="10"/>
                      </w:rPr>
                    </w:pPr>
                  </w:p>
                  <w:p>
                    <w:pPr>
                      <w:jc w:val="both"/>
                      <w:rPr>
                        <w:rFonts w:eastAsia="Calibri"/>
                        <w:b/>
                        <w:sz w:val="22"/>
                        <w:szCs w:val="22"/>
                      </w:rPr>
                    </w:pPr>
                    <w:r>
                      <w:rPr>
                        <w:rFonts w:eastAsia="Calibri"/>
                        <w:b/>
                        <w:sz w:val="22"/>
                        <w:szCs w:val="22"/>
                      </w:rPr>
                      <w:t xml:space="preserve">Ar finansavimas iš valstybės išteklių ūkio subjektams (-ui) suteiktų / suteikia išskirtinę ekonominę naudą, kurios jie / jis negautų rinkos sąlygomis? </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19"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6"/>
                    <w:shd w:val="clear" w:color="auto" w:fill="auto"/>
                  </w:tcPr>
                  <w:p>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galutinio naudos gavėjo lygmeniu. Jei finansavimas teikiamas infrastruktūros objektams ar įrangai (ilgalaikiam turtui) įsigyti, finansavimo nauda turi būti vertinama infrastruktūros statytojo / savininko, valdytojo ir galutinio naudos gavėjo lygmenimis.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pPr>
                      <w:ind w:left="644" w:hanging="360"/>
                      <w:jc w:val="both"/>
                      <w:rPr>
                        <w:rFonts w:eastAsia="Calibri"/>
                        <w:sz w:val="22"/>
                        <w:szCs w:val="22"/>
                        <w:lang w:val="en-US"/>
                      </w:rPr>
                    </w:pPr>
                    <w:r>
                      <w:rPr>
                        <w:b/>
                        <w:sz w:val="28"/>
                        <w:szCs w:val="22"/>
                      </w:rPr>
                      <w:t>-</w:t>
                      <w:tab/>
                    </w:r>
                    <w:r>
                      <w:rPr>
                        <w:rFonts w:eastAsia="Calibri"/>
                        <w:sz w:val="22"/>
                        <w:szCs w:val="22"/>
                        <w:lang w:val="en-US"/>
                      </w:rPr>
                      <w:t>veikla atitinka visuotinės ekonominės svarbos paslaugų požymius</w:t>
                    </w:r>
                    <w:r>
                      <w:rPr>
                        <w:rFonts w:eastAsia="Calibri"/>
                        <w:sz w:val="22"/>
                        <w:szCs w:val="22"/>
                        <w:vertAlign w:val="superscript"/>
                        <w:lang w:val="en-US"/>
                      </w:rPr>
                      <w:footnoteReference w:id="7"/>
                    </w:r>
                    <w:r>
                      <w:rPr>
                        <w:rFonts w:eastAsia="Calibri"/>
                        <w:sz w:val="22"/>
                        <w:szCs w:val="22"/>
                        <w:lang w:val="en-US"/>
                      </w:rPr>
                      <w:t>, jos užduotys ir įpareigojimai aiškiai apibrėžti;</w:t>
                    </w:r>
                  </w:p>
                  <w:p>
                    <w:pPr>
                      <w:ind w:left="644" w:hanging="360"/>
                      <w:jc w:val="both"/>
                      <w:rPr>
                        <w:rFonts w:eastAsia="Calibri"/>
                        <w:sz w:val="22"/>
                        <w:szCs w:val="22"/>
                        <w:lang w:val="en-US"/>
                      </w:rPr>
                    </w:pPr>
                    <w:r>
                      <w:rPr>
                        <w:b/>
                        <w:sz w:val="28"/>
                        <w:szCs w:val="22"/>
                      </w:rPr>
                      <w:t>-</w:t>
                      <w:tab/>
                    </w:r>
                    <w:r>
                      <w:rPr>
                        <w:rFonts w:eastAsia="Calibri"/>
                        <w:sz w:val="22"/>
                        <w:szCs w:val="22"/>
                        <w:lang w:val="en-US"/>
                      </w:rPr>
                      <w:t>viešųjų paslaugos išlaidų kompensavimo kriterijai objektyvūs, skaidrūs ir nustatyti iš anksto;</w:t>
                    </w:r>
                  </w:p>
                  <w:p>
                    <w:pPr>
                      <w:ind w:left="644" w:hanging="360"/>
                      <w:jc w:val="both"/>
                      <w:rPr>
                        <w:rFonts w:eastAsia="Calibri"/>
                        <w:sz w:val="22"/>
                        <w:szCs w:val="22"/>
                        <w:lang w:val="en-US"/>
                      </w:rPr>
                    </w:pPr>
                    <w:r>
                      <w:rPr>
                        <w:b/>
                        <w:sz w:val="28"/>
                        <w:szCs w:val="22"/>
                      </w:rPr>
                      <w:t>-</w:t>
                      <w:tab/>
                    </w:r>
                    <w:r>
                      <w:rPr>
                        <w:rFonts w:eastAsia="Calibri"/>
                        <w:sz w:val="22"/>
                        <w:szCs w:val="22"/>
                        <w:lang w:val="en-US"/>
                      </w:rPr>
                      <w:t xml:space="preserve">kompensacija neviršija grynųjų paslaugos teikimo sąnaudų, įskaitant pagrįstą pelną (t. y. kompensuojama nepermokant) ir </w:t>
                    </w:r>
                  </w:p>
                  <w:p>
                    <w:pPr>
                      <w:ind w:left="644" w:hanging="360"/>
                      <w:jc w:val="both"/>
                      <w:rPr>
                        <w:rFonts w:eastAsia="Calibri"/>
                        <w:sz w:val="22"/>
                        <w:szCs w:val="22"/>
                        <w:lang w:val="en-US"/>
                      </w:rPr>
                    </w:pPr>
                    <w:r>
                      <w:rPr>
                        <w:b/>
                        <w:sz w:val="28"/>
                        <w:szCs w:val="22"/>
                      </w:rPr>
                      <w:t>-</w:t>
                      <w:tab/>
                    </w:r>
                    <w:r>
                      <w:rPr>
                        <w:rFonts w:eastAsia="Calibri"/>
                        <w:sz w:val="22"/>
                        <w:szCs w:val="22"/>
                        <w:lang w:val="en-US"/>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tc>
                  <w:tcPr>
                    <w:tcW w:w="5000" w:type="pct"/>
                    <w:gridSpan w:val="6"/>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6"/>
                    <w:shd w:val="clear" w:color="auto" w:fill="auto"/>
                  </w:tcPr>
                  <w:p>
                    <w:pPr>
                      <w:jc w:val="both"/>
                      <w:rPr>
                        <w:rFonts w:eastAsia="Calibri"/>
                        <w:i/>
                        <w:szCs w:val="24"/>
                      </w:rPr>
                    </w:pPr>
                  </w:p>
                </w:tc>
              </w:tr>
              <w:tr>
                <w:tc>
                  <w:tcPr>
                    <w:tcW w:w="321" w:type="pct"/>
                    <w:shd w:val="clear" w:color="auto" w:fill="auto"/>
                  </w:tcPr>
                  <w:p>
                    <w:pPr>
                      <w:ind w:left="360" w:hanging="360"/>
                      <w:rPr>
                        <w:rFonts w:eastAsia="Calibri"/>
                        <w:b/>
                        <w:sz w:val="22"/>
                        <w:szCs w:val="22"/>
                        <w:lang w:val="en-US"/>
                      </w:rPr>
                    </w:pPr>
                    <w:r>
                      <w:rPr>
                        <w:rFonts w:eastAsia="Calibri"/>
                        <w:b/>
                        <w:sz w:val="22"/>
                        <w:szCs w:val="22"/>
                      </w:rPr>
                      <w:t>3.</w:t>
                      <w:tab/>
                    </w:r>
                  </w:p>
                </w:tc>
                <w:tc>
                  <w:tcPr>
                    <w:tcW w:w="2303" w:type="pct"/>
                    <w:gridSpan w:val="2"/>
                    <w:shd w:val="clear" w:color="auto" w:fill="auto"/>
                  </w:tcPr>
                  <w:p>
                    <w:pPr>
                      <w:rPr>
                        <w:sz w:val="10"/>
                        <w:szCs w:val="10"/>
                      </w:rPr>
                    </w:pPr>
                  </w:p>
                  <w:p>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19"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6"/>
                    <w:shd w:val="clear" w:color="auto" w:fill="auto"/>
                  </w:tcPr>
                  <w:p>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tc>
                  <w:tcPr>
                    <w:tcW w:w="5000" w:type="pct"/>
                    <w:gridSpan w:val="6"/>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6"/>
                    <w:shd w:val="clear" w:color="auto" w:fill="auto"/>
                  </w:tcPr>
                  <w:p>
                    <w:pPr>
                      <w:tabs>
                        <w:tab w:val="left" w:pos="317"/>
                      </w:tabs>
                      <w:spacing w:line="276" w:lineRule="auto"/>
                      <w:jc w:val="both"/>
                      <w:rPr>
                        <w:rFonts w:eastAsia="Calibri"/>
                        <w:i/>
                        <w:szCs w:val="24"/>
                      </w:rPr>
                    </w:pPr>
                  </w:p>
                </w:tc>
              </w:tr>
              <w:tr>
                <w:tc>
                  <w:tcPr>
                    <w:tcW w:w="321" w:type="pct"/>
                    <w:shd w:val="clear" w:color="auto" w:fill="auto"/>
                  </w:tcPr>
                  <w:p>
                    <w:pPr>
                      <w:ind w:left="360" w:hanging="360"/>
                      <w:rPr>
                        <w:rFonts w:eastAsia="Calibri"/>
                        <w:b/>
                        <w:sz w:val="22"/>
                        <w:szCs w:val="22"/>
                        <w:lang w:val="en-US"/>
                      </w:rPr>
                    </w:pPr>
                    <w:r>
                      <w:rPr>
                        <w:rFonts w:eastAsia="Calibri"/>
                        <w:b/>
                        <w:sz w:val="22"/>
                        <w:szCs w:val="22"/>
                      </w:rPr>
                      <w:t>4.</w:t>
                      <w:tab/>
                    </w:r>
                  </w:p>
                </w:tc>
                <w:tc>
                  <w:tcPr>
                    <w:tcW w:w="2303" w:type="pct"/>
                    <w:gridSpan w:val="2"/>
                    <w:shd w:val="clear" w:color="auto" w:fill="auto"/>
                  </w:tcPr>
                  <w:p>
                    <w:pPr>
                      <w:rPr>
                        <w:sz w:val="10"/>
                        <w:szCs w:val="10"/>
                      </w:rPr>
                    </w:pPr>
                  </w:p>
                  <w:p>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19"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6"/>
                    <w:shd w:val="clear" w:color="auto" w:fill="auto"/>
                  </w:tcPr>
                  <w:p>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aptariamomis paslaugomis ar prekėmis apskritai prekiaujama su ES šalimis.  </w:t>
                    </w:r>
                  </w:p>
                </w:tc>
              </w:tr>
              <w:tr>
                <w:tc>
                  <w:tcPr>
                    <w:tcW w:w="5000" w:type="pct"/>
                    <w:gridSpan w:val="6"/>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6"/>
                    <w:shd w:val="clear" w:color="auto" w:fill="auto"/>
                  </w:tcPr>
                  <w:p>
                    <w:pPr>
                      <w:jc w:val="both"/>
                      <w:rPr>
                        <w:rFonts w:eastAsia="Calibri"/>
                        <w:i/>
                        <w:sz w:val="22"/>
                        <w:szCs w:val="22"/>
                      </w:rPr>
                    </w:pPr>
                  </w:p>
                </w:tc>
              </w:tr>
              <w:tr>
                <w:tc>
                  <w:tcPr>
                    <w:tcW w:w="5000" w:type="pct"/>
                    <w:gridSpan w:val="6"/>
                    <w:shd w:val="pct20" w:color="auto" w:fill="auto"/>
                  </w:tcPr>
                  <w:p>
                    <w:pPr>
                      <w:ind w:left="720" w:hanging="360"/>
                      <w:jc w:val="both"/>
                      <w:rPr>
                        <w:rFonts w:eastAsia="Calibri"/>
                        <w:b/>
                        <w:sz w:val="22"/>
                        <w:szCs w:val="22"/>
                        <w:lang w:val="en-US"/>
                      </w:rPr>
                    </w:pPr>
                    <w:r>
                      <w:rPr>
                        <w:rFonts w:eastAsia="Calibri"/>
                        <w:b/>
                        <w:sz w:val="22"/>
                        <w:szCs w:val="22"/>
                      </w:rPr>
                      <w:t>II.</w:t>
                      <w:tab/>
                    </w:r>
                    <w:r>
                      <w:rPr>
                        <w:rFonts w:eastAsia="Calibri"/>
                        <w:b/>
                        <w:sz w:val="22"/>
                        <w:szCs w:val="22"/>
                        <w:lang w:val="en-US"/>
                      </w:rPr>
                      <w:t>Išvados dėl valstybės pagalbos (ne)buvimo</w:t>
                    </w:r>
                  </w:p>
                  <w:p>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tc>
                  <w:tcPr>
                    <w:tcW w:w="5000" w:type="pct"/>
                    <w:gridSpan w:val="6"/>
                    <w:shd w:val="clear" w:color="auto" w:fill="auto"/>
                  </w:tcPr>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
                          <w:enabled/>
                          <w:calcOnExit w:val="0"/>
                          <w:checkBox>
                            <w:sizeAuto/>
                            <w:default w:val="1"/>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tolesni veiksmai ir numatomos rizikos valdymo priemonės. </w:t>
                    </w:r>
                  </w:p>
                </w:tc>
              </w:tr>
              <w:tr>
                <w:tc>
                  <w:tcPr>
                    <w:tcW w:w="5000" w:type="pct"/>
                    <w:gridSpan w:val="6"/>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6"/>
                    <w:shd w:val="clear" w:color="auto" w:fill="auto"/>
                  </w:tcPr>
                  <w:p>
                    <w:pPr>
                      <w:rPr>
                        <w:sz w:val="8"/>
                        <w:szCs w:val="8"/>
                      </w:rPr>
                    </w:pPr>
                  </w:p>
                  <w:p>
                    <w:pPr>
                      <w:jc w:val="both"/>
                      <w:rPr>
                        <w:szCs w:val="24"/>
                        <w:lang w:eastAsia="lt-LT"/>
                      </w:rPr>
                    </w:pPr>
                    <w:r>
                      <w:rPr>
                        <w:szCs w:val="24"/>
                        <w:lang w:eastAsia="lt-LT"/>
                      </w:rPr>
                      <w:t xml:space="preserve">Pagal pažangos priemonės </w:t>
                    </w:r>
                    <w:r>
                      <w:rPr>
                        <w:color w:val="000000"/>
                        <w:szCs w:val="24"/>
                        <w:lang w:eastAsia="lt-LT"/>
                      </w:rPr>
                      <w:t xml:space="preserve">Nr. </w:t>
                    </w:r>
                    <w:r>
                      <w:rPr>
                        <w:caps/>
                        <w:szCs w:val="24"/>
                        <w:lang w:eastAsia="lt-LT"/>
                      </w:rPr>
                      <w:t>11-002-02-11-01</w:t>
                    </w:r>
                    <w:r>
                      <w:rPr>
                        <w:szCs w:val="24"/>
                        <w:lang w:eastAsia="lt-LT"/>
                      </w:rPr>
                      <w:t xml:space="preserve"> „</w:t>
                    </w:r>
                    <w:r>
                      <w:rPr>
                        <w:i/>
                        <w:iCs/>
                        <w:szCs w:val="24"/>
                        <w:lang w:eastAsia="lt-LT"/>
                      </w:rPr>
                      <w:t>G</w:t>
                    </w:r>
                    <w:r>
                      <w:rPr>
                        <w:i/>
                        <w:iCs/>
                        <w:color w:val="000000"/>
                        <w:szCs w:val="24"/>
                        <w:lang w:eastAsia="lt-LT"/>
                      </w:rPr>
                      <w:t>erinti sveikatos priežiūros paslaugų kokybę ir prieinamumą“</w:t>
                    </w:r>
                    <w:r>
                      <w:rPr>
                        <w:color w:val="000000"/>
                        <w:szCs w:val="24"/>
                        <w:lang w:eastAsia="lt-LT"/>
                      </w:rPr>
                      <w:t xml:space="preserve"> </w:t>
                    </w:r>
                    <w:r>
                      <w:rPr>
                        <w:szCs w:val="24"/>
                        <w:lang w:eastAsia="lt-LT"/>
                      </w:rPr>
                      <w:t>veiklos „Pažangių ir įrodymais pagrįstų technologijų sveikatos sektoriuje diegimas</w:t>
                    </w:r>
                    <w:r>
                      <w:rPr>
                        <w:szCs w:val="24"/>
                      </w:rPr>
                      <w:t>“</w:t>
                    </w:r>
                    <w:r>
                      <w:rPr>
                        <w:szCs w:val="24"/>
                        <w:lang w:eastAsia="lt-LT"/>
                      </w:rPr>
                      <w:t xml:space="preserve"> </w:t>
                    </w:r>
                    <w:r>
                      <w:rPr>
                        <w:color w:val="000000"/>
                        <w:szCs w:val="24"/>
                        <w:lang w:eastAsia="lt-LT"/>
                      </w:rPr>
                      <w:t>p</w:t>
                    </w:r>
                    <w:r>
                      <w:rPr>
                        <w:szCs w:val="24"/>
                        <w:lang w:eastAsia="lt-LT"/>
                      </w:rPr>
                      <w:t>oveiklę Nr. 3.3 „Genomo tyrimams atlikti reikalingos įrangos įsigijimas ir tyrimų atlikimas</w:t>
                    </w:r>
                    <w:r>
                      <w:rPr>
                        <w:szCs w:val="24"/>
                      </w:rPr>
                      <w:t>“</w:t>
                    </w:r>
                    <w:r>
                      <w:rPr>
                        <w:szCs w:val="24"/>
                        <w:lang w:eastAsia="lt-LT"/>
                      </w:rPr>
                      <w:t xml:space="preserve"> </w:t>
                    </w:r>
                    <w:r>
                      <w:rPr>
                        <w:color w:val="000000"/>
                        <w:szCs w:val="24"/>
                        <w:lang w:eastAsia="lt-LT"/>
                      </w:rPr>
                      <w:t>planuojamas projektas, kurio vykdytojai, įgyvendindami suplanuotas veiklas, veikia</w:t>
                    </w:r>
                    <w:r>
                      <w:rPr>
                        <w:rFonts w:eastAsia="Calibri"/>
                        <w:szCs w:val="24"/>
                        <w:lang w:eastAsia="lt-LT"/>
                      </w:rPr>
                      <w:t xml:space="preserve"> kaip nacionalinės sveikatos sistemos dalis, </w:t>
                    </w:r>
                    <w:r>
                      <w:rPr>
                        <w:szCs w:val="24"/>
                        <w:lang w:eastAsia="lt-LT"/>
                      </w:rPr>
                      <w:t xml:space="preserve">jų veikla grindžiama solidarumo principu ir </w:t>
                    </w:r>
                    <w:r>
                      <w:rPr>
                        <w:rFonts w:eastAsia="Calibri"/>
                        <w:szCs w:val="24"/>
                        <w:lang w:eastAsia="lt-LT"/>
                      </w:rPr>
                      <w:t xml:space="preserve">nėra priskirta ekonominei veiklai. Tiesiogiai atitinka </w:t>
                    </w:r>
                    <w:r>
                      <w:rPr>
                        <w:szCs w:val="24"/>
                        <w:lang w:eastAsia="lt-LT"/>
                      </w:rPr>
                      <w:t>Komisijos pranešimo dėl Sutarties dėl Europos Sąjungos veikimo 107 straipsnio 1 dalyje vartojamos valstybės pagalbos sąvokos (2016/C 262/01) 24 punktą.</w:t>
                    </w:r>
                  </w:p>
                </w:tc>
              </w:tr>
            </w:tbl>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r>
                <w:rPr>
                  <w:rFonts w:eastAsia="Calibri"/>
                  <w:szCs w:val="24"/>
                </w:rPr>
                <w:t xml:space="preserve">_____________________________________ </w:t>
                <w:tab/>
                <w:t>____________________</w:t>
                <w:tab/>
              </w:r>
            </w:p>
            <w:p>
              <w:pPr>
                <w:tabs>
                  <w:tab w:val="left" w:pos="426"/>
                  <w:tab w:val="left" w:pos="7797"/>
                </w:tabs>
                <w:spacing w:line="276" w:lineRule="auto"/>
                <w:ind w:firstLine="426"/>
                <w:rPr>
                  <w:rFonts w:eastAsia="Calibri"/>
                  <w:szCs w:val="24"/>
                </w:rPr>
              </w:pPr>
              <w:r>
                <w:rPr>
                  <w:rFonts w:eastAsia="Calibri"/>
                  <w:szCs w:val="24"/>
                </w:rPr>
                <w:t xml:space="preserve">(vertintojo pareigos, vardas, pavardė) </w:t>
                <w:tab/>
                <w:t xml:space="preserve">(parašas) </w:t>
                <w:tab/>
              </w:r>
            </w:p>
            <w:p>
              <w:pPr>
                <w:rPr>
                  <w:sz w:val="18"/>
                  <w:szCs w:val="18"/>
                </w:rPr>
              </w:pPr>
            </w:p>
            <w:p>
              <w:pPr>
                <w:spacing w:line="276" w:lineRule="auto"/>
                <w:jc w:val="center"/>
                <w:rPr>
                  <w:rFonts w:ascii="Calibri" w:eastAsia="Calibri" w:hAnsi="Calibri"/>
                  <w:sz w:val="22"/>
                  <w:szCs w:val="22"/>
                </w:rPr>
              </w:pPr>
              <w:r>
                <w:rPr>
                  <w:rFonts w:ascii="Calibri" w:eastAsia="Calibri" w:hAnsi="Calibri"/>
                  <w:sz w:val="22"/>
                  <w:szCs w:val="22"/>
                </w:rPr>
                <w:t>_____________________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2240" w:h="15840"/>
      <w:pgMar w:top="1701" w:right="567" w:bottom="1134" w:left="1701" w:header="708" w:footer="708" w:gutter="0"/>
      <w:pgNumType w:chapStyle="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lang w:val="en-US"/>
        </w:rPr>
      </w:pPr>
      <w:r>
        <w:rPr>
          <w:rFonts w:ascii="Calibri" w:eastAsia="Calibri" w:hAnsi="Calibri"/>
          <w:sz w:val="22"/>
          <w:szCs w:val="22"/>
          <w:lang w:val="en-US"/>
        </w:rPr>
        <w:separator/>
      </w:r>
    </w:p>
  </w:endnote>
  <w:endnote w:type="continuationSeparator" w:id="0">
    <w:p>
      <w:pPr>
        <w:rPr>
          <w:rFonts w:ascii="Calibri" w:eastAsia="Calibri" w:hAnsi="Calibri"/>
          <w:sz w:val="22"/>
          <w:szCs w:val="22"/>
          <w:lang w:val="en-US"/>
        </w:rPr>
      </w:pPr>
      <w:r>
        <w:rPr>
          <w:rFonts w:ascii="Calibri" w:eastAsia="Calibri" w:hAnsi="Calibri"/>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lang w:val="en-US"/>
        </w:rPr>
      </w:pPr>
      <w:r>
        <w:rPr>
          <w:rFonts w:ascii="Calibri" w:eastAsia="Calibri" w:hAnsi="Calibri"/>
          <w:sz w:val="22"/>
          <w:szCs w:val="22"/>
          <w:lang w:val="en-US"/>
        </w:rPr>
        <w:separator/>
      </w:r>
    </w:p>
  </w:footnote>
  <w:footnote w:type="continuationSeparator" w:id="0">
    <w:p>
      <w:pPr>
        <w:rPr>
          <w:rFonts w:ascii="Calibri" w:eastAsia="Calibri" w:hAnsi="Calibri"/>
          <w:sz w:val="22"/>
          <w:szCs w:val="22"/>
          <w:lang w:val="en-US"/>
        </w:rPr>
      </w:pPr>
      <w:r>
        <w:rPr>
          <w:rFonts w:ascii="Calibri" w:eastAsia="Calibri" w:hAnsi="Calibri"/>
          <w:sz w:val="22"/>
          <w:szCs w:val="22"/>
          <w:lang w:val="en-US"/>
        </w:rPr>
        <w:continuationSeparator/>
      </w:r>
    </w:p>
  </w:footnote>
  <w:footnote w:id="1">
    <w:p>
      <w:pPr>
        <w:jc w:val="both"/>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Vertinant valstybės pagalbos kriterijus vadovaujamasi Europos Komisijos pranešimu dėl valstybės pagalbos sąvokos ir teismų praktika (angl. Commission Notice on the notion of State aid pursuant to Article 107(1) TFEU, jei taikoma.</w:t>
      </w:r>
    </w:p>
  </w:footnote>
  <w:footnote w:id="2">
    <w:p>
      <w:pPr>
        <w:jc w:val="both"/>
        <w:rPr>
          <w:rFonts w:eastAsia="Calibri"/>
          <w:sz w:val="20"/>
          <w:lang w:val="en-US"/>
        </w:rPr>
      </w:pPr>
      <w:r>
        <w:rPr>
          <w:rFonts w:ascii="Calibri" w:eastAsia="Calibri" w:hAnsi="Calibri"/>
          <w:sz w:val="20"/>
          <w:vertAlign w:val="superscript"/>
          <w:lang w:val="en-US"/>
        </w:rPr>
        <w:footnoteRef/>
      </w:r>
      <w:r>
        <w:rPr>
          <w:rFonts w:eastAsia="Calibri"/>
          <w:sz w:val="20"/>
          <w:lang w:val="en-US"/>
        </w:rPr>
        <w:t>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3">
    <w:p>
      <w:pPr>
        <w:jc w:val="both"/>
        <w:rPr>
          <w:rFonts w:ascii="Calibri" w:eastAsia="Calibri" w:hAnsi="Calibri"/>
          <w:sz w:val="20"/>
        </w:rPr>
      </w:pPr>
      <w:r>
        <w:rPr>
          <w:rFonts w:eastAsia="Calibri"/>
          <w:sz w:val="20"/>
          <w:vertAlign w:val="superscript"/>
          <w:lang w:val="en-US"/>
        </w:rPr>
        <w:footnoteRef/>
      </w:r>
      <w:r>
        <w:rPr>
          <w:rFonts w:eastAsia="Calibri"/>
          <w:sz w:val="20"/>
          <w:lang w:val="en-US"/>
        </w:rPr>
        <w:t xml:space="preserve"> </w:t>
      </w:r>
      <w:r>
        <w:rPr>
          <w:rFonts w:eastAsia="Calibri"/>
          <w:sz w:val="20"/>
        </w:rPr>
        <w:t>Plačiau su šia sąvoka galima susipažinti 1988 m. gegužės 4 d. Teisingumo Teismo sprendimo Bodson, 30/87,ECLI:EU:C:1988:225, 18 punkte.</w:t>
      </w:r>
    </w:p>
  </w:footnote>
  <w:footnote w:id="4">
    <w:p>
      <w:pPr>
        <w:rPr>
          <w:rFonts w:eastAsia="Calibri"/>
          <w:sz w:val="20"/>
        </w:rPr>
      </w:pPr>
      <w:r>
        <w:rPr>
          <w:rFonts w:eastAsia="Calibri"/>
          <w:sz w:val="20"/>
          <w:vertAlign w:val="superscript"/>
          <w:lang w:val="en-US"/>
        </w:rPr>
        <w:footnoteRef/>
      </w:r>
      <w:r>
        <w:rPr>
          <w:rFonts w:eastAsia="Calibri"/>
          <w:sz w:val="20"/>
          <w:lang w:val="en-US"/>
        </w:rPr>
        <w:t xml:space="preserve"> </w:t>
      </w:r>
      <w:r>
        <w:rPr>
          <w:rFonts w:eastAsia="Calibri"/>
          <w:color w:val="0000FF"/>
          <w:sz w:val="20"/>
          <w:u w:val="single"/>
          <w:lang w:val="en-US"/>
        </w:rPr>
        <w:t>https://finmin.lrv.lt/uploads/finmin/documents/files/Naujos%20kartos%20Lietuva%20planas.pdf</w:t>
      </w:r>
      <w:r>
        <w:rPr>
          <w:rFonts w:eastAsia="Calibri"/>
          <w:sz w:val="20"/>
          <w:lang w:val="en-US"/>
        </w:rPr>
        <w:t xml:space="preserve"> </w:t>
      </w:r>
    </w:p>
  </w:footnote>
  <w:footnote w:id="5">
    <w:p>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000FF"/>
          <w:sz w:val="20"/>
          <w:u w:val="single"/>
        </w:rPr>
        <w:t>http://ec.europa.eu/competition/state_aid/overview/public_services_en.html</w:t>
      </w:r>
      <w:r>
        <w:rPr>
          <w:rFonts w:eastAsia="Calibri"/>
          <w:sz w:val="20"/>
        </w:rPr>
        <w:t xml:space="preserve">. </w:t>
      </w:r>
    </w:p>
  </w:footnote>
  <w:footnote w:id="6">
    <w:p>
      <w:pPr>
        <w:jc w:val="both"/>
        <w:rPr>
          <w:rFonts w:eastAsia="Calibri"/>
          <w:sz w:val="20"/>
        </w:rPr>
      </w:pPr>
      <w:r>
        <w:rPr>
          <w:rFonts w:eastAsia="Calibri"/>
          <w:sz w:val="20"/>
          <w:vertAlign w:val="superscript"/>
          <w:lang w:val="en-US"/>
        </w:rPr>
        <w:footnoteRef/>
      </w:r>
      <w:r>
        <w:rPr>
          <w:rFonts w:eastAsia="Calibri"/>
          <w:sz w:val="20"/>
          <w:lang w:val="en-US"/>
        </w:rPr>
        <w:t xml:space="preserve"> Palčiau galima susipažinti </w:t>
      </w:r>
      <w:r>
        <w:rPr>
          <w:rFonts w:eastAsia="Calibri"/>
          <w:color w:val="0000FF"/>
          <w:sz w:val="20"/>
          <w:u w:val="single"/>
          <w:lang w:val="en-US"/>
        </w:rPr>
        <w:t>Europos S</w:t>
      </w:r>
      <w:r>
        <w:rPr>
          <w:rFonts w:eastAsia="Calibri"/>
          <w:color w:val="0000FF"/>
          <w:sz w:val="20"/>
          <w:u w:val="single"/>
        </w:rPr>
        <w:t>ą</w:t>
      </w:r>
      <w:r>
        <w:rPr>
          <w:rFonts w:eastAsia="Calibri"/>
          <w:color w:val="0000FF"/>
          <w:sz w:val="20"/>
          <w:u w:val="single"/>
          <w:lang w:val="en-US"/>
        </w:rPr>
        <w:t xml:space="preserve">jungos Teisingumo Teismo 2003 m. liepos 24 d. sprendime </w:t>
      </w:r>
      <w:r>
        <w:rPr>
          <w:rFonts w:eastAsia="Calibri"/>
          <w:i/>
          <w:iCs/>
          <w:color w:val="0000FF"/>
          <w:sz w:val="20"/>
          <w:u w:val="single"/>
          <w:lang w:val="en-US"/>
        </w:rPr>
        <w:t>Altmark</w:t>
      </w:r>
      <w:r>
        <w:rPr>
          <w:rFonts w:eastAsia="Calibri"/>
          <w:color w:val="0000FF"/>
          <w:sz w:val="20"/>
          <w:u w:val="single"/>
          <w:lang w:val="en-US"/>
        </w:rPr>
        <w:t>, C‑280/00, EU:C:2003:415.</w:t>
      </w:r>
      <w:r>
        <w:rPr>
          <w:rFonts w:eastAsia="Calibri"/>
          <w:sz w:val="20"/>
          <w:lang w:val="en-US"/>
        </w:rPr>
        <w:t xml:space="preserve"> </w:t>
      </w:r>
    </w:p>
  </w:footnote>
  <w:footnote w:id="7">
    <w:p>
      <w:pPr>
        <w:jc w:val="both"/>
        <w:rPr>
          <w:rFonts w:eastAsia="Calibri"/>
          <w:sz w:val="20"/>
        </w:rPr>
      </w:pPr>
      <w:r>
        <w:rPr>
          <w:rFonts w:eastAsia="Calibri"/>
          <w:sz w:val="20"/>
          <w:vertAlign w:val="superscript"/>
          <w:lang w:val="en-US"/>
        </w:rPr>
        <w:footnoteRef/>
      </w:r>
      <w:r>
        <w:rPr>
          <w:rFonts w:eastAsia="Calibri"/>
          <w:sz w:val="20"/>
          <w:lang w:val="en-US"/>
        </w:rPr>
        <w:t xml:space="preserve"> </w:t>
      </w:r>
      <w:r>
        <w:rPr>
          <w:rFonts w:eastAsia="Calibri"/>
          <w:color w:val="0000FF"/>
          <w:sz w:val="20"/>
          <w:u w:val="single"/>
          <w:lang w:val="en-US"/>
        </w:rPr>
        <w:t>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rFonts w:ascii="Calibri" w:eastAsia="Calibri" w:hAnsi="Calibri"/>
        <w:sz w:val="22"/>
        <w:szCs w:val="22"/>
        <w:lang w:val="en-US"/>
      </w:rPr>
    </w:pPr>
    <w:r>
      <w:rPr>
        <w:rFonts w:ascii="Calibri" w:eastAsia="Calibri" w:hAnsi="Calibri"/>
        <w:sz w:val="22"/>
        <w:szCs w:val="22"/>
        <w:lang w:val="en-US"/>
      </w:rPr>
      <w:fldChar w:fldCharType="begin"/>
    </w:r>
    <w:r>
      <w:rPr>
        <w:rFonts w:ascii="Calibri" w:eastAsia="Calibri" w:hAnsi="Calibri"/>
        <w:sz w:val="22"/>
        <w:szCs w:val="22"/>
        <w:lang w:val="en-US"/>
      </w:rPr>
      <w:instrText>PAGE   \* MERGEFORMAT</w:instrText>
    </w:r>
    <w:r>
      <w:rPr>
        <w:rFonts w:ascii="Calibri" w:eastAsia="Calibri" w:hAnsi="Calibri"/>
        <w:sz w:val="22"/>
        <w:szCs w:val="22"/>
        <w:lang w:val="en-US"/>
      </w:rPr>
      <w:fldChar w:fldCharType="separate"/>
    </w:r>
    <w:r>
      <w:rPr>
        <w:rFonts w:ascii="Calibri" w:eastAsia="Calibri" w:hAnsi="Calibri"/>
        <w:sz w:val="22"/>
        <w:szCs w:val="22"/>
      </w:rPr>
      <w:t>6</w:t>
    </w:r>
    <w:r>
      <w:rPr>
        <w:rFonts w:ascii="Calibri" w:eastAsia="Calibri" w:hAnsi="Calibri"/>
        <w:sz w:val="22"/>
        <w:szCs w:val="22"/>
        <w:lang w:val="en-US"/>
      </w:rPr>
      <w:fldChar w:fldCharType="end"/>
    </w:r>
  </w:p>
  <w:p>
    <w:pPr>
      <w:tabs>
        <w:tab w:val="center" w:pos="4986"/>
        <w:tab w:val="right" w:pos="9972"/>
      </w:tabs>
      <w:rPr>
        <w:rFonts w:ascii="Calibri" w:eastAsia="Calibri" w:hAnsi="Calibri"/>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4C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5F17E6-3E12-4762-A8B8-420B61B534A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3574976">
      <w:bodyDiv w:val="1"/>
      <w:marLeft w:val="0"/>
      <w:marRight w:val="0"/>
      <w:marTop w:val="0"/>
      <w:marBottom w:val="0"/>
      <w:divBdr>
        <w:top w:val="none" w:sz="0" w:space="0" w:color="auto"/>
        <w:left w:val="none" w:sz="0" w:space="0" w:color="auto"/>
        <w:bottom w:val="none" w:sz="0" w:space="0" w:color="auto"/>
        <w:right w:val="none" w:sz="0" w:space="0" w:color="auto"/>
      </w:divBdr>
    </w:div>
    <w:div w:id="775715325">
      <w:bodyDiv w:val="1"/>
      <w:marLeft w:val="0"/>
      <w:marRight w:val="0"/>
      <w:marTop w:val="0"/>
      <w:marBottom w:val="0"/>
      <w:divBdr>
        <w:top w:val="none" w:sz="0" w:space="0" w:color="auto"/>
        <w:left w:val="none" w:sz="0" w:space="0" w:color="auto"/>
        <w:bottom w:val="none" w:sz="0" w:space="0" w:color="auto"/>
        <w:right w:val="none" w:sz="0" w:space="0" w:color="auto"/>
      </w:divBdr>
    </w:div>
    <w:div w:id="1150292676">
      <w:bodyDiv w:val="1"/>
      <w:marLeft w:val="0"/>
      <w:marRight w:val="0"/>
      <w:marTop w:val="0"/>
      <w:marBottom w:val="0"/>
      <w:divBdr>
        <w:top w:val="none" w:sz="0" w:space="0" w:color="auto"/>
        <w:left w:val="none" w:sz="0" w:space="0" w:color="auto"/>
        <w:bottom w:val="none" w:sz="0" w:space="0" w:color="auto"/>
        <w:right w:val="none" w:sz="0" w:space="0" w:color="auto"/>
      </w:divBdr>
      <w:divsChild>
        <w:div w:id="1222861436">
          <w:marLeft w:val="0"/>
          <w:marRight w:val="0"/>
          <w:marTop w:val="0"/>
          <w:marBottom w:val="0"/>
          <w:divBdr>
            <w:top w:val="none" w:sz="0" w:space="0" w:color="auto"/>
            <w:left w:val="none" w:sz="0" w:space="0" w:color="auto"/>
            <w:bottom w:val="none" w:sz="0" w:space="0" w:color="auto"/>
            <w:right w:val="none" w:sz="0" w:space="0" w:color="auto"/>
          </w:divBdr>
        </w:div>
        <w:div w:id="1669013594">
          <w:marLeft w:val="0"/>
          <w:marRight w:val="0"/>
          <w:marTop w:val="0"/>
          <w:marBottom w:val="0"/>
          <w:divBdr>
            <w:top w:val="none" w:sz="0" w:space="0" w:color="auto"/>
            <w:left w:val="none" w:sz="0" w:space="0" w:color="auto"/>
            <w:bottom w:val="none" w:sz="0" w:space="0" w:color="auto"/>
            <w:right w:val="none" w:sz="0" w:space="0" w:color="auto"/>
          </w:divBdr>
        </w:div>
        <w:div w:id="563834930">
          <w:marLeft w:val="0"/>
          <w:marRight w:val="0"/>
          <w:marTop w:val="0"/>
          <w:marBottom w:val="0"/>
          <w:divBdr>
            <w:top w:val="none" w:sz="0" w:space="0" w:color="auto"/>
            <w:left w:val="none" w:sz="0" w:space="0" w:color="auto"/>
            <w:bottom w:val="none" w:sz="0" w:space="0" w:color="auto"/>
            <w:right w:val="none" w:sz="0" w:space="0" w:color="auto"/>
          </w:divBdr>
        </w:div>
        <w:div w:id="1686442349">
          <w:marLeft w:val="0"/>
          <w:marRight w:val="0"/>
          <w:marTop w:val="0"/>
          <w:marBottom w:val="0"/>
          <w:divBdr>
            <w:top w:val="none" w:sz="0" w:space="0" w:color="auto"/>
            <w:left w:val="none" w:sz="0" w:space="0" w:color="auto"/>
            <w:bottom w:val="none" w:sz="0" w:space="0" w:color="auto"/>
            <w:right w:val="none" w:sz="0" w:space="0" w:color="auto"/>
          </w:divBdr>
        </w:div>
        <w:div w:id="377584419">
          <w:marLeft w:val="0"/>
          <w:marRight w:val="0"/>
          <w:marTop w:val="0"/>
          <w:marBottom w:val="0"/>
          <w:divBdr>
            <w:top w:val="none" w:sz="0" w:space="0" w:color="auto"/>
            <w:left w:val="none" w:sz="0" w:space="0" w:color="auto"/>
            <w:bottom w:val="none" w:sz="0" w:space="0" w:color="auto"/>
            <w:right w:val="none" w:sz="0" w:space="0" w:color="auto"/>
          </w:divBdr>
        </w:div>
        <w:div w:id="300497574">
          <w:marLeft w:val="0"/>
          <w:marRight w:val="0"/>
          <w:marTop w:val="0"/>
          <w:marBottom w:val="0"/>
          <w:divBdr>
            <w:top w:val="none" w:sz="0" w:space="0" w:color="auto"/>
            <w:left w:val="none" w:sz="0" w:space="0" w:color="auto"/>
            <w:bottom w:val="none" w:sz="0" w:space="0" w:color="auto"/>
            <w:right w:val="none" w:sz="0" w:space="0" w:color="auto"/>
          </w:divBdr>
        </w:div>
        <w:div w:id="111829251">
          <w:marLeft w:val="0"/>
          <w:marRight w:val="0"/>
          <w:marTop w:val="0"/>
          <w:marBottom w:val="0"/>
          <w:divBdr>
            <w:top w:val="none" w:sz="0" w:space="0" w:color="auto"/>
            <w:left w:val="none" w:sz="0" w:space="0" w:color="auto"/>
            <w:bottom w:val="none" w:sz="0" w:space="0" w:color="auto"/>
            <w:right w:val="none" w:sz="0" w:space="0" w:color="auto"/>
          </w:divBdr>
        </w:div>
        <w:div w:id="1588149814">
          <w:marLeft w:val="0"/>
          <w:marRight w:val="0"/>
          <w:marTop w:val="0"/>
          <w:marBottom w:val="0"/>
          <w:divBdr>
            <w:top w:val="none" w:sz="0" w:space="0" w:color="auto"/>
            <w:left w:val="none" w:sz="0" w:space="0" w:color="auto"/>
            <w:bottom w:val="none" w:sz="0" w:space="0" w:color="auto"/>
            <w:right w:val="none" w:sz="0" w:space="0" w:color="auto"/>
          </w:divBdr>
        </w:div>
      </w:divsChild>
    </w:div>
    <w:div w:id="1182085223">
      <w:bodyDiv w:val="1"/>
      <w:marLeft w:val="0"/>
      <w:marRight w:val="0"/>
      <w:marTop w:val="0"/>
      <w:marBottom w:val="0"/>
      <w:divBdr>
        <w:top w:val="none" w:sz="0" w:space="0" w:color="auto"/>
        <w:left w:val="none" w:sz="0" w:space="0" w:color="auto"/>
        <w:bottom w:val="none" w:sz="0" w:space="0" w:color="auto"/>
        <w:right w:val="none" w:sz="0" w:space="0" w:color="auto"/>
      </w:divBdr>
      <w:divsChild>
        <w:div w:id="1336113374">
          <w:marLeft w:val="0"/>
          <w:marRight w:val="0"/>
          <w:marTop w:val="0"/>
          <w:marBottom w:val="0"/>
          <w:divBdr>
            <w:top w:val="none" w:sz="0" w:space="0" w:color="auto"/>
            <w:left w:val="none" w:sz="0" w:space="0" w:color="auto"/>
            <w:bottom w:val="none" w:sz="0" w:space="0" w:color="auto"/>
            <w:right w:val="none" w:sz="0" w:space="0" w:color="auto"/>
          </w:divBdr>
        </w:div>
        <w:div w:id="2125151915">
          <w:marLeft w:val="0"/>
          <w:marRight w:val="0"/>
          <w:marTop w:val="0"/>
          <w:marBottom w:val="0"/>
          <w:divBdr>
            <w:top w:val="none" w:sz="0" w:space="0" w:color="auto"/>
            <w:left w:val="none" w:sz="0" w:space="0" w:color="auto"/>
            <w:bottom w:val="none" w:sz="0" w:space="0" w:color="auto"/>
            <w:right w:val="none" w:sz="0" w:space="0" w:color="auto"/>
          </w:divBdr>
        </w:div>
        <w:div w:id="800850626">
          <w:marLeft w:val="0"/>
          <w:marRight w:val="0"/>
          <w:marTop w:val="0"/>
          <w:marBottom w:val="0"/>
          <w:divBdr>
            <w:top w:val="none" w:sz="0" w:space="0" w:color="auto"/>
            <w:left w:val="none" w:sz="0" w:space="0" w:color="auto"/>
            <w:bottom w:val="none" w:sz="0" w:space="0" w:color="auto"/>
            <w:right w:val="none" w:sz="0" w:space="0" w:color="auto"/>
          </w:divBdr>
        </w:div>
      </w:divsChild>
    </w:div>
    <w:div w:id="1457024402">
      <w:bodyDiv w:val="1"/>
      <w:marLeft w:val="0"/>
      <w:marRight w:val="0"/>
      <w:marTop w:val="0"/>
      <w:marBottom w:val="0"/>
      <w:divBdr>
        <w:top w:val="none" w:sz="0" w:space="0" w:color="auto"/>
        <w:left w:val="none" w:sz="0" w:space="0" w:color="auto"/>
        <w:bottom w:val="none" w:sz="0" w:space="0" w:color="auto"/>
        <w:right w:val="none" w:sz="0" w:space="0" w:color="auto"/>
      </w:divBdr>
      <w:divsChild>
        <w:div w:id="1680963397">
          <w:marLeft w:val="0"/>
          <w:marRight w:val="0"/>
          <w:marTop w:val="0"/>
          <w:marBottom w:val="0"/>
          <w:divBdr>
            <w:top w:val="none" w:sz="0" w:space="0" w:color="auto"/>
            <w:left w:val="none" w:sz="0" w:space="0" w:color="auto"/>
            <w:bottom w:val="none" w:sz="0" w:space="0" w:color="auto"/>
            <w:right w:val="none" w:sz="0" w:space="0" w:color="auto"/>
          </w:divBdr>
        </w:div>
        <w:div w:id="1324580105">
          <w:marLeft w:val="0"/>
          <w:marRight w:val="0"/>
          <w:marTop w:val="0"/>
          <w:marBottom w:val="0"/>
          <w:divBdr>
            <w:top w:val="none" w:sz="0" w:space="0" w:color="auto"/>
            <w:left w:val="none" w:sz="0" w:space="0" w:color="auto"/>
            <w:bottom w:val="none" w:sz="0" w:space="0" w:color="auto"/>
            <w:right w:val="none" w:sz="0" w:space="0" w:color="auto"/>
          </w:divBdr>
        </w:div>
        <w:div w:id="1807892557">
          <w:marLeft w:val="0"/>
          <w:marRight w:val="0"/>
          <w:marTop w:val="0"/>
          <w:marBottom w:val="0"/>
          <w:divBdr>
            <w:top w:val="none" w:sz="0" w:space="0" w:color="auto"/>
            <w:left w:val="none" w:sz="0" w:space="0" w:color="auto"/>
            <w:bottom w:val="none" w:sz="0" w:space="0" w:color="auto"/>
            <w:right w:val="none" w:sz="0" w:space="0" w:color="auto"/>
          </w:divBdr>
        </w:div>
      </w:divsChild>
    </w:div>
    <w:div w:id="1768883565">
      <w:bodyDiv w:val="1"/>
      <w:marLeft w:val="0"/>
      <w:marRight w:val="0"/>
      <w:marTop w:val="0"/>
      <w:marBottom w:val="0"/>
      <w:divBdr>
        <w:top w:val="none" w:sz="0" w:space="0" w:color="auto"/>
        <w:left w:val="none" w:sz="0" w:space="0" w:color="auto"/>
        <w:bottom w:val="none" w:sz="0" w:space="0" w:color="auto"/>
        <w:right w:val="none" w:sz="0" w:space="0" w:color="auto"/>
      </w:divBdr>
    </w:div>
    <w:div w:id="1790707757">
      <w:bodyDiv w:val="1"/>
      <w:marLeft w:val="0"/>
      <w:marRight w:val="0"/>
      <w:marTop w:val="0"/>
      <w:marBottom w:val="0"/>
      <w:divBdr>
        <w:top w:val="none" w:sz="0" w:space="0" w:color="auto"/>
        <w:left w:val="none" w:sz="0" w:space="0" w:color="auto"/>
        <w:bottom w:val="none" w:sz="0" w:space="0" w:color="auto"/>
        <w:right w:val="none" w:sz="0" w:space="0" w:color="auto"/>
      </w:divBdr>
    </w:div>
    <w:div w:id="1989049763">
      <w:bodyDiv w:val="1"/>
      <w:marLeft w:val="0"/>
      <w:marRight w:val="0"/>
      <w:marTop w:val="0"/>
      <w:marBottom w:val="0"/>
      <w:divBdr>
        <w:top w:val="none" w:sz="0" w:space="0" w:color="auto"/>
        <w:left w:val="none" w:sz="0" w:space="0" w:color="auto"/>
        <w:bottom w:val="none" w:sz="0" w:space="0" w:color="auto"/>
        <w:right w:val="none" w:sz="0" w:space="0" w:color="auto"/>
      </w:divBdr>
      <w:divsChild>
        <w:div w:id="512688774">
          <w:marLeft w:val="0"/>
          <w:marRight w:val="0"/>
          <w:marTop w:val="0"/>
          <w:marBottom w:val="0"/>
          <w:divBdr>
            <w:top w:val="none" w:sz="0" w:space="0" w:color="auto"/>
            <w:left w:val="none" w:sz="0" w:space="0" w:color="auto"/>
            <w:bottom w:val="none" w:sz="0" w:space="0" w:color="auto"/>
            <w:right w:val="none" w:sz="0" w:space="0" w:color="auto"/>
          </w:divBdr>
        </w:div>
        <w:div w:id="1312641441">
          <w:marLeft w:val="0"/>
          <w:marRight w:val="0"/>
          <w:marTop w:val="0"/>
          <w:marBottom w:val="0"/>
          <w:divBdr>
            <w:top w:val="none" w:sz="0" w:space="0" w:color="auto"/>
            <w:left w:val="none" w:sz="0" w:space="0" w:color="auto"/>
            <w:bottom w:val="none" w:sz="0" w:space="0" w:color="auto"/>
            <w:right w:val="none" w:sz="0" w:space="0" w:color="auto"/>
          </w:divBdr>
        </w:div>
        <w:div w:id="889001461">
          <w:marLeft w:val="0"/>
          <w:marRight w:val="0"/>
          <w:marTop w:val="0"/>
          <w:marBottom w:val="0"/>
          <w:divBdr>
            <w:top w:val="none" w:sz="0" w:space="0" w:color="auto"/>
            <w:left w:val="none" w:sz="0" w:space="0" w:color="auto"/>
            <w:bottom w:val="none" w:sz="0" w:space="0" w:color="auto"/>
            <w:right w:val="none" w:sz="0" w:space="0" w:color="auto"/>
          </w:divBdr>
        </w:div>
      </w:divsChild>
    </w:div>
    <w:div w:id="2121409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3.2" Abbr="3.2 pr." Title="(Patikros lapo dėl valstybės pagalbos ir de minimis pagalbos buvimo ar nebuvimo forma)" DocPartId="830b7598af4e4f729695a8afeecd0e84" PartId="c960ed033c75454fbcb08c451761e44c">
    <Part Type="skirsnis" Title="PATIKROS LAPAS DĖL VALSTYBĖS PAGALBOS IR DE MINIMIS PAGALBOS BUVIMO AR NEBUVIMO" DocPartId="c0acdfc066c940079b3a5c01f7922aa4" PartId="18b71e01de794b1a85846fd7e34f1f01"/>
  </Part>
</Parts>
</file>

<file path=customXml/itemProps1.xml><?xml version="1.0" encoding="utf-8"?>
<ds:datastoreItem xmlns:ds="http://schemas.openxmlformats.org/officeDocument/2006/customXml" ds:itemID="{94E69EA8-FC63-4F1A-A73D-CBDE6E9A359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563CF6E0-F0DC-41F9-AA8D-BC6875855B3C}">
  <ds:schemaRefs>
    <ds:schemaRef ds:uri="http://schemas.microsoft.com/sharepoint/v3/contenttype/forms"/>
  </ds:schemaRefs>
</ds:datastoreItem>
</file>

<file path=customXml/itemProps3.xml><?xml version="1.0" encoding="utf-8"?>
<ds:datastoreItem xmlns:ds="http://schemas.openxmlformats.org/officeDocument/2006/customXml" ds:itemID="{4E5047D2-0F99-4B11-8764-047E576B7B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F78987-167D-4131-9DE4-09A1321EC6FB}">
  <ds:schemaRefs>
    <ds:schemaRef ds:uri="http://schemas.openxmlformats.org/officeDocument/2006/bibliography"/>
  </ds:schemaRefs>
</ds:datastoreItem>
</file>

<file path=customXml/itemProps5.xml><?xml version="1.0" encoding="utf-8"?>
<ds:datastoreItem xmlns:ds="http://schemas.openxmlformats.org/officeDocument/2006/customXml" ds:itemID="{3F743A74-063E-4CD6-8FC3-73897C368A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2268</Words>
  <Characters>16313</Characters>
  <Application>Microsoft Office Word</Application>
  <DocSecurity>4</DocSecurity>
  <Lines>281</Lines>
  <Paragraphs>109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Patikros lapas dėl VP ir de minimis pagalbos buvimo ar nebuvimo_ILK_</vt:lpstr>
      <vt:lpstr>Patikros lapas dėl VP ir de minimis pagalbos buvimo ar nebuvimo_ILK_</vt:lpstr>
    </vt:vector>
  </TitlesOfParts>
  <Company/>
  <LinksUpToDate>false</LinksUpToDate>
  <CharactersWithSpaces>18472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2022-11-08T14:52:00Z</dcterms:created>
  <dc:creator>Sandra Jarašiūnienė</dc:creator>
  <lastModifiedBy>adlibuser</lastModifiedBy>
  <dcterms:modified xsi:type="dcterms:W3CDTF">2022-11-08T14:52:00Z</dcterms:modified>
  <revision>2</revision>
  <dc:title>Patikros lapas dėl VP ir de minimis pagalbos buvimo ar nebuvimo_ILK_</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136;#Alvyda Ažubalytė;#134;#Aurima Lasickienė;#1089;#Rasa Mockutė;#1119;#Mantas Bernotas;#1096;#Gytis Petrukaitis</vt:lpwstr>
  </property>
  <property fmtid="{D5CDD505-2E9C-101B-9397-08002B2CF9AE}" pid="5" name="DmsPermissionsDivisions">
    <vt:lpwstr/>
  </property>
  <property fmtid="{D5CDD505-2E9C-101B-9397-08002B2CF9AE}" pid="6" name="TaxCatchAll">
    <vt:lpwstr/>
  </property>
</Properties>
</file>