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1 pr."/>
        <w:tag w:val="part_3885340a548d428b957cb6fae73cbeb8"/>
        <w:lock w:val="sdtLocked"/>
        <w:richText/>
      </w:sdtPr>
      <w:sdtContent>
        <w:p w14:paraId="0C5AC01E" w14:textId="4CFE39C9">
          <w:pPr>
            <w:tabs>
              <w:tab w:val="left" w:pos="13315"/>
            </w:tabs>
            <w:ind w:firstLine="13315"/>
            <w:rPr>
              <w:sz w:val="22"/>
              <w:szCs w:val="22"/>
            </w:rPr>
          </w:pPr>
        </w:p>
        <w:p w14:paraId="5F50B9C3" w14:textId="77777777">
          <w:pPr>
            <w:ind w:left="10206"/>
            <w:rPr>
              <w:sz w:val="23"/>
              <w:szCs w:val="23"/>
            </w:rPr>
          </w:pPr>
          <w:r>
            <w:rPr>
              <w:sz w:val="23"/>
              <w:szCs w:val="23"/>
            </w:rPr>
            <w:t xml:space="preserve">2022–2030 metų sveikatos priežiūros kokybės ir efektyvumo didinimo plėtros programos pažangos priemonės Nr. 11-002-02-11-01 „Gerinti sveikatos priežiūros paslaugų kokybę ir prieinamumą“ projekto finansavimo sąlygų aprašo Nr. 3 </w:t>
          </w:r>
        </w:p>
        <w:p w14:paraId="3D3E9EE6" w14:textId="227352FC">
          <w:pPr>
            <w:ind w:left="10206"/>
            <w:rPr>
              <w:sz w:val="23"/>
              <w:szCs w:val="23"/>
            </w:rPr>
          </w:pPr>
          <w:sdt>
            <w:sdtPr>
              <w:alias w:val="Numeris"/>
              <w:tag w:val="nr_3885340a548d428b957cb6fae73cbeb8"/>
              <w:lock w:val="sdtLocked"/>
              <w:richText/>
            </w:sdtPr>
            <w:sdtContent>
              <w:r>
                <w:rPr>
                  <w:sz w:val="23"/>
                  <w:szCs w:val="23"/>
                </w:rPr>
                <w:t>3.1</w:t>
              </w:r>
            </w:sdtContent>
          </w:sdt>
          <w:r>
            <w:rPr>
              <w:sz w:val="23"/>
              <w:szCs w:val="23"/>
            </w:rPr>
            <w:t xml:space="preserve"> priedas </w:t>
          </w:r>
        </w:p>
        <w:p w14:paraId="2C777D9C" w14:textId="3A6B0D69">
          <w:pPr>
            <w:rPr>
              <w:rFonts w:eastAsia="Calibri"/>
              <w:b/>
              <w:bCs/>
              <w:szCs w:val="24"/>
            </w:rPr>
          </w:pPr>
        </w:p>
        <w:p w14:paraId="37EE3895" w14:textId="77777777">
          <w:pPr>
            <w:rPr>
              <w:rFonts w:eastAsia="Calibri"/>
              <w:b/>
              <w:bCs/>
              <w:szCs w:val="24"/>
            </w:rPr>
          </w:pPr>
        </w:p>
        <w:p w14:paraId="7F1AA169" w14:textId="77777777">
          <w:pPr>
            <w:jc w:val="center"/>
            <w:rPr>
              <w:rFonts w:eastAsia="Calibri"/>
              <w:b/>
              <w:bCs/>
              <w:szCs w:val="24"/>
            </w:rPr>
          </w:pPr>
          <w:sdt>
            <w:sdtPr>
              <w:alias w:val="Pavadinimas"/>
              <w:tag w:val="title_3885340a548d428b957cb6fae73cbeb8"/>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3BAF2DE2" w14:textId="77777777">
          <w:pPr>
            <w:jc w:val="center"/>
            <w:rPr>
              <w:rFonts w:eastAsia="Calibri"/>
              <w:b/>
              <w:bCs/>
              <w:szCs w:val="24"/>
            </w:rPr>
          </w:pPr>
        </w:p>
        <w:p w14:paraId="4A8010F1"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2E16BF39" w14:textId="2450CC0B">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39B2C719" w14:textId="77777777">
          <w:pPr>
            <w:spacing w:line="276" w:lineRule="auto"/>
            <w:jc w:val="both"/>
            <w:rPr>
              <w:rFonts w:eastAsia="Calibri"/>
              <w:bCs/>
              <w:szCs w:val="24"/>
            </w:rPr>
          </w:pPr>
          <w:r>
            <w:sym w:font="Wingdings 2" w:char="00A3"/>
            <w:t xml:space="preserve"> Europos Sąjungos fondų i</w:t>
          </w:r>
          <w:r>
            <w:rPr>
              <w:rFonts w:eastAsia="Calibri"/>
              <w:bCs/>
              <w:szCs w:val="24"/>
            </w:rPr>
            <w:t>nvesticijų programa (toliau – ESIP)</w:t>
          </w:r>
        </w:p>
        <w:p w14:paraId="1A8CD84F"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14:paraId="515700AF" w14:textId="77777777">
            <w:tc>
              <w:tcPr>
                <w:tcW w:w="4885" w:type="dxa"/>
              </w:tcPr>
              <w:p w14:paraId="28531A74" w14:textId="77777777">
                <w:pPr>
                  <w:jc w:val="center"/>
                  <w:rPr>
                    <w:rFonts w:eastAsia="Calibri"/>
                    <w:b/>
                    <w:szCs w:val="24"/>
                  </w:rPr>
                </w:pPr>
                <w:r>
                  <w:rPr>
                    <w:rFonts w:eastAsia="Calibri"/>
                    <w:b/>
                    <w:szCs w:val="24"/>
                  </w:rPr>
                  <w:t>Aplinkos tikslai</w:t>
                </w:r>
              </w:p>
              <w:p w14:paraId="172AA01F" w14:textId="7777777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594D7FC8" w14:textId="77777777">
                <w:pPr>
                  <w:jc w:val="center"/>
                  <w:rPr>
                    <w:rFonts w:eastAsia="Calibri"/>
                    <w:b/>
                    <w:szCs w:val="24"/>
                  </w:rPr>
                </w:pPr>
                <w:r>
                  <w:rPr>
                    <w:rFonts w:eastAsia="Calibri"/>
                    <w:b/>
                    <w:szCs w:val="24"/>
                  </w:rPr>
                  <w:t>Pagrindimas</w:t>
                </w:r>
              </w:p>
              <w:p w14:paraId="0D2BF02E" w14:textId="12C8AD4A">
                <w:pPr>
                  <w:jc w:val="both"/>
                  <w:rPr>
                    <w:rFonts w:eastAsia="Calibri"/>
                    <w:b/>
                    <w:szCs w:val="24"/>
                  </w:rPr>
                </w:pPr>
                <w:r>
                  <w:rPr>
                    <w:rFonts w:eastAsia="Calibri"/>
                    <w:bCs/>
                    <w:i/>
                    <w:szCs w:val="24"/>
                  </w:rPr>
                  <w:t>(remiantis priemonių (kai finansavimo šaltinis EGADP) arba veiksmų (veiklų) (kai finansavimo šaltinis ESIFP) vertinimo klausimynais, nurodykite tik tą klausimyno vertinimo dalį, kuri aktuali finansuotinai veiklai)</w:t>
                </w:r>
              </w:p>
            </w:tc>
            <w:tc>
              <w:tcPr>
                <w:tcW w:w="5331" w:type="dxa"/>
              </w:tcPr>
              <w:p w14:paraId="69A9C3FD" w14:textId="754F3D30">
                <w:pPr>
                  <w:jc w:val="center"/>
                  <w:rPr>
                    <w:rFonts w:eastAsia="Calibri"/>
                    <w:i/>
                    <w:sz w:val="20"/>
                  </w:rPr>
                </w:pPr>
                <w:r>
                  <w:rPr>
                    <w:rFonts w:eastAsia="Calibri"/>
                    <w:b/>
                    <w:szCs w:val="24"/>
                  </w:rPr>
                  <w:t>Pagrindimo dokumentai</w:t>
                </w:r>
              </w:p>
              <w:p w14:paraId="30D0B25A"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44748C49" w14:textId="77777777">
            <w:tc>
              <w:tcPr>
                <w:tcW w:w="4885" w:type="dxa"/>
              </w:tcPr>
              <w:p w14:paraId="11C21930" w14:textId="77777777">
                <w:pPr>
                  <w:tabs>
                    <w:tab w:val="left" w:pos="289"/>
                  </w:tabs>
                  <w:ind w:firstLine="5"/>
                  <w:jc w:val="both"/>
                  <w:rPr>
                    <w:rFonts w:eastAsia="Calibri"/>
                    <w:szCs w:val="24"/>
                  </w:rPr>
                </w:pPr>
                <w:r>
                  <w:rPr>
                    <w:rFonts w:eastAsia="Calibri"/>
                    <w:szCs w:val="24"/>
                  </w:rPr>
                  <w:t>1.</w:t>
                  <w:tab/>
                  <w:t>Klimato kaitos švelninimas</w:t>
                </w:r>
              </w:p>
            </w:tc>
            <w:tc>
              <w:tcPr>
                <w:tcW w:w="4633" w:type="dxa"/>
              </w:tcPr>
              <w:p w14:paraId="0DF22247" w14:textId="5C57A169">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p w14:paraId="5E4CF138" w14:textId="0462BE6A">
                <w:pPr>
                  <w:jc w:val="both"/>
                  <w:rPr>
                    <w:rFonts w:eastAsia="Calibri"/>
                    <w:bCs/>
                    <w:i/>
                    <w:sz w:val="20"/>
                  </w:rPr>
                </w:pPr>
                <w:r>
                  <w:rPr>
                    <w:rFonts w:eastAsia="Calibri"/>
                    <w:bCs/>
                    <w:iCs/>
                    <w:szCs w:val="24"/>
                  </w:rPr>
                  <w:t>Planuojama įsigyti įranga privalės atitikti (tai bus numatoma atitinkamuose įrangos įsigijimo dokumentuose) efektyvumo, tvarumo, ilgaamžiškumo reikalavimus pagal Direktyvą 2009/125/EC.</w:t>
                </w:r>
              </w:p>
            </w:tc>
            <w:tc>
              <w:tcPr>
                <w:tcW w:w="5331" w:type="dxa"/>
              </w:tcPr>
              <w:p w14:paraId="7DF13F53" w14:textId="77777777">
                <w:pPr>
                  <w:tabs>
                    <w:tab w:val="left" w:pos="589"/>
                  </w:tabs>
                  <w:jc w:val="both"/>
                  <w:rPr>
                    <w:rFonts w:eastAsia="Calibri"/>
                    <w:bCs/>
                    <w:iCs/>
                    <w:szCs w:val="24"/>
                  </w:rPr>
                </w:pPr>
                <w:r>
                  <w:rPr>
                    <w:rFonts w:eastAsia="Calibri"/>
                    <w:bCs/>
                    <w:iCs/>
                    <w:szCs w:val="24"/>
                  </w:rPr>
                  <w:t>Pagrindimo dokumentai nėra teikiami.</w:t>
                </w:r>
              </w:p>
              <w:p w14:paraId="5388E380" w14:textId="442D49C9">
                <w:pPr>
                  <w:tabs>
                    <w:tab w:val="left" w:pos="589"/>
                  </w:tabs>
                  <w:jc w:val="both"/>
                  <w:rPr>
                    <w:rFonts w:eastAsia="Calibri"/>
                    <w:bCs/>
                    <w:iCs/>
                    <w:szCs w:val="24"/>
                  </w:rPr>
                </w:pPr>
                <w:r>
                  <w:rPr>
                    <w:rFonts w:eastAsia="Calibri"/>
                    <w:bCs/>
                    <w:iCs/>
                    <w:szCs w:val="24"/>
                  </w:rPr>
                  <w:t>Projekto metu nebus finansuojami statybos rangos darbai, o bus perkama įranga ir atliekami viso žmogaus genomo sekos nustatymo tyrimai.</w:t>
                </w:r>
              </w:p>
              <w:p w14:paraId="3D67D2F7" w14:textId="76233186">
                <w:pPr>
                  <w:jc w:val="both"/>
                  <w:rPr>
                    <w:rFonts w:eastAsia="Calibri"/>
                    <w:bCs/>
                    <w:szCs w:val="24"/>
                  </w:rPr>
                </w:pPr>
              </w:p>
              <w:p w14:paraId="727D8FBF" w14:textId="602A2BD3">
                <w:pPr>
                  <w:jc w:val="both"/>
                  <w:rPr>
                    <w:bCs/>
                    <w:szCs w:val="24"/>
                  </w:rPr>
                </w:pPr>
                <w:r>
                  <w:rPr>
                    <w:bCs/>
                    <w:szCs w:val="24"/>
                  </w:rPr>
                  <w:t xml:space="preserve">Įsigyjama įranga turės atitikti 2009 m. spalio 21 d. Europos Parlamento ir Tarybos direktyvos 2009/125/EB, nustatančios ekologinio projektavimo reikalavimų su energija susijusiems gaminiams nustatymo sistemą, nuostatas. </w:t>
                </w:r>
              </w:p>
              <w:p w14:paraId="531526F8" w14:textId="140E6DD2">
                <w:pPr>
                  <w:jc w:val="both"/>
                  <w:rPr>
                    <w:bCs/>
                    <w:szCs w:val="24"/>
                  </w:rPr>
                </w:pPr>
                <w:r>
                  <w:rPr>
                    <w:bCs/>
                    <w:szCs w:val="24"/>
                  </w:rPr>
                  <w:t xml:space="preserve">Atitiktis bus vertinama pagal </w:t>
                </w:r>
                <w:r>
                  <w:rPr>
                    <w:color w:val="000000"/>
                    <w:szCs w:val="24"/>
                  </w:rPr>
                  <w:t xml:space="preserve">Pareiškėjo (partnerio     (-ių) įsipareigojimą </w:t>
                </w:r>
                <w:r>
                  <w:rPr>
                    <w:bCs/>
                    <w:szCs w:val="24"/>
                  </w:rPr>
                  <w:t xml:space="preserve">PĮP </w:t>
                </w:r>
                <w:r>
                  <w:rPr>
                    <w:color w:val="000000"/>
                    <w:szCs w:val="24"/>
                  </w:rPr>
                  <w:t xml:space="preserve">dėl įrangos atitikties direktyvos reikalavimams ir </w:t>
                </w:r>
                <w:r>
                  <w:rPr>
                    <w:bCs/>
                    <w:szCs w:val="24"/>
                  </w:rPr>
                  <w:t xml:space="preserve">pagal projekto įgyvendinimo metu pateikiamų pirkimo dokumentų informaciją.  </w:t>
                </w:r>
              </w:p>
              <w:p w14:paraId="48CEE6AE" w14:textId="3047F4D9">
                <w:pPr>
                  <w:tabs>
                    <w:tab w:val="left" w:pos="589"/>
                  </w:tabs>
                  <w:jc w:val="both"/>
                  <w:rPr>
                    <w:rFonts w:eastAsia="Calibri"/>
                    <w:bCs/>
                    <w:iCs/>
                    <w:szCs w:val="24"/>
                  </w:rPr>
                </w:pPr>
              </w:p>
            </w:tc>
          </w:tr>
          <w:tr w14:paraId="75907E2D" w14:textId="77777777">
            <w:tc>
              <w:tcPr>
                <w:tcW w:w="4885" w:type="dxa"/>
              </w:tcPr>
              <w:p w14:paraId="463695A6" w14:textId="77777777">
                <w:pPr>
                  <w:tabs>
                    <w:tab w:val="left" w:pos="289"/>
                  </w:tabs>
                  <w:ind w:firstLine="5"/>
                  <w:jc w:val="both"/>
                  <w:rPr>
                    <w:rFonts w:eastAsia="Calibri"/>
                    <w:szCs w:val="24"/>
                  </w:rPr>
                </w:pPr>
                <w:r>
                  <w:rPr>
                    <w:rFonts w:eastAsia="Calibri"/>
                    <w:szCs w:val="24"/>
                  </w:rPr>
                  <w:t>2.</w:t>
                  <w:tab/>
                  <w:t>Prisitaikymas prie klimato kaitos</w:t>
                </w:r>
              </w:p>
            </w:tc>
            <w:tc>
              <w:tcPr>
                <w:tcW w:w="4633" w:type="dxa"/>
              </w:tcPr>
              <w:p w14:paraId="3717E5EF" w14:textId="4E2E3A71">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1" w:type="dxa"/>
              </w:tcPr>
              <w:p w14:paraId="5DDBC04F" w14:textId="2894CBF7">
                <w:pPr>
                  <w:jc w:val="both"/>
                  <w:rPr>
                    <w:rFonts w:eastAsia="Calibri"/>
                    <w:b/>
                    <w:bCs/>
                    <w:iCs/>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p w14:paraId="526D8A3D" w14:textId="77777777">
                <w:pPr>
                  <w:jc w:val="both"/>
                  <w:rPr>
                    <w:rFonts w:eastAsia="Calibri"/>
                    <w:bCs/>
                    <w:iCs/>
                    <w:szCs w:val="24"/>
                  </w:rPr>
                </w:pPr>
              </w:p>
              <w:p w14:paraId="2ADCD97E" w14:textId="77777777">
                <w:pPr>
                  <w:jc w:val="both"/>
                  <w:rPr>
                    <w:rFonts w:eastAsia="Calibri"/>
                    <w:b/>
                    <w:szCs w:val="24"/>
                  </w:rPr>
                </w:pPr>
              </w:p>
            </w:tc>
          </w:tr>
          <w:tr w14:paraId="011A951B" w14:textId="77777777">
            <w:tc>
              <w:tcPr>
                <w:tcW w:w="4885" w:type="dxa"/>
                <w:shd w:val="clear" w:color="auto" w:fill="auto"/>
              </w:tcPr>
              <w:p w14:paraId="43458885"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shd w:val="clear" w:color="auto" w:fill="auto"/>
              </w:tcPr>
              <w:p w14:paraId="5D93400A" w14:textId="7FFA66DD">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331" w:type="dxa"/>
              </w:tcPr>
              <w:p w14:paraId="750CA4C8" w14:textId="54DC2F1D">
                <w:pPr>
                  <w:jc w:val="both"/>
                  <w:rPr>
                    <w:rFonts w:eastAsia="Calibri"/>
                    <w:bCs/>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tc>
          </w:tr>
          <w:tr w14:paraId="3D51592F" w14:textId="77777777">
            <w:tc>
              <w:tcPr>
                <w:tcW w:w="4885" w:type="dxa"/>
              </w:tcPr>
              <w:p w14:paraId="73D6D771"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14:paraId="3FC31DEF" w14:textId="372D3504">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p w14:paraId="336C2BB8" w14:textId="77777777">
                <w:pPr>
                  <w:jc w:val="both"/>
                  <w:rPr>
                    <w:rFonts w:eastAsia="Calibri"/>
                    <w:bCs/>
                    <w:szCs w:val="24"/>
                  </w:rPr>
                </w:pPr>
              </w:p>
              <w:p w14:paraId="1413F175" w14:textId="65041135">
                <w:pPr>
                  <w:jc w:val="both"/>
                  <w:rPr>
                    <w:rFonts w:eastAsia="Calibri"/>
                    <w:bCs/>
                    <w:szCs w:val="24"/>
                  </w:rPr>
                </w:pPr>
                <w:r>
                  <w:rPr>
                    <w:rFonts w:eastAsia="Calibri"/>
                    <w:bCs/>
                    <w:szCs w:val="24"/>
                  </w:rPr>
                  <w:t>Pasibaigus įsigytos įrangos naudingo tarnavimo laikui, projekto vykdytojas ir projekto partneriai įpareigojami sutvarkyti įrangos atliekas, vadovaujantis Direktyvos 2012/19/EU reikalavimais ir Lietuvos Respublikos teisės aktais, reglamentuojančiais atliekų tvarkymą.</w:t>
                </w:r>
              </w:p>
            </w:tc>
            <w:tc>
              <w:tcPr>
                <w:tcW w:w="5331" w:type="dxa"/>
              </w:tcPr>
              <w:p w14:paraId="34673D94" w14:textId="30D3C61F">
                <w:pPr>
                  <w:jc w:val="both"/>
                  <w:rPr>
                    <w:bCs/>
                    <w:szCs w:val="24"/>
                  </w:rPr>
                </w:pPr>
                <w:r>
                  <w:rPr>
                    <w:bCs/>
                    <w:szCs w:val="24"/>
                  </w:rPr>
                  <w:t>Pagrindimo dokumentai nėra teikiami.</w:t>
                </w:r>
              </w:p>
              <w:p w14:paraId="19AA2CEE" w14:textId="022B479D">
                <w:pPr>
                  <w:jc w:val="both"/>
                  <w:rPr>
                    <w:bCs/>
                    <w:szCs w:val="24"/>
                  </w:rPr>
                </w:pPr>
                <w:r>
                  <w:rPr>
                    <w:bCs/>
                    <w:szCs w:val="24"/>
                  </w:rPr>
                  <w:t>Įranga, baigusi savo gyvavimo ciklą, bus sutvarkoma vadovaujantis Europos Parlamento ir Tarybos direktyvos 2012/19/ES dėl elektros ir elektroninės įrangos atliekų (OL L 2012, 197, p. 38–71) nuostatomis.</w:t>
                </w:r>
              </w:p>
              <w:p w14:paraId="5C22C7A1" w14:textId="34C0F8FB">
                <w:pPr>
                  <w:jc w:val="both"/>
                  <w:rPr>
                    <w:rFonts w:eastAsia="Calibri"/>
                    <w:szCs w:val="24"/>
                  </w:rPr>
                </w:pPr>
                <w:r>
                  <w:rPr>
                    <w:bCs/>
                    <w:szCs w:val="24"/>
                  </w:rPr>
                  <w:t xml:space="preserve">Atitiktis vertinama pagal </w:t>
                </w:r>
                <w:r>
                  <w:rPr>
                    <w:color w:val="000000"/>
                    <w:szCs w:val="24"/>
                  </w:rPr>
                  <w:t xml:space="preserve">Pareiškėjo (partnerio (-ių)) įsipareigojimą </w:t>
                </w:r>
                <w:r>
                  <w:rPr>
                    <w:bCs/>
                    <w:szCs w:val="24"/>
                  </w:rPr>
                  <w:t xml:space="preserve">PĮP </w:t>
                </w:r>
                <w:r>
                  <w:rPr>
                    <w:color w:val="000000"/>
                    <w:szCs w:val="24"/>
                  </w:rPr>
                  <w:t>dėl elektros ir elektroninės įrangos, baigusios gyvavimo ciklą,</w:t>
                </w:r>
                <w:r>
                  <w:rPr>
                    <w:bCs/>
                    <w:szCs w:val="24"/>
                  </w:rPr>
                  <w:t xml:space="preserve"> sutvarkymo, vadovaujantis Lietuvos Respublikos atliekų tvarkymo įstatymo nuostatomis.</w:t>
                </w:r>
              </w:p>
            </w:tc>
          </w:tr>
          <w:tr w14:paraId="739764E0" w14:textId="77777777">
            <w:tc>
              <w:tcPr>
                <w:tcW w:w="4885" w:type="dxa"/>
              </w:tcPr>
              <w:p w14:paraId="74D736EA"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14:paraId="7F629CD9" w14:textId="061E24DB">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5331" w:type="dxa"/>
              </w:tcPr>
              <w:p w14:paraId="05283C21" w14:textId="2E61552A">
                <w:pPr>
                  <w:jc w:val="both"/>
                  <w:rPr>
                    <w:rFonts w:eastAsia="Calibri"/>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tc>
          </w:tr>
          <w:tr w14:paraId="02FE4FA6" w14:textId="77777777">
            <w:tc>
              <w:tcPr>
                <w:tcW w:w="4885" w:type="dxa"/>
              </w:tcPr>
              <w:p w14:paraId="1205C9A2"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14:paraId="031500D4" w14:textId="3ABC0A45">
                <w:pPr>
                  <w:jc w:val="both"/>
                  <w:rPr>
                    <w:rFonts w:eastAsia="Calibri"/>
                    <w:b/>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p>
            </w:tc>
            <w:tc>
              <w:tcPr>
                <w:tcW w:w="5331" w:type="dxa"/>
              </w:tcPr>
              <w:p w14:paraId="57CD889A" w14:textId="5EEA62E8">
                <w:pPr>
                  <w:jc w:val="both"/>
                  <w:rPr>
                    <w:rFonts w:eastAsia="Calibri"/>
                    <w:bCs/>
                    <w:iCs/>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tc>
          </w:tr>
        </w:tbl>
        <w:sdt>
          <w:sdtPr>
            <w:alias w:val="pabaiga"/>
            <w:tag w:val="part_0822db8a47b5421c91d4e2c3257e02f6"/>
            <w:lock w:val="sdtLocked"/>
            <w:richText/>
          </w:sdtPr>
          <w:sdtContent>
            <w:p w14:paraId="13B6D9F5" w14:textId="77777777">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709"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A253EC" w14:textId="77777777">
      <w:pPr>
        <w:rPr>
          <w:sz w:val="22"/>
          <w:szCs w:val="22"/>
        </w:rPr>
      </w:pPr>
      <w:r>
        <w:rPr>
          <w:sz w:val="22"/>
          <w:szCs w:val="22"/>
        </w:rPr>
        <w:separator/>
      </w:r>
    </w:p>
  </w:endnote>
  <w:endnote w:type="continuationSeparator" w:id="0">
    <w:p w14:paraId="7022D5B0" w14:textId="77777777">
      <w:pPr>
        <w:rPr>
          <w:sz w:val="22"/>
          <w:szCs w:val="22"/>
        </w:rPr>
      </w:pPr>
      <w:r>
        <w:rPr>
          <w:sz w:val="22"/>
          <w:szCs w:val="22"/>
        </w:rPr>
        <w:continuationSeparator/>
      </w:r>
    </w:p>
  </w:endnote>
  <w:endnote w:type="continuationNotice" w:id="1">
    <w:p w14:paraId="7C012D6E"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EC405"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7EAC5"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67C96"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C4D1EC" w14:textId="77777777">
      <w:pPr>
        <w:rPr>
          <w:sz w:val="22"/>
          <w:szCs w:val="22"/>
        </w:rPr>
      </w:pPr>
      <w:r>
        <w:rPr>
          <w:sz w:val="22"/>
          <w:szCs w:val="22"/>
        </w:rPr>
        <w:separator/>
      </w:r>
    </w:p>
  </w:footnote>
  <w:footnote w:type="continuationSeparator" w:id="0">
    <w:p w14:paraId="3DC0CE7E" w14:textId="77777777">
      <w:pPr>
        <w:rPr>
          <w:sz w:val="22"/>
          <w:szCs w:val="22"/>
        </w:rPr>
      </w:pPr>
      <w:r>
        <w:rPr>
          <w:sz w:val="22"/>
          <w:szCs w:val="22"/>
        </w:rPr>
        <w:continuationSeparator/>
      </w:r>
    </w:p>
  </w:footnote>
  <w:footnote w:type="continuationNotice" w:id="1">
    <w:p w14:paraId="2FB19F0E"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42D96"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2863" w14:textId="347DF88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1B36154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393E6" w14:textId="4FFBB0A1">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BB918"/>
  <w15:docId w15:val="{22EED3BE-9DA6-4008-BED2-763A63A662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2809081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3.1" Abbr="3.1 pr." Title="PROJEKTO (ĮSKAITANT JUNGTINĮ PROJEKTĄ) ATITIKTIES REIKŠMINGOS ŽALOS NEDARYMO HORIZONTALIAJAM PRINCIPUI VERTINIMO REIKALAVIMŲ APRAŠAS" DocPartId="035fb53cbc234b968a1d35f5189bfb96" PartId="3885340a548d428b957cb6fae73cbeb8">
    <Part Type="pabaiga" DocPartId="89560b25eb1c4e158204dc2e2e434e2d" PartId="0822db8a47b5421c91d4e2c3257e02f6"/>
  </Part>
</Parts>
</file>

<file path=customXml/itemProps1.xml><?xml version="1.0" encoding="utf-8"?>
<ds:datastoreItem xmlns:ds="http://schemas.openxmlformats.org/officeDocument/2006/customXml" ds:itemID="{7F279FB5-F1EE-482D-8D58-8FDB7F7841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F437DF13-FA20-442D-A08A-B577FC6E99B0}">
  <ds:schemaRefs>
    <ds:schemaRef ds:uri="http://schemas.openxmlformats.org/officeDocument/2006/bibliography"/>
  </ds:schemaRefs>
</ds:datastoreItem>
</file>

<file path=customXml/itemProps5.xml><?xml version="1.0" encoding="utf-8"?>
<ds:datastoreItem xmlns:ds="http://schemas.openxmlformats.org/officeDocument/2006/customXml" ds:itemID="{B611A1EC-D597-4519-9053-516AD6D265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794</Words>
  <Characters>5654</Characters>
  <Application>Microsoft Office Word</Application>
  <DocSecurity>4</DocSecurity>
  <Lines>176</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 4.1 Priedas_Reikšmingos žalos nedarymo aprašas Genomas (GALUTINIS)</vt:lpstr>
      <vt:lpstr>PFSA Nr. 4.1 Priedas_Reikšmingos žalos nedarymo aprašas Genomas (GALUTINIS)</vt:lpstr>
    </vt:vector>
  </TitlesOfParts>
  <Company>HP Inc.</Company>
  <LinksUpToDate>false</LinksUpToDate>
  <CharactersWithSpaces>6405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2022-11-08T14:52:00Z</dcterms:created>
  <dc:creator>Virginija Levinskienė</dc:creator>
  <lastModifiedBy>adlibuser</lastModifiedBy>
  <dcterms:modified xsi:type="dcterms:W3CDTF">2022-11-08T14:52:00Z</dcterms:modified>
  <revision>2</revision>
  <dc:title>PFSA Nr. 4.1 Priedas_Reikšmingos žalos nedarymo aprašas Genomas (GALUTINIS)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136;#Alvyda Ažubalytė;#134;#Aurima Lasickienė;#1089;#Rasa Mockutė;#1119;#Mantas Bernotas;#1096;#Gytis Petrukaitis</vt:lpwstr>
  </property>
  <property fmtid="{D5CDD505-2E9C-101B-9397-08002B2CF9AE}" pid="6" name="TaxCatchAll">
    <vt:lpwstr/>
  </property>
</Properties>
</file>