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501c878585a940ae87ac28a7aca45f5c"/>
        <w:lock w:val="sdtLocked"/>
        <w:richText/>
      </w:sdtPr>
      <w:sdtContent>
        <w:p>
          <w:pPr>
            <w:tabs>
              <w:tab w:val="center" w:pos="4819"/>
              <w:tab w:val="right" w:pos="9638"/>
            </w:tabs>
            <w:rPr>
              <w:sz w:val="22"/>
              <w:szCs w:val="22"/>
            </w:rPr>
          </w:pPr>
        </w:p>
        <w:p>
          <w:pPr>
            <w:ind w:left="10065"/>
            <w:rPr>
              <w:color w:val="000000"/>
              <w:sz w:val="20"/>
            </w:rPr>
          </w:pPr>
          <w:r>
            <w:rPr>
              <w:color w:val="000000"/>
              <w:sz w:val="20"/>
            </w:rPr>
            <w:t>Lietuvos žuvininkystės sektoriaus 2021</w:t>
          </w:r>
          <w:r>
            <w:rPr>
              <w:bCs/>
              <w:color w:val="000000"/>
              <w:sz w:val="20"/>
            </w:rPr>
            <w:t>–</w:t>
          </w:r>
          <w:r>
            <w:rPr>
              <w:color w:val="000000"/>
              <w:sz w:val="20"/>
            </w:rPr>
            <w:t xml:space="preserve">2027 m. </w:t>
          </w:r>
        </w:p>
        <w:p>
          <w:pPr>
            <w:ind w:left="10065"/>
            <w:rPr>
              <w:color w:val="000000"/>
              <w:sz w:val="20"/>
            </w:rPr>
          </w:pPr>
          <w:r>
            <w:rPr>
              <w:color w:val="000000"/>
              <w:sz w:val="20"/>
            </w:rPr>
            <w:t xml:space="preserve">programos pirmojo prioriteto „Tausios žvejybos </w:t>
          </w:r>
        </w:p>
        <w:p>
          <w:pPr>
            <w:ind w:left="10065"/>
            <w:rPr>
              <w:color w:val="000000"/>
              <w:sz w:val="20"/>
            </w:rPr>
          </w:pPr>
          <w:r>
            <w:rPr>
              <w:color w:val="000000"/>
              <w:sz w:val="20"/>
            </w:rPr>
            <w:t xml:space="preserve">skatinimas ir vandens biologinių išteklių atkūrimas ir </w:t>
          </w:r>
        </w:p>
        <w:p>
          <w:pPr>
            <w:ind w:left="10065"/>
            <w:rPr>
              <w:color w:val="000000"/>
              <w:sz w:val="20"/>
            </w:rPr>
          </w:pPr>
          <w:r>
            <w:rPr>
              <w:color w:val="000000"/>
              <w:sz w:val="20"/>
            </w:rPr>
            <w:t xml:space="preserve">išsaugojimas“ priemonės „Reikalingų sistemų ir </w:t>
          </w:r>
        </w:p>
        <w:p>
          <w:pPr>
            <w:ind w:left="10065"/>
            <w:rPr>
              <w:color w:val="000000"/>
              <w:sz w:val="20"/>
            </w:rPr>
          </w:pPr>
          <w:r>
            <w:rPr>
              <w:color w:val="000000"/>
              <w:sz w:val="20"/>
            </w:rPr>
            <w:t xml:space="preserve">prietaisų įsigijimas ir įrengimas laivuose“ projektų </w:t>
          </w:r>
        </w:p>
        <w:p>
          <w:pPr>
            <w:ind w:left="10065"/>
            <w:rPr>
              <w:b/>
              <w:bCs/>
              <w:sz w:val="20"/>
            </w:rPr>
          </w:pPr>
          <w:r>
            <w:rPr>
              <w:color w:val="000000"/>
              <w:sz w:val="20"/>
            </w:rPr>
            <w:t>finansavimo sąlygų aprašo</w:t>
          </w:r>
        </w:p>
        <w:p>
          <w:pPr>
            <w:ind w:left="10065"/>
            <w:rPr>
              <w:sz w:val="20"/>
              <w:lang w:bidi="lo-LA"/>
            </w:rPr>
          </w:pPr>
          <w:sdt>
            <w:sdtPr>
              <w:alias w:val="Numeris"/>
              <w:tag w:val="nr_501c878585a940ae87ac28a7aca45f5c"/>
              <w:lock w:val="sdtLocked"/>
              <w:richText/>
            </w:sdtPr>
            <w:sdtContent>
              <w:r>
                <w:rPr>
                  <w:sz w:val="20"/>
                  <w:lang w:bidi="lo-LA"/>
                </w:rPr>
                <w:t>2</w:t>
              </w:r>
            </w:sdtContent>
          </w:sdt>
          <w:r>
            <w:rPr>
              <w:sz w:val="20"/>
              <w:lang w:bidi="lo-LA"/>
            </w:rPr>
            <w:t xml:space="preserve"> priedas</w:t>
          </w:r>
        </w:p>
        <w:p>
          <w:pPr>
            <w:ind w:left="10065"/>
            <w:rPr>
              <w:caps/>
              <w:szCs w:val="24"/>
              <w:lang w:bidi="lo-LA"/>
            </w:rPr>
          </w:pPr>
        </w:p>
        <w:p>
          <w:pPr>
            <w:jc w:val="center"/>
            <w:rPr>
              <w:b/>
              <w:bCs/>
              <w:caps/>
              <w:color w:val="000000"/>
              <w:szCs w:val="24"/>
              <w:lang w:eastAsia="lt-LT"/>
            </w:rPr>
          </w:pPr>
          <w:sdt>
            <w:sdtPr>
              <w:alias w:val="Pavadinimas"/>
              <w:tag w:val="title_501c878585a940ae87ac28a7aca45f5c"/>
              <w:lock w:val="sdtLocked"/>
              <w:richText/>
            </w:sdtPr>
            <w:sdtContent>
              <w:r>
                <w:rPr>
                  <w:b/>
                  <w:bCs/>
                  <w:caps/>
                  <w:szCs w:val="24"/>
                  <w:lang w:bidi="lo-LA"/>
                </w:rPr>
                <w:t xml:space="preserve">PROJEKTO </w:t>
              </w:r>
              <w:r>
                <w:rPr>
                  <w:b/>
                  <w:bCs/>
                  <w:caps/>
                  <w:color w:val="000000"/>
                  <w:szCs w:val="24"/>
                  <w:lang w:eastAsia="lt-LT"/>
                </w:rPr>
                <w:t xml:space="preserve">tinkamumo finansuoti </w:t>
              </w:r>
              <w:r>
                <w:rPr>
                  <w:b/>
                  <w:bCs/>
                  <w:caps/>
                  <w:szCs w:val="24"/>
                  <w:lang w:bidi="lo-LA"/>
                </w:rPr>
                <w:t xml:space="preserve">PAGAL </w:t>
              </w:r>
              <w:r>
                <w:rPr>
                  <w:b/>
                  <w:bCs/>
                  <w:caps/>
                  <w:color w:val="000000"/>
                  <w:szCs w:val="24"/>
                  <w:lang w:eastAsia="lt-LT"/>
                </w:rPr>
                <w:t>LIETUVOS ŽUVININKYSTĖS sektoriaus 2021‒2027 METŲ PROGRAMOS pirmojo prioriteto „Tausios žvejybos skatinimas ir vandens biologinių išteklių atkūrimas ir išsaugojimas“ priemonės „Reikalingų sistemų ir prietaisų įsigijimas ir įrengimas laivuose“ vertinimo lentelė</w:t>
              </w:r>
            </w:sdtContent>
          </w:sdt>
        </w:p>
        <w:p>
          <w:pPr>
            <w:jc w:val="center"/>
            <w:rPr>
              <w:b/>
              <w:bCs/>
              <w:caps/>
              <w:color w:val="000000"/>
              <w:sz w:val="22"/>
              <w:szCs w:val="22"/>
              <w:lang w:eastAsia="lt-LT"/>
            </w:rPr>
          </w:pPr>
        </w:p>
        <w:p>
          <w:pPr>
            <w:rPr>
              <w:b/>
              <w:bCs/>
              <w:szCs w:val="24"/>
            </w:rPr>
          </w:pPr>
          <w:r>
            <w:rPr>
              <w:i/>
              <w:iCs/>
              <w:sz w:val="22"/>
              <w:szCs w:val="22"/>
            </w:rPr>
            <w:t>(Pildo Agentūra projekto tinkamumo finansuoti vertinimo metu)</w:t>
          </w:r>
        </w:p>
        <w:p>
          <w:pPr>
            <w:rPr>
              <w:color w:val="000000"/>
              <w:szCs w:val="24"/>
            </w:rPr>
          </w:pP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808"/>
            <w:gridCol w:w="5810"/>
          </w:tblGrid>
          <w:tr>
            <w:trPr>
              <w:trHeight w:val="92"/>
            </w:trPr>
            <w:tc>
              <w:tcPr>
                <w:tcW w:w="4808" w:type="dxa"/>
                <w:tcBorders>
                  <w:top w:val="none" w:sz="6" w:space="0" w:color="auto"/>
                  <w:bottom w:val="none" w:sz="6" w:space="0" w:color="auto"/>
                  <w:right w:val="none" w:sz="6" w:space="0" w:color="auto"/>
                </w:tcBorders>
              </w:tcPr>
              <w:p>
                <w:pPr>
                  <w:rPr>
                    <w:color w:val="000000"/>
                    <w:sz w:val="22"/>
                    <w:szCs w:val="22"/>
                  </w:rPr>
                </w:pPr>
                <w:r>
                  <w:rPr>
                    <w:b/>
                    <w:bCs/>
                    <w:color w:val="000000"/>
                    <w:szCs w:val="24"/>
                  </w:rPr>
                  <w:t>PĮP</w:t>
                </w:r>
                <w:r>
                  <w:rPr>
                    <w:color w:val="000000"/>
                    <w:szCs w:val="24"/>
                  </w:rPr>
                  <w:t xml:space="preserve"> </w:t>
                </w:r>
                <w:r>
                  <w:rPr>
                    <w:b/>
                    <w:bCs/>
                    <w:color w:val="000000"/>
                    <w:sz w:val="22"/>
                    <w:szCs w:val="22"/>
                  </w:rPr>
                  <w:t xml:space="preserve"> kodas </w:t>
                </w:r>
              </w:p>
            </w:tc>
            <w:tc>
              <w:tcPr>
                <w:tcW w:w="5810" w:type="dxa"/>
                <w:tcBorders>
                  <w:top w:val="none" w:sz="6" w:space="0" w:color="auto"/>
                  <w:left w:val="none" w:sz="6" w:space="0" w:color="auto"/>
                  <w:bottom w:val="none" w:sz="6" w:space="0" w:color="auto"/>
                </w:tcBorders>
              </w:tcPr>
              <w:p>
                <w:pPr>
                  <w:rPr>
                    <w:color w:val="000000"/>
                    <w:sz w:val="22"/>
                    <w:szCs w:val="22"/>
                  </w:rPr>
                </w:pPr>
                <w:r>
                  <w:rPr>
                    <w:i/>
                    <w:iCs/>
                    <w:color w:val="000000"/>
                    <w:sz w:val="22"/>
                    <w:szCs w:val="22"/>
                  </w:rPr>
                  <w:t xml:space="preserve">Pildoma projekto tinkamumo finansuoti vertinimo metu. </w:t>
                </w:r>
              </w:p>
              <w:p>
                <w:pPr>
                  <w:rPr>
                    <w:color w:val="000000"/>
                    <w:sz w:val="22"/>
                    <w:szCs w:val="22"/>
                  </w:rPr>
                </w:pPr>
                <w:r>
                  <w:rPr>
                    <w:i/>
                    <w:iCs/>
                    <w:color w:val="000000"/>
                    <w:sz w:val="22"/>
                    <w:szCs w:val="22"/>
                  </w:rPr>
                  <w:t xml:space="preserve">Galimas simbolių skaičius – 25. </w:t>
                </w:r>
              </w:p>
            </w:tc>
          </w:tr>
          <w:tr>
            <w:trPr>
              <w:trHeight w:val="92"/>
            </w:trPr>
            <w:tc>
              <w:tcPr>
                <w:tcW w:w="4808" w:type="dxa"/>
                <w:tcBorders>
                  <w:top w:val="none" w:sz="6" w:space="0" w:color="auto"/>
                  <w:bottom w:val="none" w:sz="6" w:space="0" w:color="auto"/>
                  <w:right w:val="none" w:sz="6" w:space="0" w:color="auto"/>
                </w:tcBorders>
              </w:tcPr>
              <w:p>
                <w:pPr>
                  <w:rPr>
                    <w:color w:val="000000"/>
                    <w:sz w:val="22"/>
                    <w:szCs w:val="22"/>
                  </w:rPr>
                </w:pPr>
                <w:r>
                  <w:rPr>
                    <w:b/>
                    <w:bCs/>
                    <w:color w:val="000000"/>
                    <w:sz w:val="22"/>
                    <w:szCs w:val="22"/>
                  </w:rPr>
                  <w:t xml:space="preserve">Pareiškėjo pavadinimas </w:t>
                </w:r>
              </w:p>
            </w:tc>
            <w:tc>
              <w:tcPr>
                <w:tcW w:w="5810" w:type="dxa"/>
                <w:tcBorders>
                  <w:top w:val="none" w:sz="6" w:space="0" w:color="auto"/>
                  <w:left w:val="none" w:sz="6" w:space="0" w:color="auto"/>
                  <w:bottom w:val="none" w:sz="6" w:space="0" w:color="auto"/>
                </w:tcBorders>
              </w:tcPr>
              <w:p>
                <w:pPr>
                  <w:rPr>
                    <w:color w:val="000000"/>
                    <w:sz w:val="22"/>
                    <w:szCs w:val="22"/>
                  </w:rPr>
                </w:pPr>
                <w:r>
                  <w:rPr>
                    <w:i/>
                    <w:iCs/>
                    <w:color w:val="000000"/>
                    <w:sz w:val="22"/>
                    <w:szCs w:val="22"/>
                  </w:rPr>
                  <w:t xml:space="preserve">Pildoma projekto tinkamumo finansuoti vertinimo metu. </w:t>
                </w:r>
              </w:p>
              <w:p>
                <w:pPr>
                  <w:rPr>
                    <w:color w:val="000000"/>
                    <w:sz w:val="22"/>
                    <w:szCs w:val="22"/>
                  </w:rPr>
                </w:pPr>
                <w:r>
                  <w:rPr>
                    <w:i/>
                    <w:iCs/>
                    <w:color w:val="000000"/>
                    <w:sz w:val="22"/>
                    <w:szCs w:val="22"/>
                  </w:rPr>
                  <w:t xml:space="preserve">Galimas simbolių skaičius – 140. </w:t>
                </w:r>
              </w:p>
            </w:tc>
          </w:tr>
          <w:tr>
            <w:trPr>
              <w:trHeight w:val="92"/>
            </w:trPr>
            <w:tc>
              <w:tcPr>
                <w:tcW w:w="4808" w:type="dxa"/>
                <w:tcBorders>
                  <w:top w:val="none" w:sz="6" w:space="0" w:color="auto"/>
                  <w:bottom w:val="none" w:sz="6" w:space="0" w:color="auto"/>
                  <w:right w:val="none" w:sz="6" w:space="0" w:color="auto"/>
                </w:tcBorders>
              </w:tcPr>
              <w:p>
                <w:pPr>
                  <w:rPr>
                    <w:color w:val="000000"/>
                    <w:sz w:val="22"/>
                    <w:szCs w:val="22"/>
                  </w:rPr>
                </w:pPr>
                <w:r>
                  <w:rPr>
                    <w:b/>
                    <w:bCs/>
                    <w:color w:val="000000"/>
                    <w:sz w:val="22"/>
                    <w:szCs w:val="22"/>
                  </w:rPr>
                  <w:t xml:space="preserve">Projekto pavadinimas </w:t>
                </w:r>
              </w:p>
            </w:tc>
            <w:tc>
              <w:tcPr>
                <w:tcW w:w="5810" w:type="dxa"/>
                <w:tcBorders>
                  <w:top w:val="none" w:sz="6" w:space="0" w:color="auto"/>
                  <w:left w:val="none" w:sz="6" w:space="0" w:color="auto"/>
                  <w:bottom w:val="none" w:sz="6" w:space="0" w:color="auto"/>
                </w:tcBorders>
              </w:tcPr>
              <w:p>
                <w:pPr>
                  <w:rPr>
                    <w:color w:val="000000"/>
                    <w:sz w:val="22"/>
                    <w:szCs w:val="22"/>
                  </w:rPr>
                </w:pPr>
                <w:r>
                  <w:rPr>
                    <w:i/>
                    <w:iCs/>
                    <w:color w:val="000000"/>
                    <w:sz w:val="22"/>
                    <w:szCs w:val="22"/>
                  </w:rPr>
                  <w:t xml:space="preserve">Pildoma projekto tinkamumo finansuoti vertinimo metu. </w:t>
                </w:r>
              </w:p>
              <w:p>
                <w:pPr>
                  <w:rPr>
                    <w:color w:val="000000"/>
                    <w:sz w:val="22"/>
                    <w:szCs w:val="22"/>
                  </w:rPr>
                </w:pPr>
                <w:r>
                  <w:rPr>
                    <w:i/>
                    <w:iCs/>
                    <w:color w:val="000000"/>
                    <w:sz w:val="22"/>
                    <w:szCs w:val="22"/>
                  </w:rPr>
                  <w:t xml:space="preserve">Galimas simbolių skaičius – 150. </w:t>
                </w:r>
              </w:p>
            </w:tc>
          </w:tr>
        </w:tbl>
        <w:p>
          <w:pPr>
            <w:widowControl w:val="0"/>
            <w:shd w:val="clear" w:color="auto" w:fill="FFFFFF"/>
            <w:spacing w:line="259" w:lineRule="auto"/>
            <w:jc w:val="center"/>
            <w:rPr>
              <w:b/>
              <w:bCs/>
              <w:sz w:val="22"/>
              <w:szCs w:val="22"/>
              <w:lang w:eastAsia="lt-LT"/>
            </w:rPr>
          </w:pPr>
        </w:p>
        <w:p>
          <w:pPr>
            <w:rPr>
              <w:sz w:val="14"/>
              <w:szCs w:val="14"/>
            </w:rPr>
          </w:pPr>
        </w:p>
        <w:tbl>
          <w:tblPr>
            <w:tblW w:w="14707" w:type="dxa"/>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3"/>
            <w:gridCol w:w="3402"/>
            <w:gridCol w:w="2977"/>
            <w:gridCol w:w="4075"/>
          </w:tblGrid>
          <w:tr>
            <w:trPr>
              <w:trHeight w:val="539"/>
            </w:trPr>
            <w:tc>
              <w:tcPr>
                <w:tcW w:w="4253"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jc w:val="both"/>
                  <w:rPr>
                    <w:b/>
                    <w:bCs/>
                    <w:sz w:val="22"/>
                    <w:szCs w:val="22"/>
                  </w:rPr>
                </w:pPr>
                <w:r>
                  <w:rPr>
                    <w:b/>
                    <w:bCs/>
                    <w:sz w:val="22"/>
                    <w:szCs w:val="22"/>
                  </w:rPr>
                  <w:t>Projektų atrankos kriterijus</w:t>
                </w:r>
              </w:p>
            </w:tc>
            <w:tc>
              <w:tcPr>
                <w:tcW w:w="3402"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jc w:val="both"/>
                  <w:rPr>
                    <w:b/>
                    <w:bCs/>
                    <w:szCs w:val="24"/>
                  </w:rPr>
                </w:pPr>
                <w:r>
                  <w:rPr>
                    <w:b/>
                    <w:bCs/>
                    <w:szCs w:val="24"/>
                  </w:rPr>
                  <w:t>Kriterijaus vertinimo metodas</w:t>
                </w:r>
              </w:p>
            </w:tc>
            <w:tc>
              <w:tcPr>
                <w:tcW w:w="7052" w:type="dxa"/>
                <w:gridSpan w:val="2"/>
                <w:shd w:val="clear" w:color="auto" w:fill="auto"/>
                <w:vAlign w:val="center"/>
              </w:tcPr>
              <w:p>
                <w:pPr>
                  <w:jc w:val="center"/>
                  <w:rPr>
                    <w:i/>
                    <w:iCs/>
                    <w:sz w:val="22"/>
                    <w:szCs w:val="22"/>
                  </w:rPr>
                </w:pPr>
                <w:r>
                  <w:rPr>
                    <w:b/>
                    <w:bCs/>
                    <w:szCs w:val="24"/>
                    <w:lang w:eastAsia="lt-LT"/>
                  </w:rPr>
                  <w:t>Projekto atrankos kriterijaus atitikties vertinimas</w:t>
                </w:r>
                <w:r>
                  <w:rPr>
                    <w:i/>
                    <w:iCs/>
                    <w:sz w:val="22"/>
                    <w:szCs w:val="22"/>
                  </w:rPr>
                  <w:t xml:space="preserve"> </w:t>
                </w:r>
              </w:p>
              <w:p>
                <w:pPr>
                  <w:jc w:val="center"/>
                  <w:rPr>
                    <w:bCs/>
                    <w:szCs w:val="24"/>
                  </w:rPr>
                </w:pPr>
                <w:r>
                  <w:rPr>
                    <w:i/>
                    <w:iCs/>
                    <w:sz w:val="22"/>
                    <w:szCs w:val="22"/>
                  </w:rPr>
                  <w:t>(Pildoma projekto tinkamumo finansuoti vertinimo metu)</w:t>
                </w:r>
              </w:p>
            </w:tc>
          </w:tr>
          <w:tr>
            <w:trPr>
              <w:trHeight w:val="315"/>
            </w:trPr>
            <w:tc>
              <w:tcPr>
                <w:tcW w:w="4253" w:type="dxa"/>
                <w:vMerge/>
                <w:shd w:val="clear" w:color="auto" w:fill="auto"/>
              </w:tcPr>
              <w:p>
                <w:pPr>
                  <w:jc w:val="both"/>
                  <w:rPr>
                    <w:b/>
                    <w:bCs/>
                    <w:sz w:val="22"/>
                    <w:szCs w:val="22"/>
                  </w:rPr>
                </w:pPr>
              </w:p>
            </w:tc>
            <w:tc>
              <w:tcPr>
                <w:tcW w:w="3402" w:type="dxa"/>
                <w:vMerge/>
                <w:shd w:val="clear" w:color="auto" w:fill="auto"/>
              </w:tcPr>
              <w:p>
                <w:pPr>
                  <w:jc w:val="both"/>
                  <w:rPr>
                    <w:b/>
                    <w:bCs/>
                    <w:szCs w:val="24"/>
                  </w:rPr>
                </w:pPr>
              </w:p>
            </w:tc>
            <w:tc>
              <w:tcPr>
                <w:tcW w:w="2977" w:type="dxa"/>
                <w:vMerge w:val="restart"/>
                <w:shd w:val="clear" w:color="auto" w:fill="auto"/>
                <w:vAlign w:val="center"/>
              </w:tcPr>
              <w:p>
                <w:pPr>
                  <w:jc w:val="center"/>
                  <w:rPr>
                    <w:szCs w:val="24"/>
                    <w:lang w:eastAsia="lt-LT"/>
                  </w:rPr>
                </w:pPr>
                <w:r>
                  <w:rPr>
                    <w:b/>
                    <w:bCs/>
                    <w:szCs w:val="24"/>
                    <w:lang w:eastAsia="lt-LT"/>
                  </w:rPr>
                  <w:t xml:space="preserve">Taip / Ne / Netaikoma </w:t>
                </w:r>
              </w:p>
            </w:tc>
            <w:tc>
              <w:tcPr>
                <w:tcW w:w="4075" w:type="dxa"/>
                <w:shd w:val="clear" w:color="auto" w:fill="auto"/>
                <w:vAlign w:val="center"/>
              </w:tcPr>
              <w:p>
                <w:pPr>
                  <w:jc w:val="center"/>
                  <w:rPr>
                    <w:b/>
                    <w:bCs/>
                    <w:szCs w:val="24"/>
                    <w:lang w:eastAsia="lt-LT"/>
                  </w:rPr>
                </w:pPr>
                <w:r>
                  <w:rPr>
                    <w:b/>
                    <w:bCs/>
                    <w:szCs w:val="24"/>
                    <w:lang w:eastAsia="lt-LT"/>
                  </w:rPr>
                  <w:t>Komentarai</w:t>
                </w:r>
              </w:p>
              <w:p>
                <w:pPr>
                  <w:jc w:val="center"/>
                  <w:rPr>
                    <w:b/>
                    <w:bCs/>
                    <w:szCs w:val="24"/>
                    <w:lang w:eastAsia="lt-LT"/>
                  </w:rPr>
                </w:pPr>
              </w:p>
            </w:tc>
          </w:tr>
          <w:tr>
            <w:trPr>
              <w:trHeight w:val="1050"/>
            </w:trPr>
            <w:tc>
              <w:tcPr>
                <w:tcW w:w="4253" w:type="dxa"/>
                <w:vMerge/>
                <w:shd w:val="clear" w:color="auto" w:fill="auto"/>
              </w:tcPr>
              <w:p>
                <w:pPr>
                  <w:jc w:val="both"/>
                  <w:rPr>
                    <w:b/>
                    <w:bCs/>
                    <w:sz w:val="22"/>
                    <w:szCs w:val="22"/>
                  </w:rPr>
                </w:pPr>
              </w:p>
            </w:tc>
            <w:tc>
              <w:tcPr>
                <w:tcW w:w="3402" w:type="dxa"/>
                <w:vMerge/>
                <w:shd w:val="clear" w:color="auto" w:fill="auto"/>
              </w:tcPr>
              <w:p>
                <w:pPr>
                  <w:jc w:val="both"/>
                  <w:rPr>
                    <w:b/>
                    <w:bCs/>
                    <w:szCs w:val="24"/>
                  </w:rPr>
                </w:pPr>
              </w:p>
            </w:tc>
            <w:tc>
              <w:tcPr>
                <w:tcW w:w="2977" w:type="dxa"/>
                <w:vMerge/>
                <w:shd w:val="clear" w:color="auto" w:fill="auto"/>
                <w:vAlign w:val="center"/>
              </w:tcPr>
              <w:p>
                <w:pPr>
                  <w:jc w:val="center"/>
                  <w:rPr>
                    <w:b/>
                    <w:bCs/>
                    <w:szCs w:val="24"/>
                    <w:lang w:eastAsia="lt-LT"/>
                  </w:rPr>
                </w:pPr>
              </w:p>
            </w:tc>
            <w:tc>
              <w:tcPr>
                <w:tcW w:w="4075" w:type="dxa"/>
                <w:shd w:val="clear" w:color="auto" w:fill="auto"/>
                <w:vAlign w:val="center"/>
              </w:tcPr>
              <w:p>
                <w:pPr>
                  <w:jc w:val="center"/>
                  <w:rPr>
                    <w:b/>
                    <w:bCs/>
                    <w:szCs w:val="24"/>
                    <w:lang w:eastAsia="lt-LT"/>
                  </w:rPr>
                </w:pPr>
                <w:r>
                  <w:rPr>
                    <w:i/>
                    <w:szCs w:val="24"/>
                    <w:lang w:eastAsia="lt-LT"/>
                  </w:rPr>
                  <w:t>(Agentūra pagrindžia atrankos kriterijaus ir / arba tinkamumo finansuoti reikalavimo įvertinimą)</w:t>
                </w:r>
              </w:p>
            </w:tc>
          </w:tr>
          <w:tr>
            <w:trPr>
              <w:trHeight w:val="354"/>
            </w:trPr>
            <w:tc>
              <w:tcPr>
                <w:tcW w:w="4253" w:type="dxa"/>
                <w:shd w:val="clear" w:color="auto" w:fill="auto"/>
              </w:tcPr>
              <w:p>
                <w:pPr>
                  <w:jc w:val="center"/>
                  <w:rPr>
                    <w:sz w:val="22"/>
                    <w:szCs w:val="22"/>
                  </w:rPr>
                </w:pPr>
                <w:r>
                  <w:rPr>
                    <w:sz w:val="22"/>
                    <w:szCs w:val="22"/>
                  </w:rPr>
                  <w:t>1</w:t>
                </w:r>
              </w:p>
            </w:tc>
            <w:tc>
              <w:tcPr>
                <w:tcW w:w="3402" w:type="dxa"/>
                <w:shd w:val="clear" w:color="auto" w:fill="auto"/>
                <w:vAlign w:val="center"/>
              </w:tcPr>
              <w:p>
                <w:pPr>
                  <w:jc w:val="center"/>
                  <w:rPr>
                    <w:szCs w:val="24"/>
                  </w:rPr>
                </w:pPr>
                <w:r>
                  <w:rPr>
                    <w:szCs w:val="24"/>
                  </w:rPr>
                  <w:t>2</w:t>
                </w:r>
              </w:p>
            </w:tc>
            <w:tc>
              <w:tcPr>
                <w:tcW w:w="2977" w:type="dxa"/>
                <w:shd w:val="clear" w:color="auto" w:fill="auto"/>
                <w:vAlign w:val="center"/>
              </w:tcPr>
              <w:p>
                <w:pPr>
                  <w:jc w:val="center"/>
                  <w:rPr>
                    <w:szCs w:val="24"/>
                    <w:lang w:eastAsia="lt-LT"/>
                  </w:rPr>
                </w:pPr>
                <w:r>
                  <w:rPr>
                    <w:szCs w:val="24"/>
                    <w:lang w:eastAsia="lt-LT"/>
                  </w:rPr>
                  <w:t>3</w:t>
                </w:r>
              </w:p>
            </w:tc>
            <w:tc>
              <w:tcPr>
                <w:tcW w:w="4075" w:type="dxa"/>
                <w:shd w:val="clear" w:color="auto" w:fill="auto"/>
                <w:vAlign w:val="center"/>
              </w:tcPr>
              <w:p>
                <w:pPr>
                  <w:jc w:val="center"/>
                  <w:rPr>
                    <w:iCs/>
                    <w:szCs w:val="24"/>
                    <w:lang w:eastAsia="lt-LT"/>
                  </w:rPr>
                </w:pPr>
                <w:r>
                  <w:rPr>
                    <w:iCs/>
                    <w:szCs w:val="24"/>
                    <w:lang w:eastAsia="lt-LT"/>
                  </w:rPr>
                  <w:t>4</w:t>
                </w:r>
              </w:p>
            </w:tc>
          </w:tr>
          <w:tr>
            <w:trPr>
              <w:trHeight w:val="354"/>
            </w:trPr>
            <w:tc>
              <w:tcPr>
                <w:tcW w:w="14707" w:type="dxa"/>
                <w:gridSpan w:val="4"/>
                <w:tcBorders>
                  <w:top w:val="single" w:sz="6" w:space="0" w:color="000000"/>
                  <w:left w:val="single" w:sz="6" w:space="0" w:color="000000"/>
                  <w:bottom w:val="single" w:sz="6" w:space="0" w:color="000000"/>
                </w:tcBorders>
              </w:tcPr>
              <w:p>
                <w:pPr>
                  <w:rPr>
                    <w:b/>
                    <w:bCs/>
                    <w:iCs/>
                    <w:sz w:val="22"/>
                    <w:szCs w:val="22"/>
                    <w:lang w:eastAsia="lt-LT"/>
                  </w:rPr>
                </w:pPr>
                <w:r>
                  <w:rPr>
                    <w:b/>
                    <w:bCs/>
                    <w:sz w:val="22"/>
                    <w:szCs w:val="22"/>
                  </w:rPr>
                  <w:t>1. Prioritetinis projektų atrankos kriterijus</w:t>
                </w: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rPr>
                    <w:sz w:val="22"/>
                    <w:szCs w:val="22"/>
                  </w:rPr>
                </w:pPr>
                <w:r>
                  <w:rPr>
                    <w:sz w:val="22"/>
                    <w:szCs w:val="22"/>
                  </w:rPr>
                  <w:t>1.1. Pirmumas teikiamas tų laivų reikalingų sistemų ir prietaisų įsigijimui ir įrengimui laivuose, kurie per paskutinius dvejus kalendorinius metus iki PĮP pateikimo metų (dveji kalendoriniai metai ėję prieš PĮP pateikimo metus) daugiau dienų vykdė žvejybos veiklą jūroje.</w:t>
                </w:r>
              </w:p>
            </w:tc>
            <w:tc>
              <w:tcPr>
                <w:tcW w:w="3402" w:type="dxa"/>
                <w:tcBorders>
                  <w:top w:val="single" w:sz="6" w:space="0" w:color="000000"/>
                  <w:left w:val="single" w:sz="6" w:space="0" w:color="000000"/>
                  <w:bottom w:val="single" w:sz="6" w:space="0" w:color="000000"/>
                  <w:right w:val="single" w:sz="6" w:space="0" w:color="000000"/>
                </w:tcBorders>
              </w:tcPr>
              <w:p>
                <w:pPr>
                  <w:jc w:val="center"/>
                  <w:rPr>
                    <w:szCs w:val="24"/>
                  </w:rPr>
                </w:pPr>
                <w:r>
                  <w:rPr>
                    <w:sz w:val="22"/>
                    <w:szCs w:val="22"/>
                  </w:rPr>
                  <w:t>Atitiktis vertinama Žuvininkystės tarnybos prie Lietuvos Respublikos žemės ūkio ministerijos duomenimis. Jei pirmumo eilė nesudaroma, nurodyti „netaikoma“.</w:t>
                </w:r>
              </w:p>
            </w:tc>
            <w:tc>
              <w:tcPr>
                <w:tcW w:w="2977" w:type="dxa"/>
                <w:shd w:val="clear" w:color="auto" w:fill="auto"/>
                <w:vAlign w:val="center"/>
              </w:tcPr>
              <w:p>
                <w:pPr>
                  <w:jc w:val="center"/>
                  <w:rPr>
                    <w:szCs w:val="24"/>
                    <w:lang w:eastAsia="lt-LT"/>
                  </w:rPr>
                </w:pPr>
              </w:p>
            </w:tc>
            <w:tc>
              <w:tcPr>
                <w:tcW w:w="4075" w:type="dxa"/>
                <w:shd w:val="clear" w:color="auto" w:fill="auto"/>
                <w:vAlign w:val="center"/>
              </w:tcPr>
              <w:p>
                <w:pPr>
                  <w:jc w:val="center"/>
                  <w:rPr>
                    <w:iCs/>
                    <w:szCs w:val="24"/>
                    <w:lang w:eastAsia="lt-LT"/>
                  </w:rPr>
                </w:pPr>
              </w:p>
            </w:tc>
          </w:tr>
          <w:tr>
            <w:trPr>
              <w:trHeight w:val="354"/>
            </w:trPr>
            <w:tc>
              <w:tcPr>
                <w:tcW w:w="14707" w:type="dxa"/>
                <w:gridSpan w:val="4"/>
                <w:tcBorders>
                  <w:top w:val="single" w:sz="6" w:space="0" w:color="000000"/>
                  <w:left w:val="single" w:sz="6" w:space="0" w:color="000000"/>
                  <w:bottom w:val="single" w:sz="6" w:space="0" w:color="000000"/>
                </w:tcBorders>
              </w:tcPr>
              <w:p>
                <w:pPr>
                  <w:rPr>
                    <w:sz w:val="22"/>
                    <w:szCs w:val="22"/>
                  </w:rPr>
                </w:pPr>
                <w:r>
                  <w:rPr>
                    <w:b/>
                    <w:sz w:val="22"/>
                    <w:szCs w:val="22"/>
                  </w:rPr>
                  <w:t>2. Išlaidų tinkamumo finansuoti reikalavimai</w:t>
                </w: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2.1. Neremiamos investicijos į įrangą, kuria didinamos žvejybos laivo galimybės rasti žuvų</w:t>
                </w:r>
              </w:p>
            </w:tc>
            <w:tc>
              <w:tcPr>
                <w:tcW w:w="3402"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rPr>
                </w:pPr>
                <w:r>
                  <w:rPr>
                    <w:sz w:val="22"/>
                    <w:szCs w:val="22"/>
                  </w:rPr>
                  <w:t xml:space="preserve">Atitiktis vertinama vadovaujantis PĮP III skyriaus 3.3 papunktyje prie „Išlaidų poreikio pagrindimas“ pateikta informacija. Esant pagrįstai abejonei, kad įranga, kuriai prašoma paramos, gali didinti laivo galimybes rasti žuvų,  gali būti pasitelkiami išorės šaltiniai (pvz. gamintojo informacija) arba išorės ekspertai</w:t>
                </w:r>
              </w:p>
            </w:tc>
            <w:tc>
              <w:tcPr>
                <w:tcW w:w="2977" w:type="dxa"/>
                <w:shd w:val="clear" w:color="auto" w:fill="auto"/>
                <w:vAlign w:val="center"/>
              </w:tcPr>
              <w:p>
                <w:pPr>
                  <w:jc w:val="center"/>
                  <w:rPr>
                    <w:szCs w:val="24"/>
                    <w:lang w:eastAsia="lt-LT"/>
                  </w:rPr>
                </w:pPr>
              </w:p>
            </w:tc>
            <w:tc>
              <w:tcPr>
                <w:tcW w:w="4075" w:type="dxa"/>
                <w:shd w:val="clear" w:color="auto" w:fill="auto"/>
                <w:vAlign w:val="center"/>
              </w:tcPr>
              <w:p>
                <w:pPr>
                  <w:jc w:val="center"/>
                  <w:rPr>
                    <w:iCs/>
                    <w:szCs w:val="24"/>
                    <w:lang w:eastAsia="lt-LT"/>
                  </w:rPr>
                </w:pP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 xml:space="preserve">2.2. Žvejybos laivas, kurio sistemų ir (arba) prietaisų įsigijimui ir (arba) įrengimui prašoma parama pagal Aprašą, turi atitikti šiuos reikalavimus </w:t>
                </w:r>
                <w:r>
                  <w:rPr>
                    <w:i/>
                    <w:iCs/>
                    <w:sz w:val="22"/>
                    <w:szCs w:val="22"/>
                  </w:rPr>
                  <w:t>(tikrinama kiekvienam žvejybos laivui nurodytam PĮP I skyriaus 1.3.3 papunktyje)</w:t>
                </w:r>
              </w:p>
            </w:tc>
            <w:tc>
              <w:tcPr>
                <w:tcW w:w="3402" w:type="dxa"/>
                <w:tcBorders>
                  <w:top w:val="single" w:sz="6" w:space="0" w:color="000000"/>
                  <w:left w:val="single" w:sz="6" w:space="0" w:color="000000"/>
                  <w:bottom w:val="single" w:sz="6" w:space="0" w:color="000000"/>
                  <w:right w:val="single" w:sz="6" w:space="0" w:color="000000"/>
                </w:tcBorders>
                <w:shd w:val="clear" w:color="auto" w:fill="808080" w:themeFill="background1" w:themeFillShade="80"/>
              </w:tcPr>
              <w:p>
                <w:pPr>
                  <w:jc w:val="center"/>
                  <w:rPr>
                    <w:sz w:val="22"/>
                    <w:szCs w:val="22"/>
                  </w:rPr>
                </w:pPr>
              </w:p>
            </w:tc>
            <w:tc>
              <w:tcPr>
                <w:tcW w:w="2977" w:type="dxa"/>
                <w:shd w:val="clear" w:color="auto" w:fill="808080" w:themeFill="background1" w:themeFillShade="80"/>
                <w:vAlign w:val="center"/>
              </w:tcPr>
              <w:p>
                <w:pPr>
                  <w:jc w:val="center"/>
                  <w:rPr>
                    <w:szCs w:val="24"/>
                    <w:lang w:eastAsia="lt-LT"/>
                  </w:rPr>
                </w:pPr>
              </w:p>
            </w:tc>
            <w:tc>
              <w:tcPr>
                <w:tcW w:w="4075" w:type="dxa"/>
                <w:shd w:val="clear" w:color="auto" w:fill="808080" w:themeFill="background1" w:themeFillShade="80"/>
                <w:vAlign w:val="center"/>
              </w:tcPr>
              <w:p>
                <w:pPr>
                  <w:jc w:val="center"/>
                  <w:rPr>
                    <w:iCs/>
                    <w:szCs w:val="24"/>
                    <w:lang w:eastAsia="lt-LT"/>
                  </w:rPr>
                </w:pP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 xml:space="preserve">2.2.1. </w:t>
                </w:r>
                <w:r>
                  <w:rPr>
                    <w:i/>
                    <w:iCs/>
                    <w:sz w:val="22"/>
                    <w:szCs w:val="22"/>
                  </w:rPr>
                  <w:t>(įrašomas žvejybos laivo Bendrasis laivyno registro (CFR) numeris)</w:t>
                </w:r>
              </w:p>
            </w:tc>
            <w:tc>
              <w:tcPr>
                <w:tcW w:w="3402" w:type="dxa"/>
                <w:tcBorders>
                  <w:top w:val="single" w:sz="6" w:space="0" w:color="000000"/>
                  <w:left w:val="single" w:sz="6" w:space="0" w:color="000000"/>
                  <w:bottom w:val="single" w:sz="6" w:space="0" w:color="000000"/>
                  <w:right w:val="single" w:sz="6" w:space="0" w:color="000000"/>
                </w:tcBorders>
                <w:shd w:val="clear" w:color="auto" w:fill="808080" w:themeFill="background1" w:themeFillShade="80"/>
              </w:tcPr>
              <w:p>
                <w:pPr>
                  <w:jc w:val="center"/>
                  <w:rPr>
                    <w:sz w:val="22"/>
                    <w:szCs w:val="22"/>
                  </w:rPr>
                </w:pPr>
              </w:p>
            </w:tc>
            <w:tc>
              <w:tcPr>
                <w:tcW w:w="2977" w:type="dxa"/>
                <w:shd w:val="clear" w:color="auto" w:fill="808080" w:themeFill="background1" w:themeFillShade="80"/>
                <w:vAlign w:val="center"/>
              </w:tcPr>
              <w:p>
                <w:pPr>
                  <w:jc w:val="center"/>
                  <w:rPr>
                    <w:szCs w:val="24"/>
                    <w:lang w:eastAsia="lt-LT"/>
                  </w:rPr>
                </w:pPr>
              </w:p>
            </w:tc>
            <w:tc>
              <w:tcPr>
                <w:tcW w:w="4075" w:type="dxa"/>
                <w:shd w:val="clear" w:color="auto" w:fill="808080" w:themeFill="background1" w:themeFillShade="80"/>
                <w:vAlign w:val="center"/>
              </w:tcPr>
              <w:p>
                <w:pPr>
                  <w:jc w:val="center"/>
                  <w:rPr>
                    <w:iCs/>
                    <w:szCs w:val="24"/>
                    <w:lang w:eastAsia="lt-LT"/>
                  </w:rPr>
                </w:pP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 xml:space="preserve">2.2.1.1. Lietuvos Respublikos žvejybos laivas PĮP pateikimo dieną pareiškėjo valdomas  nuosavybės teise ar kitais teisėtais pagrindais, tokiais kaip nuoma ar panauda</w:t>
                </w:r>
              </w:p>
            </w:tc>
            <w:tc>
              <w:tcPr>
                <w:tcW w:w="3402" w:type="dxa"/>
                <w:tcBorders>
                  <w:top w:val="single" w:sz="6" w:space="0" w:color="000000"/>
                  <w:left w:val="single" w:sz="6" w:space="0" w:color="000000"/>
                  <w:bottom w:val="single" w:sz="6" w:space="0" w:color="000000"/>
                  <w:right w:val="single" w:sz="6" w:space="0" w:color="000000"/>
                </w:tcBorders>
              </w:tcPr>
              <w:p>
                <w:pPr>
                  <w:jc w:val="center"/>
                  <w:rPr>
                    <w:sz w:val="22"/>
                    <w:szCs w:val="22"/>
                  </w:rPr>
                </w:pPr>
                <w:r>
                  <w:rPr>
                    <w:sz w:val="22"/>
                    <w:szCs w:val="22"/>
                  </w:rPr>
                  <w:t>Atitiktis vertinama Žuvininkystės tarnybos prie Lietuvos Respublikos žemės ūkio ministerijos duomenimis</w:t>
                </w:r>
              </w:p>
            </w:tc>
            <w:tc>
              <w:tcPr>
                <w:tcW w:w="2977" w:type="dxa"/>
                <w:shd w:val="clear" w:color="auto" w:fill="auto"/>
                <w:vAlign w:val="center"/>
              </w:tcPr>
              <w:p>
                <w:pPr>
                  <w:jc w:val="center"/>
                  <w:rPr>
                    <w:szCs w:val="24"/>
                    <w:lang w:eastAsia="lt-LT"/>
                  </w:rPr>
                </w:pPr>
              </w:p>
            </w:tc>
            <w:tc>
              <w:tcPr>
                <w:tcW w:w="4075" w:type="dxa"/>
                <w:shd w:val="clear" w:color="auto" w:fill="auto"/>
                <w:vAlign w:val="center"/>
              </w:tcPr>
              <w:p>
                <w:pPr>
                  <w:jc w:val="center"/>
                  <w:rPr>
                    <w:iCs/>
                    <w:szCs w:val="24"/>
                    <w:lang w:eastAsia="lt-LT"/>
                  </w:rPr>
                </w:pP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2.2.1.2. PĮP pateikimo dieną turėjo verslinės žvejybos Baltijos jūroje (be teisės žvejoti priekrantėje) leidimą arba Lietuvos Respublikos žvejybos laivo liudijimą arba verslinės žvejybos kitų jūrų vandenyse leidimą;</w:t>
                </w:r>
              </w:p>
            </w:tc>
            <w:tc>
              <w:tcPr>
                <w:tcW w:w="3402" w:type="dxa"/>
                <w:tcBorders>
                  <w:top w:val="single" w:sz="6" w:space="0" w:color="000000"/>
                  <w:left w:val="single" w:sz="6" w:space="0" w:color="000000"/>
                  <w:bottom w:val="single" w:sz="6" w:space="0" w:color="000000"/>
                  <w:right w:val="single" w:sz="6" w:space="0" w:color="000000"/>
                </w:tcBorders>
              </w:tcPr>
              <w:p>
                <w:pPr>
                  <w:jc w:val="center"/>
                  <w:rPr>
                    <w:sz w:val="22"/>
                    <w:szCs w:val="22"/>
                  </w:rPr>
                </w:pPr>
                <w:r>
                  <w:rPr>
                    <w:sz w:val="22"/>
                    <w:szCs w:val="22"/>
                  </w:rPr>
                  <w:t>Atitiktis vertinama Žuvininkystės tarnybos prie Lietuvos Respublikos žemės ūkio ministerijos duomenimis</w:t>
                </w:r>
              </w:p>
            </w:tc>
            <w:tc>
              <w:tcPr>
                <w:tcW w:w="2977" w:type="dxa"/>
                <w:shd w:val="clear" w:color="auto" w:fill="auto"/>
                <w:vAlign w:val="center"/>
              </w:tcPr>
              <w:p>
                <w:pPr>
                  <w:jc w:val="center"/>
                  <w:rPr>
                    <w:szCs w:val="24"/>
                    <w:lang w:eastAsia="lt-LT"/>
                  </w:rPr>
                </w:pPr>
              </w:p>
            </w:tc>
            <w:tc>
              <w:tcPr>
                <w:tcW w:w="4075" w:type="dxa"/>
                <w:shd w:val="clear" w:color="auto" w:fill="auto"/>
                <w:vAlign w:val="center"/>
              </w:tcPr>
              <w:p>
                <w:pPr>
                  <w:jc w:val="center"/>
                  <w:rPr>
                    <w:iCs/>
                    <w:szCs w:val="24"/>
                    <w:lang w:eastAsia="lt-LT"/>
                  </w:rPr>
                </w:pP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2.2.1.3. per paskutinius dvejus kalendorinius metus iki PĮP pateikimo datos (dveji kalendoriniai metai, ėję prieš PĮP pateikimo metus) ne mažiau kaip 60 dienų vykdė žvejybos veiklą. Jeigu PĮP pateikimo dieną žvejybos laivas yra registruotas Sąjungos žvejybos laivų registre mažiau nei dvejus metus, galima minimalų žvejybos veiklos dienų, reikalaujamų tam laivui, skaičių skaičiuoti kaip proporcingą dalį nuo 120 dienų per pastaruosius dvejus kalendorinius metu;</w:t>
                </w:r>
              </w:p>
            </w:tc>
            <w:tc>
              <w:tcPr>
                <w:tcW w:w="3402" w:type="dxa"/>
                <w:tcBorders>
                  <w:top w:val="single" w:sz="6" w:space="0" w:color="000000"/>
                  <w:left w:val="single" w:sz="6" w:space="0" w:color="000000"/>
                  <w:bottom w:val="single" w:sz="6" w:space="0" w:color="000000"/>
                  <w:right w:val="single" w:sz="6" w:space="0" w:color="000000"/>
                </w:tcBorders>
              </w:tcPr>
              <w:p>
                <w:pPr>
                  <w:jc w:val="center"/>
                  <w:rPr>
                    <w:sz w:val="22"/>
                    <w:szCs w:val="22"/>
                  </w:rPr>
                </w:pPr>
                <w:r>
                  <w:rPr>
                    <w:sz w:val="22"/>
                    <w:szCs w:val="22"/>
                  </w:rPr>
                  <w:t>Atitiktis vertinama Žuvininkystės tarnybos prie Lietuvos Respublikos žemės ūkio ministerijos duomenimis</w:t>
                </w:r>
              </w:p>
            </w:tc>
            <w:tc>
              <w:tcPr>
                <w:tcW w:w="2977" w:type="dxa"/>
                <w:shd w:val="clear" w:color="auto" w:fill="auto"/>
                <w:vAlign w:val="center"/>
              </w:tcPr>
              <w:p>
                <w:pPr>
                  <w:jc w:val="center"/>
                  <w:rPr>
                    <w:szCs w:val="24"/>
                    <w:lang w:eastAsia="lt-LT"/>
                  </w:rPr>
                </w:pPr>
              </w:p>
            </w:tc>
            <w:tc>
              <w:tcPr>
                <w:tcW w:w="4075" w:type="dxa"/>
                <w:shd w:val="clear" w:color="auto" w:fill="auto"/>
                <w:vAlign w:val="center"/>
              </w:tcPr>
              <w:p>
                <w:pPr>
                  <w:jc w:val="center"/>
                  <w:rPr>
                    <w:iCs/>
                    <w:szCs w:val="24"/>
                    <w:lang w:eastAsia="lt-LT"/>
                  </w:rPr>
                </w:pP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 xml:space="preserve">2.2.2. </w:t>
                </w:r>
                <w:r>
                  <w:rPr>
                    <w:i/>
                    <w:iCs/>
                    <w:sz w:val="22"/>
                    <w:szCs w:val="22"/>
                  </w:rPr>
                  <w:t>(įrašomas žvejybos laivo Bendrasis laivyno registro (CFR) numeris)</w:t>
                </w:r>
              </w:p>
            </w:tc>
            <w:tc>
              <w:tcPr>
                <w:tcW w:w="3402" w:type="dxa"/>
                <w:tcBorders>
                  <w:top w:val="single" w:sz="6" w:space="0" w:color="000000"/>
                  <w:left w:val="single" w:sz="6" w:space="0" w:color="000000"/>
                  <w:bottom w:val="single" w:sz="6" w:space="0" w:color="000000"/>
                  <w:right w:val="single" w:sz="6" w:space="0" w:color="000000"/>
                </w:tcBorders>
                <w:shd w:val="clear" w:color="auto" w:fill="808080" w:themeFill="background1" w:themeFillShade="80"/>
              </w:tcPr>
              <w:p>
                <w:pPr>
                  <w:jc w:val="center"/>
                  <w:rPr>
                    <w:sz w:val="22"/>
                    <w:szCs w:val="22"/>
                  </w:rPr>
                </w:pPr>
              </w:p>
            </w:tc>
            <w:tc>
              <w:tcPr>
                <w:tcW w:w="2977" w:type="dxa"/>
                <w:shd w:val="clear" w:color="auto" w:fill="808080" w:themeFill="background1" w:themeFillShade="80"/>
                <w:vAlign w:val="center"/>
              </w:tcPr>
              <w:p>
                <w:pPr>
                  <w:jc w:val="center"/>
                  <w:rPr>
                    <w:szCs w:val="24"/>
                    <w:lang w:eastAsia="lt-LT"/>
                  </w:rPr>
                </w:pPr>
              </w:p>
            </w:tc>
            <w:tc>
              <w:tcPr>
                <w:tcW w:w="4075" w:type="dxa"/>
                <w:shd w:val="clear" w:color="auto" w:fill="808080" w:themeFill="background1" w:themeFillShade="80"/>
                <w:vAlign w:val="center"/>
              </w:tcPr>
              <w:p>
                <w:pPr>
                  <w:jc w:val="center"/>
                  <w:rPr>
                    <w:iCs/>
                    <w:szCs w:val="24"/>
                    <w:lang w:eastAsia="lt-LT"/>
                  </w:rPr>
                </w:pPr>
              </w:p>
            </w:tc>
          </w:tr>
          <w:tr>
            <w:trPr>
              <w:trHeight w:val="354"/>
            </w:trPr>
            <w:tc>
              <w:tcPr>
                <w:tcW w:w="4253" w:type="dxa"/>
                <w:tcBorders>
                  <w:top w:val="single" w:sz="6" w:space="0" w:color="000000"/>
                  <w:left w:val="single" w:sz="6" w:space="0" w:color="000000"/>
                  <w:bottom w:val="single" w:sz="6" w:space="0" w:color="000000"/>
                  <w:right w:val="single" w:sz="6" w:space="0" w:color="000000"/>
                </w:tcBorders>
              </w:tcPr>
              <w:p>
                <w:pPr>
                  <w:jc w:val="center"/>
                  <w:rPr>
                    <w:sz w:val="22"/>
                    <w:szCs w:val="22"/>
                  </w:rPr>
                </w:pPr>
                <w:r>
                  <w:rPr>
                    <w:sz w:val="22"/>
                    <w:szCs w:val="22"/>
                  </w:rPr>
                  <w:t>...</w:t>
                </w:r>
              </w:p>
            </w:tc>
            <w:tc>
              <w:tcPr>
                <w:tcW w:w="3402" w:type="dxa"/>
                <w:tcBorders>
                  <w:top w:val="single" w:sz="6" w:space="0" w:color="000000"/>
                  <w:left w:val="single" w:sz="6" w:space="0" w:color="000000"/>
                  <w:bottom w:val="single" w:sz="6" w:space="0" w:color="000000"/>
                  <w:right w:val="single" w:sz="6" w:space="0" w:color="000000"/>
                </w:tcBorders>
              </w:tcPr>
              <w:p>
                <w:pPr>
                  <w:jc w:val="center"/>
                  <w:rPr>
                    <w:sz w:val="22"/>
                    <w:szCs w:val="22"/>
                  </w:rPr>
                </w:pPr>
              </w:p>
            </w:tc>
            <w:tc>
              <w:tcPr>
                <w:tcW w:w="2977" w:type="dxa"/>
                <w:shd w:val="clear" w:color="auto" w:fill="auto"/>
                <w:vAlign w:val="center"/>
              </w:tcPr>
              <w:p>
                <w:pPr>
                  <w:jc w:val="center"/>
                  <w:rPr>
                    <w:szCs w:val="24"/>
                    <w:lang w:eastAsia="lt-LT"/>
                  </w:rPr>
                </w:pPr>
              </w:p>
            </w:tc>
            <w:tc>
              <w:tcPr>
                <w:tcW w:w="4075" w:type="dxa"/>
                <w:shd w:val="clear" w:color="auto" w:fill="auto"/>
                <w:vAlign w:val="center"/>
              </w:tcPr>
              <w:p>
                <w:pPr>
                  <w:jc w:val="center"/>
                  <w:rPr>
                    <w:iCs/>
                    <w:szCs w:val="24"/>
                    <w:lang w:eastAsia="lt-LT"/>
                  </w:rPr>
                </w:pPr>
              </w:p>
            </w:tc>
          </w:tr>
        </w:tbl>
        <w:p/>
        <w:p>
          <w:pPr>
            <w:ind w:left="10065"/>
            <w:rPr>
              <w:color w:val="000000"/>
              <w:szCs w:val="24"/>
              <w:lang w:eastAsia="lt-LT"/>
            </w:rPr>
          </w:pPr>
        </w:p>
        <w:p>
          <w:pPr>
            <w:jc w:val="center"/>
            <w:rPr>
              <w:color w:val="000000"/>
              <w:szCs w:val="24"/>
              <w:lang w:eastAsia="lt-LT"/>
            </w:rPr>
          </w:pPr>
          <w:r>
            <w:rPr>
              <w:color w:val="000000"/>
              <w:szCs w:val="24"/>
              <w:lang w:eastAsia="lt-LT"/>
            </w:rPr>
            <w:t>_____________________________________</w:t>
          </w:r>
        </w:p>
        <w:p>
          <w:pPr>
            <w:ind w:left="10065"/>
            <w:rPr>
              <w:color w:val="000000"/>
              <w:sz w:val="20"/>
            </w:rPr>
          </w:pPr>
        </w:p>
        <w:p>
          <w:pPr>
            <w:ind w:left="10065"/>
            <w:rPr>
              <w:color w:val="000000"/>
              <w:sz w:val="20"/>
            </w:rPr>
          </w:pP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code="9"/>
      <w:pgMar w:top="1701"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1895FAE4-9591-4B2A-8495-A7A692A796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11132">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2562439">
      <w:bodyDiv w:val="1"/>
      <w:marLeft w:val="0"/>
      <w:marRight w:val="0"/>
      <w:marTop w:val="0"/>
      <w:marBottom w:val="0"/>
      <w:divBdr>
        <w:top w:val="none" w:sz="0" w:space="0" w:color="auto"/>
        <w:left w:val="none" w:sz="0" w:space="0" w:color="auto"/>
        <w:bottom w:val="none" w:sz="0" w:space="0" w:color="auto"/>
        <w:right w:val="none" w:sz="0" w:space="0" w:color="auto"/>
      </w:divBdr>
      <w:divsChild>
        <w:div w:id="712119074">
          <w:marLeft w:val="0"/>
          <w:marRight w:val="0"/>
          <w:marTop w:val="0"/>
          <w:marBottom w:val="0"/>
          <w:divBdr>
            <w:top w:val="none" w:sz="0" w:space="0" w:color="auto"/>
            <w:left w:val="none" w:sz="0" w:space="0" w:color="auto"/>
            <w:bottom w:val="none" w:sz="0" w:space="0" w:color="auto"/>
            <w:right w:val="none" w:sz="0" w:space="0" w:color="auto"/>
          </w:divBdr>
        </w:div>
        <w:div w:id="1916283100">
          <w:marLeft w:val="0"/>
          <w:marRight w:val="0"/>
          <w:marTop w:val="0"/>
          <w:marBottom w:val="0"/>
          <w:divBdr>
            <w:top w:val="none" w:sz="0" w:space="0" w:color="auto"/>
            <w:left w:val="none" w:sz="0" w:space="0" w:color="auto"/>
            <w:bottom w:val="none" w:sz="0" w:space="0" w:color="auto"/>
            <w:right w:val="none" w:sz="0" w:space="0" w:color="auto"/>
          </w:divBdr>
          <w:divsChild>
            <w:div w:id="133061835">
              <w:marLeft w:val="0"/>
              <w:marRight w:val="0"/>
              <w:marTop w:val="0"/>
              <w:marBottom w:val="0"/>
              <w:divBdr>
                <w:top w:val="none" w:sz="0" w:space="0" w:color="auto"/>
                <w:left w:val="none" w:sz="0" w:space="0" w:color="auto"/>
                <w:bottom w:val="none" w:sz="0" w:space="0" w:color="auto"/>
                <w:right w:val="none" w:sz="0" w:space="0" w:color="auto"/>
              </w:divBdr>
            </w:div>
            <w:div w:id="1792168311">
              <w:marLeft w:val="0"/>
              <w:marRight w:val="0"/>
              <w:marTop w:val="0"/>
              <w:marBottom w:val="0"/>
              <w:divBdr>
                <w:top w:val="none" w:sz="0" w:space="0" w:color="auto"/>
                <w:left w:val="none" w:sz="0" w:space="0" w:color="auto"/>
                <w:bottom w:val="none" w:sz="0" w:space="0" w:color="auto"/>
                <w:right w:val="none" w:sz="0" w:space="0" w:color="auto"/>
              </w:divBdr>
            </w:div>
            <w:div w:id="1333416786">
              <w:marLeft w:val="0"/>
              <w:marRight w:val="0"/>
              <w:marTop w:val="0"/>
              <w:marBottom w:val="0"/>
              <w:divBdr>
                <w:top w:val="none" w:sz="0" w:space="0" w:color="auto"/>
                <w:left w:val="none" w:sz="0" w:space="0" w:color="auto"/>
                <w:bottom w:val="none" w:sz="0" w:space="0" w:color="auto"/>
                <w:right w:val="none" w:sz="0" w:space="0" w:color="auto"/>
              </w:divBdr>
            </w:div>
            <w:div w:id="54494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30381">
      <w:bodyDiv w:val="1"/>
      <w:marLeft w:val="0"/>
      <w:marRight w:val="0"/>
      <w:marTop w:val="0"/>
      <w:marBottom w:val="0"/>
      <w:divBdr>
        <w:top w:val="none" w:sz="0" w:space="0" w:color="auto"/>
        <w:left w:val="none" w:sz="0" w:space="0" w:color="auto"/>
        <w:bottom w:val="none" w:sz="0" w:space="0" w:color="auto"/>
        <w:right w:val="none" w:sz="0" w:space="0" w:color="auto"/>
      </w:divBdr>
    </w:div>
    <w:div w:id="91247504">
      <w:bodyDiv w:val="1"/>
      <w:marLeft w:val="0"/>
      <w:marRight w:val="0"/>
      <w:marTop w:val="0"/>
      <w:marBottom w:val="0"/>
      <w:divBdr>
        <w:top w:val="none" w:sz="0" w:space="0" w:color="auto"/>
        <w:left w:val="none" w:sz="0" w:space="0" w:color="auto"/>
        <w:bottom w:val="none" w:sz="0" w:space="0" w:color="auto"/>
        <w:right w:val="none" w:sz="0" w:space="0" w:color="auto"/>
      </w:divBdr>
      <w:divsChild>
        <w:div w:id="2081902871">
          <w:marLeft w:val="446"/>
          <w:marRight w:val="0"/>
          <w:marTop w:val="0"/>
          <w:marBottom w:val="0"/>
          <w:divBdr>
            <w:top w:val="none" w:sz="0" w:space="0" w:color="auto"/>
            <w:left w:val="none" w:sz="0" w:space="0" w:color="auto"/>
            <w:bottom w:val="none" w:sz="0" w:space="0" w:color="auto"/>
            <w:right w:val="none" w:sz="0" w:space="0" w:color="auto"/>
          </w:divBdr>
        </w:div>
      </w:divsChild>
    </w:div>
    <w:div w:id="212083458">
      <w:bodyDiv w:val="1"/>
      <w:marLeft w:val="0"/>
      <w:marRight w:val="0"/>
      <w:marTop w:val="0"/>
      <w:marBottom w:val="0"/>
      <w:divBdr>
        <w:top w:val="none" w:sz="0" w:space="0" w:color="auto"/>
        <w:left w:val="none" w:sz="0" w:space="0" w:color="auto"/>
        <w:bottom w:val="none" w:sz="0" w:space="0" w:color="auto"/>
        <w:right w:val="none" w:sz="0" w:space="0" w:color="auto"/>
      </w:divBdr>
      <w:divsChild>
        <w:div w:id="1238393623">
          <w:marLeft w:val="446"/>
          <w:marRight w:val="0"/>
          <w:marTop w:val="0"/>
          <w:marBottom w:val="0"/>
          <w:divBdr>
            <w:top w:val="none" w:sz="0" w:space="0" w:color="auto"/>
            <w:left w:val="none" w:sz="0" w:space="0" w:color="auto"/>
            <w:bottom w:val="none" w:sz="0" w:space="0" w:color="auto"/>
            <w:right w:val="none" w:sz="0" w:space="0" w:color="auto"/>
          </w:divBdr>
        </w:div>
      </w:divsChild>
    </w:div>
    <w:div w:id="221061134">
      <w:bodyDiv w:val="1"/>
      <w:marLeft w:val="0"/>
      <w:marRight w:val="0"/>
      <w:marTop w:val="0"/>
      <w:marBottom w:val="0"/>
      <w:divBdr>
        <w:top w:val="none" w:sz="0" w:space="0" w:color="auto"/>
        <w:left w:val="none" w:sz="0" w:space="0" w:color="auto"/>
        <w:bottom w:val="none" w:sz="0" w:space="0" w:color="auto"/>
        <w:right w:val="none" w:sz="0" w:space="0" w:color="auto"/>
      </w:divBdr>
    </w:div>
    <w:div w:id="235556488">
      <w:bodyDiv w:val="1"/>
      <w:marLeft w:val="0"/>
      <w:marRight w:val="0"/>
      <w:marTop w:val="0"/>
      <w:marBottom w:val="0"/>
      <w:divBdr>
        <w:top w:val="none" w:sz="0" w:space="0" w:color="auto"/>
        <w:left w:val="none" w:sz="0" w:space="0" w:color="auto"/>
        <w:bottom w:val="none" w:sz="0" w:space="0" w:color="auto"/>
        <w:right w:val="none" w:sz="0" w:space="0" w:color="auto"/>
      </w:divBdr>
    </w:div>
    <w:div w:id="262886091">
      <w:bodyDiv w:val="1"/>
      <w:marLeft w:val="0"/>
      <w:marRight w:val="0"/>
      <w:marTop w:val="0"/>
      <w:marBottom w:val="0"/>
      <w:divBdr>
        <w:top w:val="none" w:sz="0" w:space="0" w:color="auto"/>
        <w:left w:val="none" w:sz="0" w:space="0" w:color="auto"/>
        <w:bottom w:val="none" w:sz="0" w:space="0" w:color="auto"/>
        <w:right w:val="none" w:sz="0" w:space="0" w:color="auto"/>
      </w:divBdr>
      <w:divsChild>
        <w:div w:id="1415514460">
          <w:marLeft w:val="0"/>
          <w:marRight w:val="0"/>
          <w:marTop w:val="0"/>
          <w:marBottom w:val="0"/>
          <w:divBdr>
            <w:top w:val="none" w:sz="0" w:space="0" w:color="auto"/>
            <w:left w:val="none" w:sz="0" w:space="0" w:color="auto"/>
            <w:bottom w:val="none" w:sz="0" w:space="0" w:color="auto"/>
            <w:right w:val="none" w:sz="0" w:space="0" w:color="auto"/>
          </w:divBdr>
        </w:div>
      </w:divsChild>
    </w:div>
    <w:div w:id="271130996">
      <w:bodyDiv w:val="1"/>
      <w:marLeft w:val="0"/>
      <w:marRight w:val="0"/>
      <w:marTop w:val="0"/>
      <w:marBottom w:val="0"/>
      <w:divBdr>
        <w:top w:val="none" w:sz="0" w:space="0" w:color="auto"/>
        <w:left w:val="none" w:sz="0" w:space="0" w:color="auto"/>
        <w:bottom w:val="none" w:sz="0" w:space="0" w:color="auto"/>
        <w:right w:val="none" w:sz="0" w:space="0" w:color="auto"/>
      </w:divBdr>
      <w:divsChild>
        <w:div w:id="1573394383">
          <w:marLeft w:val="0"/>
          <w:marRight w:val="0"/>
          <w:marTop w:val="0"/>
          <w:marBottom w:val="0"/>
          <w:divBdr>
            <w:top w:val="none" w:sz="0" w:space="0" w:color="auto"/>
            <w:left w:val="none" w:sz="0" w:space="0" w:color="auto"/>
            <w:bottom w:val="none" w:sz="0" w:space="0" w:color="auto"/>
            <w:right w:val="none" w:sz="0" w:space="0" w:color="auto"/>
          </w:divBdr>
        </w:div>
        <w:div w:id="1867716201">
          <w:marLeft w:val="0"/>
          <w:marRight w:val="0"/>
          <w:marTop w:val="0"/>
          <w:marBottom w:val="0"/>
          <w:divBdr>
            <w:top w:val="none" w:sz="0" w:space="0" w:color="auto"/>
            <w:left w:val="none" w:sz="0" w:space="0" w:color="auto"/>
            <w:bottom w:val="none" w:sz="0" w:space="0" w:color="auto"/>
            <w:right w:val="none" w:sz="0" w:space="0" w:color="auto"/>
          </w:divBdr>
        </w:div>
        <w:div w:id="977416641">
          <w:marLeft w:val="0"/>
          <w:marRight w:val="0"/>
          <w:marTop w:val="0"/>
          <w:marBottom w:val="0"/>
          <w:divBdr>
            <w:top w:val="none" w:sz="0" w:space="0" w:color="auto"/>
            <w:left w:val="none" w:sz="0" w:space="0" w:color="auto"/>
            <w:bottom w:val="none" w:sz="0" w:space="0" w:color="auto"/>
            <w:right w:val="none" w:sz="0" w:space="0" w:color="auto"/>
          </w:divBdr>
        </w:div>
        <w:div w:id="1479032433">
          <w:marLeft w:val="0"/>
          <w:marRight w:val="0"/>
          <w:marTop w:val="0"/>
          <w:marBottom w:val="0"/>
          <w:divBdr>
            <w:top w:val="none" w:sz="0" w:space="0" w:color="auto"/>
            <w:left w:val="none" w:sz="0" w:space="0" w:color="auto"/>
            <w:bottom w:val="none" w:sz="0" w:space="0" w:color="auto"/>
            <w:right w:val="none" w:sz="0" w:space="0" w:color="auto"/>
          </w:divBdr>
        </w:div>
        <w:div w:id="191263045">
          <w:marLeft w:val="0"/>
          <w:marRight w:val="0"/>
          <w:marTop w:val="0"/>
          <w:marBottom w:val="0"/>
          <w:divBdr>
            <w:top w:val="none" w:sz="0" w:space="0" w:color="auto"/>
            <w:left w:val="none" w:sz="0" w:space="0" w:color="auto"/>
            <w:bottom w:val="none" w:sz="0" w:space="0" w:color="auto"/>
            <w:right w:val="none" w:sz="0" w:space="0" w:color="auto"/>
          </w:divBdr>
        </w:div>
        <w:div w:id="32776620">
          <w:marLeft w:val="0"/>
          <w:marRight w:val="0"/>
          <w:marTop w:val="0"/>
          <w:marBottom w:val="0"/>
          <w:divBdr>
            <w:top w:val="none" w:sz="0" w:space="0" w:color="auto"/>
            <w:left w:val="none" w:sz="0" w:space="0" w:color="auto"/>
            <w:bottom w:val="none" w:sz="0" w:space="0" w:color="auto"/>
            <w:right w:val="none" w:sz="0" w:space="0" w:color="auto"/>
          </w:divBdr>
        </w:div>
        <w:div w:id="1693258545">
          <w:marLeft w:val="0"/>
          <w:marRight w:val="0"/>
          <w:marTop w:val="0"/>
          <w:marBottom w:val="0"/>
          <w:divBdr>
            <w:top w:val="none" w:sz="0" w:space="0" w:color="auto"/>
            <w:left w:val="none" w:sz="0" w:space="0" w:color="auto"/>
            <w:bottom w:val="none" w:sz="0" w:space="0" w:color="auto"/>
            <w:right w:val="none" w:sz="0" w:space="0" w:color="auto"/>
          </w:divBdr>
        </w:div>
        <w:div w:id="1126313397">
          <w:marLeft w:val="0"/>
          <w:marRight w:val="0"/>
          <w:marTop w:val="0"/>
          <w:marBottom w:val="0"/>
          <w:divBdr>
            <w:top w:val="none" w:sz="0" w:space="0" w:color="auto"/>
            <w:left w:val="none" w:sz="0" w:space="0" w:color="auto"/>
            <w:bottom w:val="none" w:sz="0" w:space="0" w:color="auto"/>
            <w:right w:val="none" w:sz="0" w:space="0" w:color="auto"/>
          </w:divBdr>
        </w:div>
        <w:div w:id="437264226">
          <w:marLeft w:val="0"/>
          <w:marRight w:val="0"/>
          <w:marTop w:val="0"/>
          <w:marBottom w:val="0"/>
          <w:divBdr>
            <w:top w:val="none" w:sz="0" w:space="0" w:color="auto"/>
            <w:left w:val="none" w:sz="0" w:space="0" w:color="auto"/>
            <w:bottom w:val="none" w:sz="0" w:space="0" w:color="auto"/>
            <w:right w:val="none" w:sz="0" w:space="0" w:color="auto"/>
          </w:divBdr>
        </w:div>
      </w:divsChild>
    </w:div>
    <w:div w:id="274486292">
      <w:bodyDiv w:val="1"/>
      <w:marLeft w:val="0"/>
      <w:marRight w:val="0"/>
      <w:marTop w:val="0"/>
      <w:marBottom w:val="0"/>
      <w:divBdr>
        <w:top w:val="none" w:sz="0" w:space="0" w:color="auto"/>
        <w:left w:val="none" w:sz="0" w:space="0" w:color="auto"/>
        <w:bottom w:val="none" w:sz="0" w:space="0" w:color="auto"/>
        <w:right w:val="none" w:sz="0" w:space="0" w:color="auto"/>
      </w:divBdr>
      <w:divsChild>
        <w:div w:id="775439935">
          <w:marLeft w:val="0"/>
          <w:marRight w:val="0"/>
          <w:marTop w:val="0"/>
          <w:marBottom w:val="0"/>
          <w:divBdr>
            <w:top w:val="none" w:sz="0" w:space="0" w:color="auto"/>
            <w:left w:val="none" w:sz="0" w:space="0" w:color="auto"/>
            <w:bottom w:val="none" w:sz="0" w:space="0" w:color="auto"/>
            <w:right w:val="none" w:sz="0" w:space="0" w:color="auto"/>
          </w:divBdr>
        </w:div>
        <w:div w:id="614680587">
          <w:marLeft w:val="0"/>
          <w:marRight w:val="0"/>
          <w:marTop w:val="0"/>
          <w:marBottom w:val="0"/>
          <w:divBdr>
            <w:top w:val="none" w:sz="0" w:space="0" w:color="auto"/>
            <w:left w:val="none" w:sz="0" w:space="0" w:color="auto"/>
            <w:bottom w:val="none" w:sz="0" w:space="0" w:color="auto"/>
            <w:right w:val="none" w:sz="0" w:space="0" w:color="auto"/>
          </w:divBdr>
        </w:div>
        <w:div w:id="1584989174">
          <w:marLeft w:val="0"/>
          <w:marRight w:val="0"/>
          <w:marTop w:val="0"/>
          <w:marBottom w:val="0"/>
          <w:divBdr>
            <w:top w:val="none" w:sz="0" w:space="0" w:color="auto"/>
            <w:left w:val="none" w:sz="0" w:space="0" w:color="auto"/>
            <w:bottom w:val="none" w:sz="0" w:space="0" w:color="auto"/>
            <w:right w:val="none" w:sz="0" w:space="0" w:color="auto"/>
          </w:divBdr>
        </w:div>
      </w:divsChild>
    </w:div>
    <w:div w:id="351953545">
      <w:bodyDiv w:val="1"/>
      <w:marLeft w:val="0"/>
      <w:marRight w:val="0"/>
      <w:marTop w:val="0"/>
      <w:marBottom w:val="0"/>
      <w:divBdr>
        <w:top w:val="none" w:sz="0" w:space="0" w:color="auto"/>
        <w:left w:val="none" w:sz="0" w:space="0" w:color="auto"/>
        <w:bottom w:val="none" w:sz="0" w:space="0" w:color="auto"/>
        <w:right w:val="none" w:sz="0" w:space="0" w:color="auto"/>
      </w:divBdr>
    </w:div>
    <w:div w:id="502748521">
      <w:bodyDiv w:val="1"/>
      <w:marLeft w:val="0"/>
      <w:marRight w:val="0"/>
      <w:marTop w:val="0"/>
      <w:marBottom w:val="0"/>
      <w:divBdr>
        <w:top w:val="none" w:sz="0" w:space="0" w:color="auto"/>
        <w:left w:val="none" w:sz="0" w:space="0" w:color="auto"/>
        <w:bottom w:val="none" w:sz="0" w:space="0" w:color="auto"/>
        <w:right w:val="none" w:sz="0" w:space="0" w:color="auto"/>
      </w:divBdr>
    </w:div>
    <w:div w:id="598220633">
      <w:bodyDiv w:val="1"/>
      <w:marLeft w:val="0"/>
      <w:marRight w:val="0"/>
      <w:marTop w:val="0"/>
      <w:marBottom w:val="0"/>
      <w:divBdr>
        <w:top w:val="none" w:sz="0" w:space="0" w:color="auto"/>
        <w:left w:val="none" w:sz="0" w:space="0" w:color="auto"/>
        <w:bottom w:val="none" w:sz="0" w:space="0" w:color="auto"/>
        <w:right w:val="none" w:sz="0" w:space="0" w:color="auto"/>
      </w:divBdr>
    </w:div>
    <w:div w:id="630211064">
      <w:bodyDiv w:val="1"/>
      <w:marLeft w:val="0"/>
      <w:marRight w:val="0"/>
      <w:marTop w:val="0"/>
      <w:marBottom w:val="0"/>
      <w:divBdr>
        <w:top w:val="none" w:sz="0" w:space="0" w:color="auto"/>
        <w:left w:val="none" w:sz="0" w:space="0" w:color="auto"/>
        <w:bottom w:val="none" w:sz="0" w:space="0" w:color="auto"/>
        <w:right w:val="none" w:sz="0" w:space="0" w:color="auto"/>
      </w:divBdr>
    </w:div>
    <w:div w:id="661202103">
      <w:bodyDiv w:val="1"/>
      <w:marLeft w:val="0"/>
      <w:marRight w:val="0"/>
      <w:marTop w:val="0"/>
      <w:marBottom w:val="0"/>
      <w:divBdr>
        <w:top w:val="none" w:sz="0" w:space="0" w:color="auto"/>
        <w:left w:val="none" w:sz="0" w:space="0" w:color="auto"/>
        <w:bottom w:val="none" w:sz="0" w:space="0" w:color="auto"/>
        <w:right w:val="none" w:sz="0" w:space="0" w:color="auto"/>
      </w:divBdr>
      <w:divsChild>
        <w:div w:id="1267612576">
          <w:marLeft w:val="0"/>
          <w:marRight w:val="0"/>
          <w:marTop w:val="0"/>
          <w:marBottom w:val="0"/>
          <w:divBdr>
            <w:top w:val="none" w:sz="0" w:space="0" w:color="auto"/>
            <w:left w:val="none" w:sz="0" w:space="0" w:color="auto"/>
            <w:bottom w:val="none" w:sz="0" w:space="0" w:color="auto"/>
            <w:right w:val="none" w:sz="0" w:space="0" w:color="auto"/>
          </w:divBdr>
        </w:div>
        <w:div w:id="139689206">
          <w:marLeft w:val="0"/>
          <w:marRight w:val="0"/>
          <w:marTop w:val="0"/>
          <w:marBottom w:val="0"/>
          <w:divBdr>
            <w:top w:val="none" w:sz="0" w:space="0" w:color="auto"/>
            <w:left w:val="none" w:sz="0" w:space="0" w:color="auto"/>
            <w:bottom w:val="none" w:sz="0" w:space="0" w:color="auto"/>
            <w:right w:val="none" w:sz="0" w:space="0" w:color="auto"/>
          </w:divBdr>
        </w:div>
        <w:div w:id="181477081">
          <w:marLeft w:val="0"/>
          <w:marRight w:val="0"/>
          <w:marTop w:val="0"/>
          <w:marBottom w:val="0"/>
          <w:divBdr>
            <w:top w:val="none" w:sz="0" w:space="0" w:color="auto"/>
            <w:left w:val="none" w:sz="0" w:space="0" w:color="auto"/>
            <w:bottom w:val="none" w:sz="0" w:space="0" w:color="auto"/>
            <w:right w:val="none" w:sz="0" w:space="0" w:color="auto"/>
          </w:divBdr>
        </w:div>
        <w:div w:id="1904289178">
          <w:marLeft w:val="0"/>
          <w:marRight w:val="0"/>
          <w:marTop w:val="0"/>
          <w:marBottom w:val="0"/>
          <w:divBdr>
            <w:top w:val="none" w:sz="0" w:space="0" w:color="auto"/>
            <w:left w:val="none" w:sz="0" w:space="0" w:color="auto"/>
            <w:bottom w:val="none" w:sz="0" w:space="0" w:color="auto"/>
            <w:right w:val="none" w:sz="0" w:space="0" w:color="auto"/>
          </w:divBdr>
        </w:div>
        <w:div w:id="649359269">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06112646">
      <w:bodyDiv w:val="1"/>
      <w:marLeft w:val="0"/>
      <w:marRight w:val="0"/>
      <w:marTop w:val="0"/>
      <w:marBottom w:val="0"/>
      <w:divBdr>
        <w:top w:val="none" w:sz="0" w:space="0" w:color="auto"/>
        <w:left w:val="none" w:sz="0" w:space="0" w:color="auto"/>
        <w:bottom w:val="none" w:sz="0" w:space="0" w:color="auto"/>
        <w:right w:val="none" w:sz="0" w:space="0" w:color="auto"/>
      </w:divBdr>
    </w:div>
    <w:div w:id="1014764693">
      <w:bodyDiv w:val="1"/>
      <w:marLeft w:val="0"/>
      <w:marRight w:val="0"/>
      <w:marTop w:val="0"/>
      <w:marBottom w:val="0"/>
      <w:divBdr>
        <w:top w:val="none" w:sz="0" w:space="0" w:color="auto"/>
        <w:left w:val="none" w:sz="0" w:space="0" w:color="auto"/>
        <w:bottom w:val="none" w:sz="0" w:space="0" w:color="auto"/>
        <w:right w:val="none" w:sz="0" w:space="0" w:color="auto"/>
      </w:divBdr>
    </w:div>
    <w:div w:id="1361392069">
      <w:bodyDiv w:val="1"/>
      <w:marLeft w:val="0"/>
      <w:marRight w:val="0"/>
      <w:marTop w:val="0"/>
      <w:marBottom w:val="0"/>
      <w:divBdr>
        <w:top w:val="none" w:sz="0" w:space="0" w:color="auto"/>
        <w:left w:val="none" w:sz="0" w:space="0" w:color="auto"/>
        <w:bottom w:val="none" w:sz="0" w:space="0" w:color="auto"/>
        <w:right w:val="none" w:sz="0" w:space="0" w:color="auto"/>
      </w:divBdr>
      <w:divsChild>
        <w:div w:id="1186864956">
          <w:marLeft w:val="446"/>
          <w:marRight w:val="0"/>
          <w:marTop w:val="0"/>
          <w:marBottom w:val="0"/>
          <w:divBdr>
            <w:top w:val="none" w:sz="0" w:space="0" w:color="auto"/>
            <w:left w:val="none" w:sz="0" w:space="0" w:color="auto"/>
            <w:bottom w:val="none" w:sz="0" w:space="0" w:color="auto"/>
            <w:right w:val="none" w:sz="0" w:space="0" w:color="auto"/>
          </w:divBdr>
        </w:div>
      </w:divsChild>
    </w:div>
    <w:div w:id="1414736235">
      <w:bodyDiv w:val="1"/>
      <w:marLeft w:val="0"/>
      <w:marRight w:val="0"/>
      <w:marTop w:val="0"/>
      <w:marBottom w:val="0"/>
      <w:divBdr>
        <w:top w:val="none" w:sz="0" w:space="0" w:color="auto"/>
        <w:left w:val="none" w:sz="0" w:space="0" w:color="auto"/>
        <w:bottom w:val="none" w:sz="0" w:space="0" w:color="auto"/>
        <w:right w:val="none" w:sz="0" w:space="0" w:color="auto"/>
      </w:divBdr>
    </w:div>
    <w:div w:id="1466854293">
      <w:bodyDiv w:val="1"/>
      <w:marLeft w:val="0"/>
      <w:marRight w:val="0"/>
      <w:marTop w:val="0"/>
      <w:marBottom w:val="0"/>
      <w:divBdr>
        <w:top w:val="none" w:sz="0" w:space="0" w:color="auto"/>
        <w:left w:val="none" w:sz="0" w:space="0" w:color="auto"/>
        <w:bottom w:val="none" w:sz="0" w:space="0" w:color="auto"/>
        <w:right w:val="none" w:sz="0" w:space="0" w:color="auto"/>
      </w:divBdr>
    </w:div>
    <w:div w:id="1474366370">
      <w:bodyDiv w:val="1"/>
      <w:marLeft w:val="0"/>
      <w:marRight w:val="0"/>
      <w:marTop w:val="0"/>
      <w:marBottom w:val="0"/>
      <w:divBdr>
        <w:top w:val="none" w:sz="0" w:space="0" w:color="auto"/>
        <w:left w:val="none" w:sz="0" w:space="0" w:color="auto"/>
        <w:bottom w:val="none" w:sz="0" w:space="0" w:color="auto"/>
        <w:right w:val="none" w:sz="0" w:space="0" w:color="auto"/>
      </w:divBdr>
    </w:div>
    <w:div w:id="1504278628">
      <w:bodyDiv w:val="1"/>
      <w:marLeft w:val="0"/>
      <w:marRight w:val="0"/>
      <w:marTop w:val="0"/>
      <w:marBottom w:val="0"/>
      <w:divBdr>
        <w:top w:val="none" w:sz="0" w:space="0" w:color="auto"/>
        <w:left w:val="none" w:sz="0" w:space="0" w:color="auto"/>
        <w:bottom w:val="none" w:sz="0" w:space="0" w:color="auto"/>
        <w:right w:val="none" w:sz="0" w:space="0" w:color="auto"/>
      </w:divBdr>
    </w:div>
    <w:div w:id="1520849118">
      <w:bodyDiv w:val="1"/>
      <w:marLeft w:val="0"/>
      <w:marRight w:val="0"/>
      <w:marTop w:val="0"/>
      <w:marBottom w:val="0"/>
      <w:divBdr>
        <w:top w:val="none" w:sz="0" w:space="0" w:color="auto"/>
        <w:left w:val="none" w:sz="0" w:space="0" w:color="auto"/>
        <w:bottom w:val="none" w:sz="0" w:space="0" w:color="auto"/>
        <w:right w:val="none" w:sz="0" w:space="0" w:color="auto"/>
      </w:divBdr>
      <w:divsChild>
        <w:div w:id="802508287">
          <w:marLeft w:val="0"/>
          <w:marRight w:val="0"/>
          <w:marTop w:val="0"/>
          <w:marBottom w:val="0"/>
          <w:divBdr>
            <w:top w:val="none" w:sz="0" w:space="0" w:color="auto"/>
            <w:left w:val="none" w:sz="0" w:space="0" w:color="auto"/>
            <w:bottom w:val="none" w:sz="0" w:space="0" w:color="auto"/>
            <w:right w:val="none" w:sz="0" w:space="0" w:color="auto"/>
          </w:divBdr>
        </w:div>
      </w:divsChild>
    </w:div>
    <w:div w:id="1563787025">
      <w:bodyDiv w:val="1"/>
      <w:marLeft w:val="0"/>
      <w:marRight w:val="0"/>
      <w:marTop w:val="0"/>
      <w:marBottom w:val="0"/>
      <w:divBdr>
        <w:top w:val="none" w:sz="0" w:space="0" w:color="auto"/>
        <w:left w:val="none" w:sz="0" w:space="0" w:color="auto"/>
        <w:bottom w:val="none" w:sz="0" w:space="0" w:color="auto"/>
        <w:right w:val="none" w:sz="0" w:space="0" w:color="auto"/>
      </w:divBdr>
      <w:divsChild>
        <w:div w:id="1994026120">
          <w:marLeft w:val="0"/>
          <w:marRight w:val="0"/>
          <w:marTop w:val="0"/>
          <w:marBottom w:val="0"/>
          <w:divBdr>
            <w:top w:val="none" w:sz="0" w:space="0" w:color="auto"/>
            <w:left w:val="none" w:sz="0" w:space="0" w:color="auto"/>
            <w:bottom w:val="none" w:sz="0" w:space="0" w:color="auto"/>
            <w:right w:val="none" w:sz="0" w:space="0" w:color="auto"/>
          </w:divBdr>
        </w:div>
        <w:div w:id="1160459668">
          <w:marLeft w:val="0"/>
          <w:marRight w:val="0"/>
          <w:marTop w:val="0"/>
          <w:marBottom w:val="0"/>
          <w:divBdr>
            <w:top w:val="none" w:sz="0" w:space="0" w:color="auto"/>
            <w:left w:val="none" w:sz="0" w:space="0" w:color="auto"/>
            <w:bottom w:val="none" w:sz="0" w:space="0" w:color="auto"/>
            <w:right w:val="none" w:sz="0" w:space="0" w:color="auto"/>
          </w:divBdr>
        </w:div>
        <w:div w:id="260456465">
          <w:marLeft w:val="0"/>
          <w:marRight w:val="0"/>
          <w:marTop w:val="0"/>
          <w:marBottom w:val="0"/>
          <w:divBdr>
            <w:top w:val="none" w:sz="0" w:space="0" w:color="auto"/>
            <w:left w:val="none" w:sz="0" w:space="0" w:color="auto"/>
            <w:bottom w:val="none" w:sz="0" w:space="0" w:color="auto"/>
            <w:right w:val="none" w:sz="0" w:space="0" w:color="auto"/>
          </w:divBdr>
        </w:div>
      </w:divsChild>
    </w:div>
    <w:div w:id="1585215089">
      <w:bodyDiv w:val="1"/>
      <w:marLeft w:val="0"/>
      <w:marRight w:val="0"/>
      <w:marTop w:val="0"/>
      <w:marBottom w:val="0"/>
      <w:divBdr>
        <w:top w:val="none" w:sz="0" w:space="0" w:color="auto"/>
        <w:left w:val="none" w:sz="0" w:space="0" w:color="auto"/>
        <w:bottom w:val="none" w:sz="0" w:space="0" w:color="auto"/>
        <w:right w:val="none" w:sz="0" w:space="0" w:color="auto"/>
      </w:divBdr>
    </w:div>
    <w:div w:id="1602880403">
      <w:bodyDiv w:val="1"/>
      <w:marLeft w:val="0"/>
      <w:marRight w:val="0"/>
      <w:marTop w:val="0"/>
      <w:marBottom w:val="0"/>
      <w:divBdr>
        <w:top w:val="none" w:sz="0" w:space="0" w:color="auto"/>
        <w:left w:val="none" w:sz="0" w:space="0" w:color="auto"/>
        <w:bottom w:val="none" w:sz="0" w:space="0" w:color="auto"/>
        <w:right w:val="none" w:sz="0" w:space="0" w:color="auto"/>
      </w:divBdr>
    </w:div>
    <w:div w:id="1609123385">
      <w:bodyDiv w:val="1"/>
      <w:marLeft w:val="0"/>
      <w:marRight w:val="0"/>
      <w:marTop w:val="0"/>
      <w:marBottom w:val="0"/>
      <w:divBdr>
        <w:top w:val="none" w:sz="0" w:space="0" w:color="auto"/>
        <w:left w:val="none" w:sz="0" w:space="0" w:color="auto"/>
        <w:bottom w:val="none" w:sz="0" w:space="0" w:color="auto"/>
        <w:right w:val="none" w:sz="0" w:space="0" w:color="auto"/>
      </w:divBdr>
    </w:div>
    <w:div w:id="1611234276">
      <w:bodyDiv w:val="1"/>
      <w:marLeft w:val="0"/>
      <w:marRight w:val="0"/>
      <w:marTop w:val="0"/>
      <w:marBottom w:val="0"/>
      <w:divBdr>
        <w:top w:val="none" w:sz="0" w:space="0" w:color="auto"/>
        <w:left w:val="none" w:sz="0" w:space="0" w:color="auto"/>
        <w:bottom w:val="none" w:sz="0" w:space="0" w:color="auto"/>
        <w:right w:val="none" w:sz="0" w:space="0" w:color="auto"/>
      </w:divBdr>
      <w:divsChild>
        <w:div w:id="813258447">
          <w:marLeft w:val="446"/>
          <w:marRight w:val="0"/>
          <w:marTop w:val="0"/>
          <w:marBottom w:val="0"/>
          <w:divBdr>
            <w:top w:val="none" w:sz="0" w:space="0" w:color="auto"/>
            <w:left w:val="none" w:sz="0" w:space="0" w:color="auto"/>
            <w:bottom w:val="none" w:sz="0" w:space="0" w:color="auto"/>
            <w:right w:val="none" w:sz="0" w:space="0" w:color="auto"/>
          </w:divBdr>
        </w:div>
      </w:divsChild>
    </w:div>
    <w:div w:id="1790782374">
      <w:bodyDiv w:val="1"/>
      <w:marLeft w:val="0"/>
      <w:marRight w:val="0"/>
      <w:marTop w:val="0"/>
      <w:marBottom w:val="0"/>
      <w:divBdr>
        <w:top w:val="none" w:sz="0" w:space="0" w:color="auto"/>
        <w:left w:val="none" w:sz="0" w:space="0" w:color="auto"/>
        <w:bottom w:val="none" w:sz="0" w:space="0" w:color="auto"/>
        <w:right w:val="none" w:sz="0" w:space="0" w:color="auto"/>
      </w:divBdr>
    </w:div>
    <w:div w:id="179421005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960750">
      <w:bodyDiv w:val="1"/>
      <w:marLeft w:val="0"/>
      <w:marRight w:val="0"/>
      <w:marTop w:val="0"/>
      <w:marBottom w:val="0"/>
      <w:divBdr>
        <w:top w:val="none" w:sz="0" w:space="0" w:color="auto"/>
        <w:left w:val="none" w:sz="0" w:space="0" w:color="auto"/>
        <w:bottom w:val="none" w:sz="0" w:space="0" w:color="auto"/>
        <w:right w:val="none" w:sz="0" w:space="0" w:color="auto"/>
      </w:divBdr>
      <w:divsChild>
        <w:div w:id="1227373952">
          <w:marLeft w:val="0"/>
          <w:marRight w:val="0"/>
          <w:marTop w:val="0"/>
          <w:marBottom w:val="0"/>
          <w:divBdr>
            <w:top w:val="none" w:sz="0" w:space="0" w:color="auto"/>
            <w:left w:val="none" w:sz="0" w:space="0" w:color="auto"/>
            <w:bottom w:val="none" w:sz="0" w:space="0" w:color="auto"/>
            <w:right w:val="none" w:sz="0" w:space="0" w:color="auto"/>
          </w:divBdr>
          <w:divsChild>
            <w:div w:id="1124033246">
              <w:marLeft w:val="0"/>
              <w:marRight w:val="0"/>
              <w:marTop w:val="0"/>
              <w:marBottom w:val="0"/>
              <w:divBdr>
                <w:top w:val="none" w:sz="0" w:space="0" w:color="auto"/>
                <w:left w:val="none" w:sz="0" w:space="0" w:color="auto"/>
                <w:bottom w:val="none" w:sz="0" w:space="0" w:color="auto"/>
                <w:right w:val="none" w:sz="0" w:space="0" w:color="auto"/>
              </w:divBdr>
            </w:div>
            <w:div w:id="243730600">
              <w:marLeft w:val="0"/>
              <w:marRight w:val="0"/>
              <w:marTop w:val="0"/>
              <w:marBottom w:val="0"/>
              <w:divBdr>
                <w:top w:val="none" w:sz="0" w:space="0" w:color="auto"/>
                <w:left w:val="none" w:sz="0" w:space="0" w:color="auto"/>
                <w:bottom w:val="none" w:sz="0" w:space="0" w:color="auto"/>
                <w:right w:val="none" w:sz="0" w:space="0" w:color="auto"/>
              </w:divBdr>
            </w:div>
            <w:div w:id="530458689">
              <w:marLeft w:val="0"/>
              <w:marRight w:val="0"/>
              <w:marTop w:val="0"/>
              <w:marBottom w:val="0"/>
              <w:divBdr>
                <w:top w:val="none" w:sz="0" w:space="0" w:color="auto"/>
                <w:left w:val="none" w:sz="0" w:space="0" w:color="auto"/>
                <w:bottom w:val="none" w:sz="0" w:space="0" w:color="auto"/>
                <w:right w:val="none" w:sz="0" w:space="0" w:color="auto"/>
              </w:divBdr>
            </w:div>
          </w:divsChild>
        </w:div>
        <w:div w:id="1929271068">
          <w:marLeft w:val="0"/>
          <w:marRight w:val="0"/>
          <w:marTop w:val="0"/>
          <w:marBottom w:val="0"/>
          <w:divBdr>
            <w:top w:val="none" w:sz="0" w:space="0" w:color="auto"/>
            <w:left w:val="none" w:sz="0" w:space="0" w:color="auto"/>
            <w:bottom w:val="none" w:sz="0" w:space="0" w:color="auto"/>
            <w:right w:val="none" w:sz="0" w:space="0" w:color="auto"/>
          </w:divBdr>
        </w:div>
      </w:divsChild>
    </w:div>
    <w:div w:id="1870416335">
      <w:bodyDiv w:val="1"/>
      <w:marLeft w:val="0"/>
      <w:marRight w:val="0"/>
      <w:marTop w:val="0"/>
      <w:marBottom w:val="0"/>
      <w:divBdr>
        <w:top w:val="none" w:sz="0" w:space="0" w:color="auto"/>
        <w:left w:val="none" w:sz="0" w:space="0" w:color="auto"/>
        <w:bottom w:val="none" w:sz="0" w:space="0" w:color="auto"/>
        <w:right w:val="none" w:sz="0" w:space="0" w:color="auto"/>
      </w:divBdr>
      <w:divsChild>
        <w:div w:id="269554679">
          <w:marLeft w:val="446"/>
          <w:marRight w:val="0"/>
          <w:marTop w:val="0"/>
          <w:marBottom w:val="0"/>
          <w:divBdr>
            <w:top w:val="none" w:sz="0" w:space="0" w:color="auto"/>
            <w:left w:val="none" w:sz="0" w:space="0" w:color="auto"/>
            <w:bottom w:val="none" w:sz="0" w:space="0" w:color="auto"/>
            <w:right w:val="none" w:sz="0" w:space="0" w:color="auto"/>
          </w:divBdr>
        </w:div>
      </w:divsChild>
    </w:div>
    <w:div w:id="1998604283">
      <w:bodyDiv w:val="1"/>
      <w:marLeft w:val="0"/>
      <w:marRight w:val="0"/>
      <w:marTop w:val="0"/>
      <w:marBottom w:val="0"/>
      <w:divBdr>
        <w:top w:val="none" w:sz="0" w:space="0" w:color="auto"/>
        <w:left w:val="none" w:sz="0" w:space="0" w:color="auto"/>
        <w:bottom w:val="none" w:sz="0" w:space="0" w:color="auto"/>
        <w:right w:val="none" w:sz="0" w:space="0" w:color="auto"/>
      </w:divBdr>
    </w:div>
    <w:div w:id="2066219496">
      <w:bodyDiv w:val="1"/>
      <w:marLeft w:val="0"/>
      <w:marRight w:val="0"/>
      <w:marTop w:val="0"/>
      <w:marBottom w:val="0"/>
      <w:divBdr>
        <w:top w:val="none" w:sz="0" w:space="0" w:color="auto"/>
        <w:left w:val="none" w:sz="0" w:space="0" w:color="auto"/>
        <w:bottom w:val="none" w:sz="0" w:space="0" w:color="auto"/>
        <w:right w:val="none" w:sz="0" w:space="0" w:color="auto"/>
      </w:divBdr>
      <w:divsChild>
        <w:div w:id="1423526875">
          <w:marLeft w:val="0"/>
          <w:marRight w:val="0"/>
          <w:marTop w:val="0"/>
          <w:marBottom w:val="0"/>
          <w:divBdr>
            <w:top w:val="none" w:sz="0" w:space="0" w:color="auto"/>
            <w:left w:val="none" w:sz="0" w:space="0" w:color="auto"/>
            <w:bottom w:val="none" w:sz="0" w:space="0" w:color="auto"/>
            <w:right w:val="none" w:sz="0" w:space="0" w:color="auto"/>
          </w:divBdr>
        </w:div>
        <w:div w:id="1564295319">
          <w:marLeft w:val="0"/>
          <w:marRight w:val="0"/>
          <w:marTop w:val="0"/>
          <w:marBottom w:val="0"/>
          <w:divBdr>
            <w:top w:val="none" w:sz="0" w:space="0" w:color="auto"/>
            <w:left w:val="none" w:sz="0" w:space="0" w:color="auto"/>
            <w:bottom w:val="none" w:sz="0" w:space="0" w:color="auto"/>
            <w:right w:val="none" w:sz="0" w:space="0" w:color="auto"/>
          </w:divBdr>
          <w:divsChild>
            <w:div w:id="627443274">
              <w:marLeft w:val="0"/>
              <w:marRight w:val="0"/>
              <w:marTop w:val="0"/>
              <w:marBottom w:val="0"/>
              <w:divBdr>
                <w:top w:val="none" w:sz="0" w:space="0" w:color="auto"/>
                <w:left w:val="none" w:sz="0" w:space="0" w:color="auto"/>
                <w:bottom w:val="none" w:sz="0" w:space="0" w:color="auto"/>
                <w:right w:val="none" w:sz="0" w:space="0" w:color="auto"/>
              </w:divBdr>
            </w:div>
            <w:div w:id="157507153">
              <w:marLeft w:val="0"/>
              <w:marRight w:val="0"/>
              <w:marTop w:val="0"/>
              <w:marBottom w:val="0"/>
              <w:divBdr>
                <w:top w:val="none" w:sz="0" w:space="0" w:color="auto"/>
                <w:left w:val="none" w:sz="0" w:space="0" w:color="auto"/>
                <w:bottom w:val="none" w:sz="0" w:space="0" w:color="auto"/>
                <w:right w:val="none" w:sz="0" w:space="0" w:color="auto"/>
              </w:divBdr>
              <w:divsChild>
                <w:div w:id="1517843175">
                  <w:marLeft w:val="0"/>
                  <w:marRight w:val="0"/>
                  <w:marTop w:val="0"/>
                  <w:marBottom w:val="0"/>
                  <w:divBdr>
                    <w:top w:val="none" w:sz="0" w:space="0" w:color="auto"/>
                    <w:left w:val="none" w:sz="0" w:space="0" w:color="auto"/>
                    <w:bottom w:val="none" w:sz="0" w:space="0" w:color="auto"/>
                    <w:right w:val="none" w:sz="0" w:space="0" w:color="auto"/>
                  </w:divBdr>
                </w:div>
                <w:div w:id="750195003">
                  <w:marLeft w:val="0"/>
                  <w:marRight w:val="0"/>
                  <w:marTop w:val="0"/>
                  <w:marBottom w:val="0"/>
                  <w:divBdr>
                    <w:top w:val="none" w:sz="0" w:space="0" w:color="auto"/>
                    <w:left w:val="none" w:sz="0" w:space="0" w:color="auto"/>
                    <w:bottom w:val="none" w:sz="0" w:space="0" w:color="auto"/>
                    <w:right w:val="none" w:sz="0" w:space="0" w:color="auto"/>
                  </w:divBdr>
                </w:div>
                <w:div w:id="5447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297696">
          <w:marLeft w:val="0"/>
          <w:marRight w:val="0"/>
          <w:marTop w:val="0"/>
          <w:marBottom w:val="0"/>
          <w:divBdr>
            <w:top w:val="none" w:sz="0" w:space="0" w:color="auto"/>
            <w:left w:val="none" w:sz="0" w:space="0" w:color="auto"/>
            <w:bottom w:val="none" w:sz="0" w:space="0" w:color="auto"/>
            <w:right w:val="none" w:sz="0" w:space="0" w:color="auto"/>
          </w:divBdr>
        </w:div>
        <w:div w:id="335690516">
          <w:marLeft w:val="0"/>
          <w:marRight w:val="0"/>
          <w:marTop w:val="0"/>
          <w:marBottom w:val="0"/>
          <w:divBdr>
            <w:top w:val="none" w:sz="0" w:space="0" w:color="auto"/>
            <w:left w:val="none" w:sz="0" w:space="0" w:color="auto"/>
            <w:bottom w:val="none" w:sz="0" w:space="0" w:color="auto"/>
            <w:right w:val="none" w:sz="0" w:space="0" w:color="auto"/>
          </w:divBdr>
        </w:div>
        <w:div w:id="391006292">
          <w:marLeft w:val="0"/>
          <w:marRight w:val="0"/>
          <w:marTop w:val="0"/>
          <w:marBottom w:val="0"/>
          <w:divBdr>
            <w:top w:val="none" w:sz="0" w:space="0" w:color="auto"/>
            <w:left w:val="none" w:sz="0" w:space="0" w:color="auto"/>
            <w:bottom w:val="none" w:sz="0" w:space="0" w:color="auto"/>
            <w:right w:val="none" w:sz="0" w:space="0" w:color="auto"/>
          </w:divBdr>
        </w:div>
        <w:div w:id="1532642025">
          <w:marLeft w:val="0"/>
          <w:marRight w:val="0"/>
          <w:marTop w:val="0"/>
          <w:marBottom w:val="0"/>
          <w:divBdr>
            <w:top w:val="none" w:sz="0" w:space="0" w:color="auto"/>
            <w:left w:val="none" w:sz="0" w:space="0" w:color="auto"/>
            <w:bottom w:val="none" w:sz="0" w:space="0" w:color="auto"/>
            <w:right w:val="none" w:sz="0" w:space="0" w:color="auto"/>
          </w:divBdr>
        </w:div>
        <w:div w:id="37316441">
          <w:marLeft w:val="0"/>
          <w:marRight w:val="0"/>
          <w:marTop w:val="0"/>
          <w:marBottom w:val="0"/>
          <w:divBdr>
            <w:top w:val="none" w:sz="0" w:space="0" w:color="auto"/>
            <w:left w:val="none" w:sz="0" w:space="0" w:color="auto"/>
            <w:bottom w:val="none" w:sz="0" w:space="0" w:color="auto"/>
            <w:right w:val="none" w:sz="0" w:space="0" w:color="auto"/>
          </w:divBdr>
        </w:div>
      </w:divsChild>
    </w:div>
    <w:div w:id="2108961736">
      <w:bodyDiv w:val="1"/>
      <w:marLeft w:val="0"/>
      <w:marRight w:val="0"/>
      <w:marTop w:val="0"/>
      <w:marBottom w:val="0"/>
      <w:divBdr>
        <w:top w:val="none" w:sz="0" w:space="0" w:color="auto"/>
        <w:left w:val="none" w:sz="0" w:space="0" w:color="auto"/>
        <w:bottom w:val="none" w:sz="0" w:space="0" w:color="auto"/>
        <w:right w:val="none" w:sz="0" w:space="0" w:color="auto"/>
      </w:divBdr>
    </w:div>
    <w:div w:id="2135100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 Abbr="2 pr." Title="PROJEKTO TINKAMUMO FINANSUOTI PAGAL LIETUVOS ŽUVININKYSTĖS SEKTORIAUS 2021‒2027 METŲ PROGRAMOS PIRMOJO PRIORITETO „TAUSIOS ŽVEJYBOS SKATINIMAS IR VANDENS BIOLOGINIŲ IŠTEKLIŲ ATKŪRIMAS IR IŠSAUGOJIMAS“ PRIEMONĖS „REIKALINGŲ SISTEMŲ IR PRIETAISŲ ĮSIGIJIMAS IR ĮRENGIMAS LAIVUOSE“ VERTINIMO LENTELĖ" DocPartId="5d5d1e93e3d8463aaa476ea0895eb709" PartId="501c878585a940ae87ac28a7aca45f5c"/>
</Parts>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81bdba5e-b18c-4c8c-b425-bdf6d075d995"/>
    <ds:schemaRef ds:uri="http://schemas.microsoft.com/office/2006/documentManagement/types"/>
    <ds:schemaRef ds:uri="db96e512-6920-4eea-b1bf-b81a54d2aa3c"/>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0C562284-5627-4EDC-8EAC-16D4939DE572}">
  <ds:schemaRefs>
    <ds:schemaRef ds:uri="http://schemas.openxmlformats.org/officeDocument/2006/bibliography"/>
  </ds:schemaRefs>
</ds:datastoreItem>
</file>

<file path=customXml/itemProps5.xml><?xml version="1.0" encoding="utf-8"?>
<ds:datastoreItem xmlns:ds="http://schemas.openxmlformats.org/officeDocument/2006/customXml" ds:itemID="{AE3BADA1-C88D-44B4-AE7B-0E3996FCCF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466</Words>
  <Characters>3375</Characters>
  <Application>Microsoft Office Word</Application>
  <DocSecurity>4</DocSecurity>
  <Lines>146</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3788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2023-11-22T17:03:00Z</dcterms:created>
  <dc:creator>Virginija Levinskienė</dc:creator>
  <lastModifiedBy>adlibuser</lastModifiedBy>
  <dcterms:modified xsi:type="dcterms:W3CDTF">2023-11-22T17:03:00Z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y fmtid="{D5CDD505-2E9C-101B-9397-08002B2CF9AE}" pid="3" name="GrammarlyDocumentId">
    <vt:lpwstr>d0472e3b0dd498cda461620e58dd69f3b81b72b6d7d9015161fb42db26a39dd1</vt:lpwstr>
  </property>
</Properties>
</file>