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lentele"/>
        <w:tag w:val="part_6dd73260868f408dbebd8e8043448f3f"/>
        <w:lock w:val="sdtLocked"/>
        <w:richText/>
      </w:sdtPr>
      <w:sdtContent>
        <w:tbl>
          <w:tblPr>
            <w:tblW w:w="3539" w:type="dxa"/>
            <w:tblInd w:w="6098" w:type="dxa"/>
            <w:tblLook w:val="04A0" w:firstRow="1" w:lastRow="0" w:firstColumn="1" w:lastColumn="0" w:noHBand="0" w:noVBand="1"/>
          </w:tblPr>
          <w:tblGrid>
            <w:gridCol w:w="3539"/>
          </w:tblGrid>
          <w:tr w14:paraId="148ED5B0" w14:textId="77777777">
            <w:tc>
              <w:tcPr>
                <w:tcW w:w="3539" w:type="dxa"/>
              </w:tcPr>
              <w:p w14:paraId="1350E1E2" w14:textId="77777777">
                <w:pPr>
                  <w:ind w:right="-28"/>
                  <w:rPr>
                    <w:szCs w:val="24"/>
                    <w:lang w:eastAsia="lt-LT"/>
                  </w:rPr>
                </w:pPr>
                <w:r>
                  <w:rPr>
                    <w:szCs w:val="24"/>
                    <w:lang w:eastAsia="lt-LT"/>
                  </w:rPr>
                  <w:t xml:space="preserve">Radviliškio rajono savivaldybės </w:t>
                </w:r>
              </w:p>
              <w:p w14:paraId="22FAE368" w14:textId="44A03EAA">
                <w:pPr>
                  <w:ind w:right="-28"/>
                  <w:rPr>
                    <w:szCs w:val="24"/>
                    <w:lang w:eastAsia="lt-LT"/>
                  </w:rPr>
                </w:pPr>
                <w:r>
                  <w:rPr>
                    <w:szCs w:val="24"/>
                    <w:lang w:eastAsia="lt-LT"/>
                  </w:rPr>
                  <w:t xml:space="preserve">bendrojo ugdymo mokyklų tinklo pertvarkos 2026–2030 metų bendrojo plano </w:t>
                </w:r>
              </w:p>
              <w:p w14:paraId="56B5B934" w14:textId="77B79E04">
                <w:pPr>
                  <w:ind w:right="-28"/>
                  <w:rPr>
                    <w:szCs w:val="24"/>
                    <w:lang w:eastAsia="lt-LT"/>
                  </w:rPr>
                </w:pPr>
                <w:r>
                  <w:rPr>
                    <w:szCs w:val="24"/>
                    <w:lang w:eastAsia="lt-LT"/>
                  </w:rPr>
                  <w:t>2 priedas</w:t>
                </w:r>
              </w:p>
            </w:tc>
          </w:tr>
        </w:tbl>
        <w:p w14:paraId="0FE8F309" w14:textId="77777777">
          <w:pPr>
            <w:suppressAutoHyphens/>
            <w:rPr>
              <w:sz w:val="20"/>
              <w:lang w:eastAsia="ar-SA"/>
            </w:rPr>
          </w:pPr>
        </w:p>
        <w:sdt>
          <w:sdtPr>
            <w:alias w:val="skirsnis"/>
            <w:tag w:val="part_7fef9356ee6a46a3b1654118bae6260f"/>
            <w:lock w:val="sdtLocked"/>
            <w:richText/>
          </w:sdtPr>
          <w:sdtContent>
            <w:sdt>
              <w:sdtPr>
                <w:alias w:val="Pavadinimas"/>
                <w:tag w:val="title_7fef9356ee6a46a3b1654118bae6260f"/>
                <w:lock w:val="sdtLocked"/>
                <w:richText/>
              </w:sdtPr>
              <w:sdtContent>
                <w:p w14:paraId="3C887387" w14:textId="77777777">
                  <w:pPr>
                    <w:suppressAutoHyphens/>
                    <w:jc w:val="center"/>
                    <w:rPr>
                      <w:rFonts w:eastAsia="SimSun"/>
                      <w:szCs w:val="22"/>
                      <w:lang w:eastAsia="zh-CN"/>
                    </w:rPr>
                  </w:pPr>
                  <w:r>
                    <w:rPr>
                      <w:b/>
                      <w:bCs/>
                      <w:szCs w:val="24"/>
                      <w:lang w:eastAsia="ar-SA"/>
                    </w:rPr>
                    <w:t xml:space="preserve">RADVILIŠKIO RAJONO SAVIVALDYBĖS </w:t>
                  </w:r>
                  <w:r>
                    <w:rPr>
                      <w:rFonts w:eastAsia="SimSun"/>
                      <w:b/>
                      <w:bCs/>
                      <w:szCs w:val="22"/>
                      <w:lang w:eastAsia="zh-CN"/>
                    </w:rPr>
                    <w:t>BENDROJO UGDYMO MOKYKLŲ</w:t>
                  </w:r>
                  <w:r>
                    <w:rPr>
                      <w:rFonts w:eastAsia="SimSun"/>
                      <w:szCs w:val="22"/>
                      <w:lang w:eastAsia="zh-CN"/>
                    </w:rPr>
                    <w:t xml:space="preserve"> </w:t>
                  </w:r>
                </w:p>
                <w:p w14:paraId="59C4C5A1" w14:textId="77777777">
                  <w:pPr>
                    <w:suppressAutoHyphens/>
                    <w:jc w:val="center"/>
                    <w:rPr>
                      <w:b/>
                      <w:szCs w:val="24"/>
                      <w:lang w:eastAsia="ar-SA"/>
                    </w:rPr>
                  </w:pPr>
                  <w:r>
                    <w:rPr>
                      <w:b/>
                      <w:szCs w:val="24"/>
                      <w:lang w:eastAsia="ar-SA"/>
                    </w:rPr>
                    <w:t>MOKINIŲ VEŽIOJIMO 2026–2030 METAIS UŽTIKRINIMO PLANAS</w:t>
                  </w:r>
                </w:p>
              </w:sdtContent>
            </w:sdt>
            <w:p w14:paraId="6CDE852E" w14:textId="77777777">
              <w:pPr>
                <w:tabs>
                  <w:tab w:val="left" w:pos="993"/>
                </w:tabs>
                <w:suppressAutoHyphens/>
                <w:ind w:firstLine="709"/>
                <w:jc w:val="both"/>
                <w:rPr>
                  <w:sz w:val="20"/>
                  <w:lang w:eastAsia="ar-SA"/>
                </w:rPr>
              </w:pPr>
            </w:p>
            <w:sdt>
              <w:sdtPr>
                <w:alias w:val="skyrius"/>
                <w:tag w:val="part_5b93020934ef4f92a7244bb1a8f7a52f"/>
                <w:lock w:val="sdtLocked"/>
                <w:richText/>
              </w:sdtPr>
              <w:sdtContent>
                <w:p w14:paraId="2FA831CB" w14:textId="77777777">
                  <w:pPr>
                    <w:jc w:val="center"/>
                    <w:rPr>
                      <w:rFonts w:eastAsia="Calibri"/>
                      <w:b/>
                      <w:szCs w:val="22"/>
                    </w:rPr>
                  </w:pPr>
                  <w:sdt>
                    <w:sdtPr>
                      <w:alias w:val="Numeris"/>
                      <w:tag w:val="nr_5b93020934ef4f92a7244bb1a8f7a52f"/>
                      <w:lock w:val="sdtLocked"/>
                      <w:richText/>
                    </w:sdtPr>
                    <w:sdtContent>
                      <w:r>
                        <w:rPr>
                          <w:rFonts w:eastAsia="Calibri"/>
                          <w:b/>
                          <w:szCs w:val="22"/>
                        </w:rPr>
                        <w:t>I</w:t>
                      </w:r>
                    </w:sdtContent>
                  </w:sdt>
                  <w:r>
                    <w:rPr>
                      <w:rFonts w:eastAsia="Calibri"/>
                      <w:b/>
                      <w:szCs w:val="22"/>
                    </w:rPr>
                    <w:t xml:space="preserve"> SKYRIUS</w:t>
                  </w:r>
                </w:p>
                <w:p w14:paraId="628B0ACA" w14:textId="77777777">
                  <w:pPr>
                    <w:jc w:val="center"/>
                    <w:rPr>
                      <w:rFonts w:eastAsia="Calibri"/>
                      <w:b/>
                      <w:szCs w:val="22"/>
                    </w:rPr>
                  </w:pPr>
                  <w:sdt>
                    <w:sdtPr>
                      <w:alias w:val="Pavadinimas"/>
                      <w:tag w:val="title_5b93020934ef4f92a7244bb1a8f7a52f"/>
                      <w:lock w:val="sdtLocked"/>
                      <w:richText/>
                    </w:sdtPr>
                    <w:sdtContent>
                      <w:r>
                        <w:rPr>
                          <w:rFonts w:eastAsia="Calibri"/>
                          <w:b/>
                          <w:szCs w:val="22"/>
                        </w:rPr>
                        <w:t>BENDROSIOS NUOSTATOS</w:t>
                      </w:r>
                    </w:sdtContent>
                  </w:sdt>
                </w:p>
                <w:p w14:paraId="0B29E39E" w14:textId="77777777">
                  <w:pPr>
                    <w:tabs>
                      <w:tab w:val="left" w:pos="993"/>
                    </w:tabs>
                    <w:suppressAutoHyphens/>
                    <w:ind w:firstLine="709"/>
                    <w:jc w:val="both"/>
                    <w:rPr>
                      <w:sz w:val="20"/>
                      <w:lang w:eastAsia="ar-SA"/>
                    </w:rPr>
                  </w:pPr>
                </w:p>
                <w:p w14:paraId="610DDE04" w14:textId="77777777">
                  <w:pPr>
                    <w:tabs>
                      <w:tab w:val="left" w:pos="9638"/>
                      <w:tab w:val="left" w:pos="9720"/>
                    </w:tabs>
                    <w:ind w:firstLine="709"/>
                    <w:jc w:val="both"/>
                    <w:rPr>
                      <w:rFonts w:eastAsia="SimSun"/>
                      <w:szCs w:val="22"/>
                      <w:lang w:eastAsia="zh-CN"/>
                    </w:rPr>
                  </w:pPr>
                  <w:r>
                    <w:rPr>
                      <w:szCs w:val="24"/>
                      <w:lang w:eastAsia="ar-SA"/>
                    </w:rPr>
                    <w:t xml:space="preserve">Radviliškio rajono savivaldybės (toliau – Savivaldybė) </w:t>
                  </w:r>
                  <w:r>
                    <w:rPr>
                      <w:rFonts w:eastAsia="SimSun"/>
                      <w:szCs w:val="22"/>
                      <w:lang w:eastAsia="zh-CN"/>
                    </w:rPr>
                    <w:t>bendrojo ugdymo mokyklų mokinių vežiojimo 2026–2030 metais užtikrinimo plano tikslas – siekti, kad Savivaldybės mokyklų mokiniai saugiai ir greitai atvyktų į artimiausias mokyklas, įgyvendinančias atitinkamas bendrojo ugdymo programas.</w:t>
                  </w:r>
                </w:p>
                <w:p w14:paraId="6C0B3371" w14:textId="77777777">
                  <w:pPr>
                    <w:tabs>
                      <w:tab w:val="left" w:pos="9638"/>
                      <w:tab w:val="left" w:pos="9720"/>
                    </w:tabs>
                    <w:ind w:firstLine="709"/>
                    <w:jc w:val="both"/>
                    <w:rPr>
                      <w:rFonts w:eastAsia="Calibri"/>
                      <w:b/>
                      <w:szCs w:val="22"/>
                    </w:rPr>
                  </w:pPr>
                  <w:r>
                    <w:rPr>
                      <w:szCs w:val="24"/>
                      <w:lang w:eastAsia="ar-SA"/>
                    </w:rPr>
                    <w:t xml:space="preserve">Savivaldybės </w:t>
                  </w:r>
                  <w:r>
                    <w:rPr>
                      <w:rFonts w:eastAsia="SimSun"/>
                      <w:szCs w:val="22"/>
                      <w:lang w:eastAsia="zh-CN"/>
                    </w:rPr>
                    <w:t>bendrojo ugdymo mokyklų mokinių vežiojimo 2026–2030 metais užtikrinimo planas parengtas vadovaujantis Lietuvos Respublikos Vyriausybės 2011 m. birželio 29 d. nutarimu Nr. 768 „Dėl Mokyklų, vykdančių formaliojo švietimo programas, tinklo kūrimo taisyklių patvirtinimo“ patvirtintų Mokyklų, vykdančių formaliojo švietimo programas, tinklo kūrimo taisyklių (toliau – Taisyklės) 35.2 punktu.</w:t>
                  </w:r>
                </w:p>
                <w:p w14:paraId="04C156CA" w14:textId="77777777">
                  <w:pPr>
                    <w:ind w:firstLine="709"/>
                    <w:jc w:val="both"/>
                    <w:rPr>
                      <w:rFonts w:eastAsia="Calibri"/>
                      <w:szCs w:val="24"/>
                    </w:rPr>
                  </w:pPr>
                  <w:r>
                    <w:rPr>
                      <w:rFonts w:eastAsia="Calibri"/>
                      <w:szCs w:val="22"/>
                    </w:rPr>
                    <w:t xml:space="preserve">Lietuvos Respublikos švietimo įstatymo 36 straipsnio 1 dalyje nurodyta: </w:t>
                  </w:r>
                  <w:r>
                    <w:rPr>
                      <w:rFonts w:eastAsia="Calibri"/>
                      <w:szCs w:val="24"/>
                    </w:rPr>
                    <w:t>„</w:t>
                  </w:r>
                  <w:r>
                    <w:rPr>
                      <w:rFonts w:eastAsia="Calibri"/>
                      <w:szCs w:val="22"/>
                      <w:shd w:val="clear" w:color="auto" w:fill="FFFFFF"/>
                    </w:rPr>
                    <w:t>1. Mokiniai į atitinkamą švietimo programą vykdančią mokyklą vežami keleiviniu transportu, mokykliniu autobusu arba kitu transportu. Mokinių važiavimo keleiviniu transportu lengvatas nustato Lietuvos Respublikos transporto lengvatų įstatymas. Siekiant užtikrinti švietimo prieinamumą, į mokyklą ir atgal privalo būti vežami kaimuose, miesteliuose toliau kaip 3 kilometrai nuo mokyklos gyvenantys mokiniai, kurie mokosi pagal priešmokyklinio ir bendrojo ugdymo programas, ir vaikai, kuriems paskirtas privalomas ikimokyklinis ugdymas. Vežimą į mokyklą ir atgal organizuoja valstybinės ir savivaldybės mokyklos savininko teises ir pareigas įgyvendinanti institucija (dalyvių susirinkimas), (...) savo nustatyta tvarka.“</w:t>
                  </w:r>
                </w:p>
                <w:p w14:paraId="082B23AE" w14:textId="77777777">
                  <w:pPr>
                    <w:ind w:firstLine="709"/>
                    <w:jc w:val="both"/>
                    <w:rPr>
                      <w:szCs w:val="24"/>
                      <w:lang w:eastAsia="lt-LT"/>
                    </w:rPr>
                  </w:pPr>
                  <w:r>
                    <w:rPr>
                      <w:rFonts w:eastAsia="Calibri"/>
                      <w:szCs w:val="24"/>
                    </w:rPr>
                    <w:t>Lietuvos Respublikos švietimo įstatymo 36 straipsnio 2 dalyje nustatyta: „</w:t>
                  </w:r>
                  <w:r>
                    <w:rPr>
                      <w:szCs w:val="24"/>
                      <w:lang w:eastAsia="lt-LT"/>
                    </w:rPr>
                    <w:t>2. Mokinių, kurie turi specialiųjų ugdymosi poreikių ir nepajėgia patys atvykti į mokyklą</w:t>
                  </w:r>
                  <w:r>
                    <w:rPr>
                      <w:b/>
                      <w:bCs/>
                      <w:szCs w:val="24"/>
                      <w:lang w:eastAsia="lt-LT"/>
                    </w:rPr>
                    <w:t xml:space="preserve"> </w:t>
                  </w:r>
                  <w:r>
                    <w:rPr>
                      <w:szCs w:val="24"/>
                      <w:lang w:eastAsia="lt-LT"/>
                    </w:rPr>
                    <w:t xml:space="preserve">mokytis pagal priešmokyklinio ugdymo ar bendrojo ugdymo programas (negali savarankiškai vaikščioti, dėl didelių sutrikimų yra nesaugūs gatvėje), vežimą į mokyklą ir atgal organizuoja valstybinės ir savivaldybės mokyklos savininko teises ir pareigas įgyvendinanti institucija </w:t>
                  </w:r>
                  <w:r>
                    <w:rPr>
                      <w:rFonts w:eastAsia="Calibri"/>
                      <w:szCs w:val="22"/>
                      <w:shd w:val="clear" w:color="auto" w:fill="FFFFFF"/>
                    </w:rPr>
                    <w:t>(dalyvių susirinkimas)</w:t>
                  </w:r>
                  <w:r>
                    <w:rPr>
                      <w:szCs w:val="24"/>
                      <w:lang w:eastAsia="lt-LT"/>
                    </w:rPr>
                    <w:t xml:space="preserve"> (...) savo nustatyta tvarka ir atvejais.“</w:t>
                  </w:r>
                </w:p>
                <w:p w14:paraId="7A0488B3" w14:textId="6EFFEFE5">
                  <w:pPr>
                    <w:ind w:firstLine="709"/>
                    <w:jc w:val="both"/>
                    <w:rPr>
                      <w:rFonts w:eastAsia="Calibri"/>
                      <w:szCs w:val="24"/>
                      <w:lang w:eastAsia="lt-LT"/>
                    </w:rPr>
                  </w:pPr>
                  <w:r>
                    <w:rPr>
                      <w:rFonts w:eastAsia="Calibri"/>
                      <w:szCs w:val="24"/>
                      <w:lang w:eastAsia="zh-CN"/>
                    </w:rPr>
                    <w:t>Savivaldybėje mokinių vežiojimas</w:t>
                  </w:r>
                  <w:r>
                    <w:rPr>
                      <w:rFonts w:eastAsia="Calibri"/>
                      <w:szCs w:val="24"/>
                    </w:rPr>
                    <w:t xml:space="preserve"> į mokyklas ir atgal</w:t>
                  </w:r>
                  <w:r>
                    <w:rPr>
                      <w:rFonts w:eastAsia="Calibri"/>
                      <w:szCs w:val="24"/>
                      <w:lang w:eastAsia="zh-CN"/>
                    </w:rPr>
                    <w:t xml:space="preserve"> organizuojamas vadovaujantis</w:t>
                  </w:r>
                  <w:r>
                    <w:rPr>
                      <w:rFonts w:eastAsia="Calibri"/>
                      <w:szCs w:val="24"/>
                    </w:rPr>
                    <w:t xml:space="preserve"> Radviliškio rajono mokinių vežimo organizavimo tvarkos aprašu, patvirtintu</w:t>
                  </w:r>
                  <w:r>
                    <w:rPr>
                      <w:rFonts w:eastAsia="Calibri"/>
                      <w:szCs w:val="24"/>
                      <w:lang w:eastAsia="zh-CN"/>
                    </w:rPr>
                    <w:t xml:space="preserve"> Savivaldybės tarybos 20</w:t>
                  </w:r>
                  <w:r>
                    <w:rPr>
                      <w:rFonts w:eastAsia="Calibri"/>
                      <w:szCs w:val="24"/>
                      <w:lang w:val="pt-BR" w:eastAsia="zh-CN"/>
                    </w:rPr>
                    <w:t>23</w:t>
                  </w:r>
                  <w:r>
                    <w:rPr>
                      <w:rFonts w:eastAsia="Calibri"/>
                      <w:szCs w:val="24"/>
                      <w:lang w:eastAsia="zh-CN"/>
                    </w:rPr>
                    <w:t xml:space="preserve"> m. lapkričio 16 d. sprendimu Nr. T-180 „Dėl </w:t>
                  </w:r>
                  <w:r>
                    <w:rPr>
                      <w:rFonts w:eastAsia="Calibri"/>
                      <w:szCs w:val="24"/>
                    </w:rPr>
                    <w:t>Radviliškio rajono mokinių vežimo organizavimo tvarkos aprašo patvirtinimo“</w:t>
                  </w:r>
                  <w:r>
                    <w:rPr>
                      <w:rFonts w:eastAsia="Calibri"/>
                      <w:szCs w:val="24"/>
                      <w:lang w:eastAsia="zh-CN"/>
                    </w:rPr>
                    <w:t xml:space="preserve"> </w:t>
                  </w:r>
                  <w:r>
                    <w:rPr>
                      <w:rFonts w:eastAsia="Calibri"/>
                      <w:szCs w:val="24"/>
                    </w:rPr>
                    <w:t xml:space="preserve">(toliau – Aprašas) ir </w:t>
                  </w:r>
                  <w:r>
                    <w:rPr>
                      <w:rFonts w:eastAsia="Calibri"/>
                      <w:szCs w:val="24"/>
                      <w:lang w:eastAsia="lt-LT"/>
                    </w:rPr>
                    <w:t>Radviliškio rajono savivaldybės mokyklinių autobusų naudojimo tvarkos aprašu bei Švietimo įstaigų mokyklinių autobusų vežimo įkainiais,</w:t>
                  </w:r>
                  <w:r>
                    <w:rPr>
                      <w:rFonts w:eastAsia="Calibri"/>
                      <w:szCs w:val="24"/>
                      <w:lang w:eastAsia="zh-CN"/>
                    </w:rPr>
                    <w:t xml:space="preserve"> patvirtintais Savivaldybės tarybos </w:t>
                  </w:r>
                  <w:r>
                    <w:rPr>
                      <w:rFonts w:eastAsia="Calibri"/>
                      <w:szCs w:val="24"/>
                    </w:rPr>
                    <w:t>2018 m. spalio 25 d. sprendimu Nr. T-991</w:t>
                  </w:r>
                  <w:r>
                    <w:rPr>
                      <w:rFonts w:eastAsia="Calibri"/>
                      <w:szCs w:val="24"/>
                      <w:lang w:eastAsia="lt-LT"/>
                    </w:rPr>
                    <w:t xml:space="preserve"> „Dėl Radviliškio rajono savivaldybės mokyklinių autobusų naudojimo tvarkos aprašo ir vežimo įkainių patvirtinimo“.</w:t>
                  </w:r>
                </w:p>
                <w:p w14:paraId="1AFD279A" w14:textId="77777777">
                  <w:pPr>
                    <w:tabs>
                      <w:tab w:val="left" w:pos="993"/>
                    </w:tabs>
                    <w:suppressAutoHyphens/>
                    <w:ind w:firstLine="709"/>
                    <w:jc w:val="both"/>
                    <w:rPr>
                      <w:szCs w:val="24"/>
                      <w:lang w:eastAsia="ar-SA"/>
                    </w:rPr>
                  </w:pPr>
                  <w:r>
                    <w:rPr>
                      <w:rFonts w:eastAsia="SimSun"/>
                      <w:szCs w:val="22"/>
                      <w:lang w:eastAsia="zh-CN"/>
                    </w:rPr>
                    <w:t xml:space="preserve">Savivaldybės bendrojo ugdymo mokykloms </w:t>
                  </w:r>
                  <w:r>
                    <w:rPr>
                      <w:rFonts w:eastAsia="Calibri"/>
                      <w:szCs w:val="22"/>
                    </w:rPr>
                    <w:t>steigėjas yra nustatęs aptarnavimo teritorijas. Nustatytų aptarnavimo teritorijų ribose mokyklos, suderinusios maršrutus su Savivaldybės švietimo ir sporto paslaugų centru bei visuomeninio transporto vežėju, organizuoja mokinių, kurie gyvena</w:t>
                  </w:r>
                  <w:r>
                    <w:rPr>
                      <w:rFonts w:eastAsia="Calibri"/>
                      <w:szCs w:val="24"/>
                    </w:rPr>
                    <w:t xml:space="preserve"> kaimuose, miesteliuose toliau kaip 3 kilometrai nuo mokyklos ir kurie mokosi pagal priešmokyklinio ir bendrojo ugdymo programas, </w:t>
                  </w:r>
                  <w:r>
                    <w:rPr>
                      <w:rFonts w:eastAsia="Calibri"/>
                      <w:szCs w:val="22"/>
                    </w:rPr>
                    <w:t xml:space="preserve">specialiųjų ugdymosi poreikių turinčių mokinių, kurie dėl negalios negeba savarankiškai atvykti į mokyklas, </w:t>
                  </w:r>
                  <w:r>
                    <w:rPr>
                      <w:rFonts w:eastAsia="Calibri"/>
                      <w:szCs w:val="24"/>
                    </w:rPr>
                    <w:t>ir vaikų, kuriems paskirtas privalomas ikimokyklinis ugdymas, vežiojimą į mokyklas ir atgal.</w:t>
                  </w:r>
                  <w:r>
                    <w:rPr>
                      <w:rFonts w:eastAsia="Calibri"/>
                      <w:szCs w:val="22"/>
                    </w:rPr>
                    <w:t xml:space="preserve"> </w:t>
                  </w:r>
                </w:p>
                <w:p w14:paraId="7CE4FA0F" w14:textId="77777777">
                  <w:pPr>
                    <w:shd w:val="clear" w:color="auto" w:fill="FFFFFF"/>
                    <w:ind w:firstLine="709"/>
                    <w:jc w:val="both"/>
                    <w:rPr>
                      <w:rFonts w:eastAsia="Calibri"/>
                      <w:szCs w:val="24"/>
                    </w:rPr>
                  </w:pPr>
                  <w:r>
                    <w:rPr>
                      <w:rFonts w:eastAsia="Calibri"/>
                      <w:szCs w:val="24"/>
                    </w:rPr>
                    <w:t>Kasmet daugiausia mokinių, vidutiniškai 61 proc., buvo vežiojama maršrutiniu transportu, mažiausia (vidutiniškai 15 proc.) – kitais būdais, mokykliniais autobusais vidutiniškai 24 proc.</w:t>
                  </w:r>
                </w:p>
                <w:p w14:paraId="775A1DB6" w14:textId="77777777">
                  <w:pPr>
                    <w:ind w:firstLine="709"/>
                    <w:jc w:val="both"/>
                    <w:rPr>
                      <w:rFonts w:eastAsia="Calibri"/>
                      <w:szCs w:val="22"/>
                    </w:rPr>
                  </w:pPr>
                  <w:r>
                    <w:rPr>
                      <w:rFonts w:eastAsia="Calibri"/>
                      <w:szCs w:val="22"/>
                    </w:rPr>
                    <w:t>Mokyklinius autobusus turi: Radviliškio r. Alksniupių pagrindinė mokykla (vieną 19 vietų), Radviliškio r. Baisogalos gimnazija (tris 19 vietų), Radviliškio r. Gražinos pagrindinė mokykla (vieną 19 vietų), Radviliškio r. Grinkiškio Jono Poderio pagrindinė mokykla (du 19 vietų), Radviliškio r. Sidabravo pagrindinė mokykla (vieną 19 vietų), Radviliškio r. Šeduvos gimnazija (tris 19 vietų, vieną 29 vietų), Radviliškio r. Šiaulėnų Marcelino Šikšnio gimnazija (tris 19 vietų), Radviliškio r. Vaižganto progimnazija (vieną 19 vietų).</w:t>
                  </w:r>
                </w:p>
                <w:p w14:paraId="5732D084" w14:textId="77777777">
                  <w:pPr>
                    <w:ind w:right="-28" w:firstLine="142"/>
                    <w:jc w:val="both"/>
                    <w:rPr>
                      <w:rFonts w:eastAsia="Calibri"/>
                      <w:szCs w:val="22"/>
                    </w:rPr>
                  </w:pPr>
                  <w:r>
                    <w:rPr>
                      <w:rFonts w:eastAsia="Calibri"/>
                      <w:szCs w:val="22"/>
                    </w:rPr>
                    <w:t xml:space="preserve">Prognozuojama, kad iki 2030-08-31 įgyvendinus </w:t>
                  </w:r>
                  <w:r>
                    <w:rPr>
                      <w:szCs w:val="24"/>
                      <w:lang w:eastAsia="lt-LT"/>
                    </w:rPr>
                    <w:t>Radviliškio rajono savivaldybės bendrojo ugdymo mokyklų tinklo pertvarkos 2026–2030 metų bendrojo plano 1 priede „Bendrojo ugdymo mokyklų steigimo, reorganizavimo, likvidavimo, pertvarkymo ir struktūros pertvarkos 2026–2030 metų planas“ suplanuotas priemones bei</w:t>
                  </w:r>
                  <w:r>
                    <w:rPr>
                      <w:rFonts w:eastAsia="Calibri"/>
                      <w:szCs w:val="22"/>
                    </w:rPr>
                    <w:t xml:space="preserve"> Savivaldybės bendrojo ugdymo mokyklose nesukomplektavus Taisyklių nuostatų neatitinkančių klasių, padidės į mokyklas ir atgal vežiojamų mokinių skaičius. Padidėjęs mokinių vežiojimo poreikis bus tenkinamas panaudojant mokyklinius autobusus, visuomeninį transportą ar kitas vežiojimo formas.</w:t>
                  </w:r>
                </w:p>
                <w:p w14:paraId="53764C77" w14:textId="77777777">
                  <w:pPr>
                    <w:tabs>
                      <w:tab w:val="left" w:pos="993"/>
                    </w:tabs>
                    <w:suppressAutoHyphens/>
                    <w:ind w:firstLine="709"/>
                    <w:jc w:val="both"/>
                    <w:rPr>
                      <w:rFonts w:eastAsia="Calibri"/>
                      <w:szCs w:val="22"/>
                    </w:rPr>
                  </w:pPr>
                </w:p>
              </w:sdtContent>
            </w:sdt>
            <w:sdt>
              <w:sdtPr>
                <w:alias w:val="skyrius"/>
                <w:tag w:val="part_e08619ab5af14378b0947a3a67197c4c"/>
                <w:lock w:val="sdtLocked"/>
                <w:richText/>
              </w:sdtPr>
              <w:sdtContent>
                <w:p w14:paraId="7C605C60" w14:textId="77777777">
                  <w:pPr>
                    <w:jc w:val="center"/>
                    <w:rPr>
                      <w:rFonts w:eastAsia="Calibri"/>
                      <w:b/>
                      <w:szCs w:val="22"/>
                    </w:rPr>
                  </w:pPr>
                  <w:sdt>
                    <w:sdtPr>
                      <w:alias w:val="Numeris"/>
                      <w:tag w:val="nr_e08619ab5af14378b0947a3a67197c4c"/>
                      <w:lock w:val="sdtLocked"/>
                      <w:richText/>
                    </w:sdtPr>
                    <w:sdtContent>
                      <w:r>
                        <w:rPr>
                          <w:rFonts w:eastAsia="Calibri"/>
                          <w:b/>
                          <w:szCs w:val="22"/>
                        </w:rPr>
                        <w:t>II</w:t>
                      </w:r>
                    </w:sdtContent>
                  </w:sdt>
                  <w:r>
                    <w:rPr>
                      <w:rFonts w:eastAsia="Calibri"/>
                      <w:b/>
                      <w:szCs w:val="22"/>
                    </w:rPr>
                    <w:t xml:space="preserve"> SKYRIUS</w:t>
                  </w:r>
                </w:p>
                <w:p w14:paraId="17C4C557" w14:textId="77777777">
                  <w:pPr>
                    <w:suppressAutoHyphens/>
                    <w:jc w:val="center"/>
                    <w:rPr>
                      <w:szCs w:val="24"/>
                      <w:lang w:eastAsia="ar-SA"/>
                    </w:rPr>
                  </w:pPr>
                  <w:sdt>
                    <w:sdtPr>
                      <w:alias w:val="Pavadinimas"/>
                      <w:tag w:val="title_e08619ab5af14378b0947a3a67197c4c"/>
                      <w:lock w:val="sdtLocked"/>
                      <w:richText/>
                    </w:sdtPr>
                    <w:sdtContent>
                      <w:r>
                        <w:rPr>
                          <w:b/>
                          <w:szCs w:val="24"/>
                          <w:lang w:eastAsia="ar-SA"/>
                        </w:rPr>
                        <w:t>MOKINIŲ VEŽIMO Į MOKYKLĄ IR ATGAL UŽTIKRINIMO MODELIS</w:t>
                      </w:r>
                    </w:sdtContent>
                  </w:sdt>
                </w:p>
                <w:p w14:paraId="72D354D2" w14:textId="77777777">
                  <w:pPr>
                    <w:tabs>
                      <w:tab w:val="left" w:pos="540"/>
                    </w:tabs>
                    <w:jc w:val="both"/>
                    <w:rPr>
                      <w:szCs w:val="24"/>
                      <w:lang w:eastAsia="ar-SA"/>
                    </w:rPr>
                  </w:pPr>
                </w:p>
              </w:sdtContent>
            </w:sdt>
          </w:sdtContent>
        </w:sdt>
      </w:sdtContent>
    </w:sdt>
    <w:sdt>
      <w:sdtPr>
        <w:alias w:val="lentele"/>
        <w:tag w:val="part_fa409d55bc6d49a5859703a93c034aad"/>
        <w:lock w:val="sdtLocked"/>
        <w:richText/>
      </w:sdtPr>
      <w:sdtContent>
        <w:tbl>
          <w:tblPr>
            <w:tblW w:w="9437" w:type="dxa"/>
            <w:jc w:val="center"/>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ook w:val="04A0" w:firstRow="1" w:lastRow="0" w:firstColumn="1" w:lastColumn="0" w:noHBand="0" w:noVBand="1"/>
          </w:tblPr>
          <w:tblGrid>
            <w:gridCol w:w="570"/>
            <w:gridCol w:w="4670"/>
            <w:gridCol w:w="2552"/>
            <w:gridCol w:w="1645"/>
          </w:tblGrid>
          <w:tr w14:paraId="3391EFC5" w14:textId="77777777">
            <w:trPr>
              <w:jc w:val="center"/>
            </w:trPr>
            <w:tc>
              <w:tcPr>
                <w:tcW w:w="570" w:type="dxa"/>
                <w:vAlign w:val="center"/>
              </w:tcPr>
              <w:p w14:paraId="306A01AA" w14:textId="77777777">
                <w:pPr>
                  <w:tabs>
                    <w:tab w:val="left" w:pos="9638"/>
                    <w:tab w:val="left" w:pos="9720"/>
                  </w:tabs>
                  <w:suppressAutoHyphens/>
                  <w:jc w:val="center"/>
                  <w:rPr>
                    <w:b/>
                    <w:szCs w:val="24"/>
                    <w:lang w:eastAsia="lt-LT"/>
                  </w:rPr>
                </w:pPr>
                <w:r>
                  <w:rPr>
                    <w:b/>
                    <w:szCs w:val="24"/>
                    <w:lang w:eastAsia="lt-LT"/>
                  </w:rPr>
                  <w:t>Eil. Nr.</w:t>
                </w:r>
              </w:p>
            </w:tc>
            <w:tc>
              <w:tcPr>
                <w:tcW w:w="4670" w:type="dxa"/>
                <w:vAlign w:val="center"/>
              </w:tcPr>
              <w:p w14:paraId="6DCE9685" w14:textId="77777777">
                <w:pPr>
                  <w:tabs>
                    <w:tab w:val="left" w:pos="9638"/>
                    <w:tab w:val="left" w:pos="9720"/>
                  </w:tabs>
                  <w:suppressAutoHyphens/>
                  <w:jc w:val="center"/>
                  <w:rPr>
                    <w:b/>
                    <w:szCs w:val="24"/>
                    <w:lang w:eastAsia="lt-LT"/>
                  </w:rPr>
                </w:pPr>
                <w:r>
                  <w:rPr>
                    <w:b/>
                    <w:szCs w:val="24"/>
                    <w:lang w:eastAsia="lt-LT"/>
                  </w:rPr>
                  <w:t>Veikla</w:t>
                </w:r>
              </w:p>
            </w:tc>
            <w:tc>
              <w:tcPr>
                <w:tcW w:w="2552" w:type="dxa"/>
                <w:vAlign w:val="center"/>
              </w:tcPr>
              <w:p w14:paraId="29715C43" w14:textId="77777777">
                <w:pPr>
                  <w:tabs>
                    <w:tab w:val="left" w:pos="9638"/>
                    <w:tab w:val="left" w:pos="9720"/>
                  </w:tabs>
                  <w:suppressAutoHyphens/>
                  <w:jc w:val="center"/>
                  <w:rPr>
                    <w:b/>
                    <w:szCs w:val="24"/>
                    <w:lang w:eastAsia="lt-LT"/>
                  </w:rPr>
                </w:pPr>
                <w:r>
                  <w:rPr>
                    <w:b/>
                    <w:szCs w:val="24"/>
                    <w:lang w:eastAsia="lt-LT"/>
                  </w:rPr>
                  <w:t>Vykdytojai</w:t>
                </w:r>
              </w:p>
            </w:tc>
            <w:tc>
              <w:tcPr>
                <w:tcW w:w="1645" w:type="dxa"/>
                <w:vAlign w:val="center"/>
              </w:tcPr>
              <w:p w14:paraId="7CED3833" w14:textId="77777777">
                <w:pPr>
                  <w:tabs>
                    <w:tab w:val="left" w:pos="9638"/>
                    <w:tab w:val="left" w:pos="9720"/>
                  </w:tabs>
                  <w:suppressAutoHyphens/>
                  <w:jc w:val="center"/>
                  <w:rPr>
                    <w:b/>
                    <w:szCs w:val="24"/>
                    <w:lang w:eastAsia="lt-LT"/>
                  </w:rPr>
                </w:pPr>
                <w:r>
                  <w:rPr>
                    <w:rFonts w:eastAsia="Calibri"/>
                    <w:b/>
                    <w:bCs/>
                    <w:szCs w:val="22"/>
                  </w:rPr>
                  <w:t>Įgyvendinimo laikas</w:t>
                </w:r>
              </w:p>
            </w:tc>
          </w:tr>
          <w:tr w14:paraId="35148643" w14:textId="77777777">
            <w:trPr>
              <w:jc w:val="center"/>
            </w:trPr>
            <w:tc>
              <w:tcPr>
                <w:tcW w:w="570" w:type="dxa"/>
                <w:vAlign w:val="center"/>
              </w:tcPr>
              <w:p w14:paraId="00A81A22" w14:textId="77777777">
                <w:pPr>
                  <w:tabs>
                    <w:tab w:val="left" w:pos="9638"/>
                    <w:tab w:val="left" w:pos="9720"/>
                  </w:tabs>
                  <w:suppressAutoHyphens/>
                  <w:jc w:val="center"/>
                  <w:rPr>
                    <w:b/>
                    <w:sz w:val="18"/>
                    <w:szCs w:val="18"/>
                    <w:lang w:eastAsia="lt-LT"/>
                  </w:rPr>
                </w:pPr>
                <w:r>
                  <w:rPr>
                    <w:b/>
                    <w:sz w:val="18"/>
                    <w:szCs w:val="18"/>
                    <w:lang w:eastAsia="lt-LT"/>
                  </w:rPr>
                  <w:t>1</w:t>
                </w:r>
              </w:p>
            </w:tc>
            <w:tc>
              <w:tcPr>
                <w:tcW w:w="4670" w:type="dxa"/>
                <w:vAlign w:val="center"/>
              </w:tcPr>
              <w:p w14:paraId="4BFF3B5B" w14:textId="77777777">
                <w:pPr>
                  <w:tabs>
                    <w:tab w:val="left" w:pos="9638"/>
                    <w:tab w:val="left" w:pos="9720"/>
                  </w:tabs>
                  <w:suppressAutoHyphens/>
                  <w:jc w:val="center"/>
                  <w:rPr>
                    <w:b/>
                    <w:sz w:val="18"/>
                    <w:szCs w:val="18"/>
                    <w:lang w:eastAsia="lt-LT"/>
                  </w:rPr>
                </w:pPr>
                <w:r>
                  <w:rPr>
                    <w:b/>
                    <w:sz w:val="18"/>
                    <w:szCs w:val="18"/>
                    <w:lang w:eastAsia="lt-LT"/>
                  </w:rPr>
                  <w:t>2</w:t>
                </w:r>
              </w:p>
            </w:tc>
            <w:tc>
              <w:tcPr>
                <w:tcW w:w="2552" w:type="dxa"/>
                <w:vAlign w:val="center"/>
              </w:tcPr>
              <w:p w14:paraId="1994E3F6" w14:textId="77777777">
                <w:pPr>
                  <w:tabs>
                    <w:tab w:val="left" w:pos="9638"/>
                    <w:tab w:val="left" w:pos="9720"/>
                  </w:tabs>
                  <w:suppressAutoHyphens/>
                  <w:jc w:val="center"/>
                  <w:rPr>
                    <w:b/>
                    <w:sz w:val="18"/>
                    <w:szCs w:val="18"/>
                    <w:lang w:eastAsia="lt-LT"/>
                  </w:rPr>
                </w:pPr>
                <w:r>
                  <w:rPr>
                    <w:b/>
                    <w:sz w:val="18"/>
                    <w:szCs w:val="18"/>
                    <w:lang w:eastAsia="lt-LT"/>
                  </w:rPr>
                  <w:t>3</w:t>
                </w:r>
              </w:p>
            </w:tc>
            <w:tc>
              <w:tcPr>
                <w:tcW w:w="1645" w:type="dxa"/>
                <w:vAlign w:val="center"/>
              </w:tcPr>
              <w:p w14:paraId="7FFA0165" w14:textId="77777777">
                <w:pPr>
                  <w:tabs>
                    <w:tab w:val="left" w:pos="9638"/>
                    <w:tab w:val="left" w:pos="9720"/>
                  </w:tabs>
                  <w:suppressAutoHyphens/>
                  <w:jc w:val="center"/>
                  <w:rPr>
                    <w:rFonts w:eastAsia="Calibri"/>
                    <w:b/>
                    <w:bCs/>
                    <w:sz w:val="18"/>
                    <w:szCs w:val="18"/>
                  </w:rPr>
                </w:pPr>
                <w:r>
                  <w:rPr>
                    <w:rFonts w:eastAsia="Calibri"/>
                    <w:b/>
                    <w:bCs/>
                    <w:sz w:val="18"/>
                    <w:szCs w:val="18"/>
                  </w:rPr>
                  <w:t>4</w:t>
                </w:r>
              </w:p>
            </w:tc>
          </w:tr>
          <w:tr w14:paraId="086992D7" w14:textId="77777777">
            <w:trPr>
              <w:jc w:val="center"/>
            </w:trPr>
            <w:tc>
              <w:tcPr>
                <w:tcW w:w="570" w:type="dxa"/>
              </w:tcPr>
              <w:p w14:paraId="6F6F9ADE" w14:textId="77777777">
                <w:pPr>
                  <w:tabs>
                    <w:tab w:val="left" w:pos="9638"/>
                    <w:tab w:val="left" w:pos="9720"/>
                  </w:tabs>
                  <w:ind w:right="-82"/>
                  <w:jc w:val="center"/>
                  <w:rPr>
                    <w:szCs w:val="24"/>
                    <w:lang w:eastAsia="lt-LT"/>
                  </w:rPr>
                </w:pPr>
                <w:r>
                  <w:rPr>
                    <w:szCs w:val="24"/>
                    <w:lang w:eastAsia="lt-LT"/>
                  </w:rPr>
                  <w:t>1.</w:t>
                </w:r>
              </w:p>
            </w:tc>
            <w:tc>
              <w:tcPr>
                <w:tcW w:w="4670" w:type="dxa"/>
              </w:tcPr>
              <w:p w14:paraId="27953162" w14:textId="1D5D9007">
                <w:pPr>
                  <w:tabs>
                    <w:tab w:val="left" w:pos="9638"/>
                    <w:tab w:val="left" w:pos="9720"/>
                  </w:tabs>
                  <w:suppressAutoHyphens/>
                  <w:jc w:val="both"/>
                  <w:rPr>
                    <w:szCs w:val="24"/>
                    <w:lang w:eastAsia="lt-LT"/>
                  </w:rPr>
                </w:pPr>
                <w:r>
                  <w:rPr>
                    <w:szCs w:val="24"/>
                    <w:lang w:eastAsia="lt-LT"/>
                  </w:rPr>
                  <w:t>Teikiama informacija vežėjui apie mokinius, kuriems reikalingas vežimas</w:t>
                </w:r>
              </w:p>
            </w:tc>
            <w:tc>
              <w:tcPr>
                <w:tcW w:w="2552" w:type="dxa"/>
              </w:tcPr>
              <w:p w14:paraId="21944476" w14:textId="77777777">
                <w:pPr>
                  <w:tabs>
                    <w:tab w:val="left" w:pos="9638"/>
                    <w:tab w:val="left" w:pos="9720"/>
                  </w:tabs>
                  <w:suppressAutoHyphens/>
                  <w:jc w:val="center"/>
                  <w:rPr>
                    <w:szCs w:val="24"/>
                    <w:lang w:eastAsia="lt-LT"/>
                  </w:rPr>
                </w:pPr>
                <w:r>
                  <w:rPr>
                    <w:rFonts w:eastAsia="Calibri"/>
                    <w:szCs w:val="22"/>
                  </w:rPr>
                  <w:t>Bendrojo ugdymo mokyklų vadovai</w:t>
                </w:r>
              </w:p>
            </w:tc>
            <w:tc>
              <w:tcPr>
                <w:tcW w:w="1645" w:type="dxa"/>
              </w:tcPr>
              <w:p w14:paraId="50131DC3" w14:textId="77777777">
                <w:pPr>
                  <w:tabs>
                    <w:tab w:val="left" w:pos="9638"/>
                    <w:tab w:val="left" w:pos="9720"/>
                  </w:tabs>
                  <w:suppressAutoHyphens/>
                  <w:jc w:val="center"/>
                  <w:rPr>
                    <w:szCs w:val="24"/>
                    <w:lang w:eastAsia="lt-LT"/>
                  </w:rPr>
                </w:pPr>
                <w:r>
                  <w:rPr>
                    <w:szCs w:val="24"/>
                    <w:lang w:eastAsia="lt-LT"/>
                  </w:rPr>
                  <w:t>Vadovaujantis Aprašu</w:t>
                </w:r>
              </w:p>
            </w:tc>
          </w:tr>
          <w:tr w14:paraId="54960634" w14:textId="77777777">
            <w:trPr>
              <w:jc w:val="center"/>
            </w:trPr>
            <w:tc>
              <w:tcPr>
                <w:tcW w:w="570" w:type="dxa"/>
              </w:tcPr>
              <w:p w14:paraId="55330324" w14:textId="77777777">
                <w:pPr>
                  <w:tabs>
                    <w:tab w:val="left" w:pos="9638"/>
                    <w:tab w:val="left" w:pos="9720"/>
                  </w:tabs>
                  <w:ind w:right="-82"/>
                  <w:jc w:val="center"/>
                  <w:rPr>
                    <w:szCs w:val="24"/>
                    <w:lang w:eastAsia="lt-LT"/>
                  </w:rPr>
                </w:pPr>
                <w:r>
                  <w:rPr>
                    <w:szCs w:val="24"/>
                    <w:lang w:eastAsia="lt-LT"/>
                  </w:rPr>
                  <w:t>2.</w:t>
                </w:r>
              </w:p>
            </w:tc>
            <w:tc>
              <w:tcPr>
                <w:tcW w:w="4670" w:type="dxa"/>
              </w:tcPr>
              <w:p w14:paraId="210C6F65" w14:textId="296B0F45">
                <w:pPr>
                  <w:tabs>
                    <w:tab w:val="left" w:pos="9638"/>
                    <w:tab w:val="left" w:pos="9720"/>
                  </w:tabs>
                  <w:suppressAutoHyphens/>
                  <w:jc w:val="both"/>
                  <w:rPr>
                    <w:szCs w:val="24"/>
                    <w:lang w:eastAsia="lt-LT"/>
                  </w:rPr>
                </w:pPr>
                <w:r>
                  <w:rPr>
                    <w:szCs w:val="24"/>
                    <w:lang w:eastAsia="lt-LT"/>
                  </w:rPr>
                  <w:t>Mokinių vežimo problemos sprendžiamos bendradarbiaujant su Švietimo ir sporto paslaugų centro Transporto ir ūkio veiklos skyriumi, Savivaldybės administracijos Investicijų ir turto valdymo bei Švietimo ir sporto skyriumi</w:t>
                </w:r>
              </w:p>
            </w:tc>
            <w:tc>
              <w:tcPr>
                <w:tcW w:w="2552" w:type="dxa"/>
              </w:tcPr>
              <w:p w14:paraId="751A3E12" w14:textId="77777777">
                <w:pPr>
                  <w:tabs>
                    <w:tab w:val="left" w:pos="9638"/>
                    <w:tab w:val="left" w:pos="9720"/>
                  </w:tabs>
                  <w:suppressAutoHyphens/>
                  <w:jc w:val="center"/>
                  <w:rPr>
                    <w:szCs w:val="24"/>
                    <w:lang w:eastAsia="lt-LT"/>
                  </w:rPr>
                </w:pPr>
                <w:r>
                  <w:rPr>
                    <w:rFonts w:eastAsia="Calibri"/>
                    <w:szCs w:val="22"/>
                  </w:rPr>
                  <w:t>Bendrojo ugdymo mokyklų vadovai</w:t>
                </w:r>
              </w:p>
            </w:tc>
            <w:tc>
              <w:tcPr>
                <w:tcW w:w="1645" w:type="dxa"/>
              </w:tcPr>
              <w:p w14:paraId="0ACC2437" w14:textId="77777777">
                <w:pPr>
                  <w:tabs>
                    <w:tab w:val="left" w:pos="9638"/>
                    <w:tab w:val="left" w:pos="9720"/>
                  </w:tabs>
                  <w:suppressAutoHyphens/>
                  <w:jc w:val="center"/>
                  <w:rPr>
                    <w:szCs w:val="24"/>
                    <w:lang w:eastAsia="lt-LT"/>
                  </w:rPr>
                </w:pPr>
                <w:r>
                  <w:rPr>
                    <w:szCs w:val="24"/>
                    <w:lang w:eastAsia="lt-LT"/>
                  </w:rPr>
                  <w:t>Kiekvienais mokslo metais pagal poreikį</w:t>
                </w:r>
              </w:p>
            </w:tc>
          </w:tr>
          <w:tr w14:paraId="16C58B63" w14:textId="77777777">
            <w:trPr>
              <w:jc w:val="center"/>
            </w:trPr>
            <w:tc>
              <w:tcPr>
                <w:tcW w:w="570" w:type="dxa"/>
              </w:tcPr>
              <w:p w14:paraId="1A78E9E3" w14:textId="77777777">
                <w:pPr>
                  <w:tabs>
                    <w:tab w:val="left" w:pos="9638"/>
                    <w:tab w:val="left" w:pos="9720"/>
                  </w:tabs>
                  <w:ind w:right="-82"/>
                  <w:jc w:val="center"/>
                  <w:rPr>
                    <w:szCs w:val="24"/>
                    <w:lang w:eastAsia="lt-LT"/>
                  </w:rPr>
                </w:pPr>
                <w:r>
                  <w:rPr>
                    <w:szCs w:val="24"/>
                    <w:lang w:eastAsia="lt-LT"/>
                  </w:rPr>
                  <w:t>3.</w:t>
                </w:r>
              </w:p>
            </w:tc>
            <w:tc>
              <w:tcPr>
                <w:tcW w:w="4670" w:type="dxa"/>
              </w:tcPr>
              <w:p w14:paraId="2BB159A5" w14:textId="0B35A2C9">
                <w:pPr>
                  <w:tabs>
                    <w:tab w:val="left" w:pos="9638"/>
                    <w:tab w:val="left" w:pos="9720"/>
                  </w:tabs>
                  <w:suppressAutoHyphens/>
                  <w:jc w:val="both"/>
                  <w:rPr>
                    <w:szCs w:val="24"/>
                    <w:lang w:eastAsia="lt-LT"/>
                  </w:rPr>
                </w:pPr>
                <w:r>
                  <w:rPr>
                    <w:szCs w:val="24"/>
                    <w:lang w:eastAsia="lt-LT"/>
                  </w:rPr>
                  <w:t>Mokyklų interneto svetainėse paskelbiama informacija apie mokinių vežimą (maršrutai, grafikai, kt.)</w:t>
                </w:r>
              </w:p>
            </w:tc>
            <w:tc>
              <w:tcPr>
                <w:tcW w:w="2552" w:type="dxa"/>
              </w:tcPr>
              <w:p w14:paraId="4DC8E0EA" w14:textId="77777777">
                <w:pPr>
                  <w:tabs>
                    <w:tab w:val="left" w:pos="9638"/>
                    <w:tab w:val="left" w:pos="9720"/>
                  </w:tabs>
                  <w:suppressAutoHyphens/>
                  <w:jc w:val="center"/>
                  <w:rPr>
                    <w:szCs w:val="24"/>
                    <w:lang w:eastAsia="lt-LT"/>
                  </w:rPr>
                </w:pPr>
                <w:r>
                  <w:rPr>
                    <w:rFonts w:eastAsia="Calibri"/>
                    <w:szCs w:val="22"/>
                  </w:rPr>
                  <w:t>Bendrojo ugdymo mokyklų vadovai</w:t>
                </w:r>
              </w:p>
            </w:tc>
            <w:tc>
              <w:tcPr>
                <w:tcW w:w="1645" w:type="dxa"/>
              </w:tcPr>
              <w:p w14:paraId="2E693FE9" w14:textId="77777777">
                <w:pPr>
                  <w:tabs>
                    <w:tab w:val="left" w:pos="9638"/>
                    <w:tab w:val="left" w:pos="9720"/>
                  </w:tabs>
                  <w:suppressAutoHyphens/>
                  <w:jc w:val="center"/>
                  <w:rPr>
                    <w:szCs w:val="24"/>
                    <w:lang w:eastAsia="lt-LT"/>
                  </w:rPr>
                </w:pPr>
                <w:r>
                  <w:rPr>
                    <w:szCs w:val="24"/>
                    <w:lang w:eastAsia="lt-LT"/>
                  </w:rPr>
                  <w:t>Kasmet iki rugsėjo 1 d.</w:t>
                </w:r>
              </w:p>
            </w:tc>
          </w:tr>
          <w:tr w14:paraId="5DD5F0C1" w14:textId="77777777">
            <w:trPr>
              <w:jc w:val="center"/>
            </w:trPr>
            <w:tc>
              <w:tcPr>
                <w:tcW w:w="570" w:type="dxa"/>
              </w:tcPr>
              <w:p w14:paraId="33812238" w14:textId="77777777">
                <w:pPr>
                  <w:tabs>
                    <w:tab w:val="left" w:pos="9638"/>
                    <w:tab w:val="left" w:pos="9720"/>
                  </w:tabs>
                  <w:ind w:right="-82"/>
                  <w:jc w:val="center"/>
                  <w:rPr>
                    <w:szCs w:val="24"/>
                    <w:lang w:eastAsia="lt-LT"/>
                  </w:rPr>
                </w:pPr>
                <w:r>
                  <w:rPr>
                    <w:szCs w:val="24"/>
                    <w:lang w:eastAsia="lt-LT"/>
                  </w:rPr>
                  <w:t>4.</w:t>
                </w:r>
              </w:p>
            </w:tc>
            <w:tc>
              <w:tcPr>
                <w:tcW w:w="4670" w:type="dxa"/>
              </w:tcPr>
              <w:p w14:paraId="7C0A7C3B" w14:textId="77777777">
                <w:pPr>
                  <w:tabs>
                    <w:tab w:val="left" w:pos="9638"/>
                    <w:tab w:val="left" w:pos="9720"/>
                  </w:tabs>
                  <w:suppressAutoHyphens/>
                  <w:jc w:val="both"/>
                  <w:rPr>
                    <w:szCs w:val="24"/>
                    <w:lang w:eastAsia="lt-LT"/>
                  </w:rPr>
                </w:pPr>
                <w:r>
                  <w:rPr>
                    <w:szCs w:val="24"/>
                    <w:lang w:eastAsia="lt-LT"/>
                  </w:rPr>
                  <w:t xml:space="preserve">Mokinių vežimo mokykliniais autobusais grafikai koreguojami atsižvelgiant į pamokų (būrelių) pradžios ir pabaigos laiką. </w:t>
                </w:r>
              </w:p>
            </w:tc>
            <w:tc>
              <w:tcPr>
                <w:tcW w:w="2552" w:type="dxa"/>
              </w:tcPr>
              <w:p w14:paraId="394CE4FC" w14:textId="77777777">
                <w:pPr>
                  <w:tabs>
                    <w:tab w:val="left" w:pos="9638"/>
                    <w:tab w:val="left" w:pos="9720"/>
                  </w:tabs>
                  <w:suppressAutoHyphens/>
                  <w:jc w:val="center"/>
                  <w:rPr>
                    <w:szCs w:val="24"/>
                    <w:lang w:eastAsia="lt-LT"/>
                  </w:rPr>
                </w:pPr>
                <w:r>
                  <w:rPr>
                    <w:rFonts w:eastAsia="Calibri"/>
                    <w:szCs w:val="22"/>
                  </w:rPr>
                  <w:t>Bendrojo ugdymo mokyklų vadovai</w:t>
                </w:r>
              </w:p>
            </w:tc>
            <w:tc>
              <w:tcPr>
                <w:tcW w:w="1645" w:type="dxa"/>
              </w:tcPr>
              <w:p w14:paraId="55F973A2" w14:textId="77777777">
                <w:pPr>
                  <w:tabs>
                    <w:tab w:val="left" w:pos="9638"/>
                    <w:tab w:val="left" w:pos="9720"/>
                  </w:tabs>
                  <w:suppressAutoHyphens/>
                  <w:jc w:val="center"/>
                  <w:rPr>
                    <w:szCs w:val="24"/>
                    <w:lang w:eastAsia="lt-LT"/>
                  </w:rPr>
                </w:pPr>
                <w:r>
                  <w:rPr>
                    <w:szCs w:val="24"/>
                    <w:lang w:eastAsia="lt-LT"/>
                  </w:rPr>
                  <w:t>Kiekvienais mokslo metais pagal poreikį</w:t>
                </w:r>
              </w:p>
            </w:tc>
          </w:tr>
          <w:tr w14:paraId="52B9E354" w14:textId="77777777">
            <w:trPr>
              <w:jc w:val="center"/>
            </w:trPr>
            <w:tc>
              <w:tcPr>
                <w:tcW w:w="570" w:type="dxa"/>
              </w:tcPr>
              <w:p w14:paraId="73821352" w14:textId="77777777">
                <w:pPr>
                  <w:tabs>
                    <w:tab w:val="left" w:pos="9638"/>
                    <w:tab w:val="left" w:pos="9720"/>
                  </w:tabs>
                  <w:ind w:right="-82"/>
                  <w:jc w:val="center"/>
                  <w:rPr>
                    <w:szCs w:val="24"/>
                    <w:lang w:eastAsia="lt-LT"/>
                  </w:rPr>
                </w:pPr>
                <w:r>
                  <w:rPr>
                    <w:szCs w:val="24"/>
                    <w:lang w:eastAsia="lt-LT"/>
                  </w:rPr>
                  <w:t>5.</w:t>
                </w:r>
              </w:p>
            </w:tc>
            <w:tc>
              <w:tcPr>
                <w:tcW w:w="4670" w:type="dxa"/>
              </w:tcPr>
              <w:p w14:paraId="602C309D" w14:textId="18EC51AC">
                <w:pPr>
                  <w:tabs>
                    <w:tab w:val="left" w:pos="993"/>
                  </w:tabs>
                  <w:suppressAutoHyphens/>
                  <w:jc w:val="both"/>
                  <w:rPr>
                    <w:szCs w:val="24"/>
                    <w:lang w:eastAsia="ar-SA"/>
                  </w:rPr>
                </w:pPr>
                <w:r>
                  <w:rPr>
                    <w:szCs w:val="24"/>
                    <w:lang w:eastAsia="ar-SA"/>
                  </w:rPr>
                  <w:t>Sukomplektavus klases, įvertinus mokinių srautus ir poreikį derinami visuomeninio transporto maršrutai ir grafikai</w:t>
                </w:r>
              </w:p>
            </w:tc>
            <w:tc>
              <w:tcPr>
                <w:tcW w:w="2552" w:type="dxa"/>
              </w:tcPr>
              <w:p w14:paraId="1A51F2BF" w14:textId="77777777">
                <w:pPr>
                  <w:tabs>
                    <w:tab w:val="left" w:pos="9638"/>
                    <w:tab w:val="left" w:pos="9720"/>
                  </w:tabs>
                  <w:suppressAutoHyphens/>
                  <w:jc w:val="center"/>
                  <w:rPr>
                    <w:szCs w:val="24"/>
                    <w:lang w:eastAsia="lt-LT"/>
                  </w:rPr>
                </w:pPr>
                <w:r>
                  <w:rPr>
                    <w:szCs w:val="24"/>
                    <w:lang w:eastAsia="lt-LT"/>
                  </w:rPr>
                  <w:t>Savivaldybės administracijos Investicijų ir turto valdymo skyrius</w:t>
                </w:r>
              </w:p>
            </w:tc>
            <w:tc>
              <w:tcPr>
                <w:tcW w:w="1645" w:type="dxa"/>
              </w:tcPr>
              <w:p w14:paraId="54DA3897" w14:textId="77777777">
                <w:pPr>
                  <w:tabs>
                    <w:tab w:val="left" w:pos="9638"/>
                    <w:tab w:val="left" w:pos="9720"/>
                  </w:tabs>
                  <w:suppressAutoHyphens/>
                  <w:jc w:val="center"/>
                  <w:rPr>
                    <w:szCs w:val="24"/>
                    <w:lang w:eastAsia="lt-LT"/>
                  </w:rPr>
                </w:pPr>
                <w:r>
                  <w:rPr>
                    <w:szCs w:val="24"/>
                    <w:lang w:eastAsia="lt-LT"/>
                  </w:rPr>
                  <w:t>Kiekvienais mokslo metais pagal poreikį</w:t>
                </w:r>
              </w:p>
            </w:tc>
          </w:tr>
          <w:tr w14:paraId="19C8C11A" w14:textId="77777777">
            <w:trPr>
              <w:jc w:val="center"/>
            </w:trPr>
            <w:tc>
              <w:tcPr>
                <w:tcW w:w="570" w:type="dxa"/>
              </w:tcPr>
              <w:p w14:paraId="4052EBA0" w14:textId="77777777">
                <w:pPr>
                  <w:tabs>
                    <w:tab w:val="left" w:pos="9638"/>
                    <w:tab w:val="left" w:pos="9720"/>
                  </w:tabs>
                  <w:ind w:right="-82"/>
                  <w:jc w:val="center"/>
                  <w:rPr>
                    <w:szCs w:val="24"/>
                    <w:lang w:eastAsia="lt-LT"/>
                  </w:rPr>
                </w:pPr>
                <w:r>
                  <w:rPr>
                    <w:szCs w:val="24"/>
                    <w:lang w:eastAsia="lt-LT"/>
                  </w:rPr>
                  <w:t>6.</w:t>
                </w:r>
              </w:p>
            </w:tc>
            <w:tc>
              <w:tcPr>
                <w:tcW w:w="4670" w:type="dxa"/>
              </w:tcPr>
              <w:p w14:paraId="4826385C" w14:textId="3D05FC17">
                <w:pPr>
                  <w:tabs>
                    <w:tab w:val="left" w:pos="9638"/>
                    <w:tab w:val="left" w:pos="9720"/>
                  </w:tabs>
                  <w:suppressAutoHyphens/>
                  <w:jc w:val="both"/>
                  <w:rPr>
                    <w:szCs w:val="24"/>
                    <w:lang w:eastAsia="lt-LT"/>
                  </w:rPr>
                </w:pPr>
                <w:r>
                  <w:rPr>
                    <w:szCs w:val="24"/>
                    <w:lang w:eastAsia="lt-LT"/>
                  </w:rPr>
                  <w:t>Vykdomas mokyklinių autobusų poreikio monitoringas</w:t>
                </w:r>
              </w:p>
            </w:tc>
            <w:tc>
              <w:tcPr>
                <w:tcW w:w="2552" w:type="dxa"/>
              </w:tcPr>
              <w:p w14:paraId="7D4CF616" w14:textId="77777777">
                <w:pPr>
                  <w:tabs>
                    <w:tab w:val="left" w:pos="9638"/>
                    <w:tab w:val="left" w:pos="9720"/>
                  </w:tabs>
                  <w:suppressAutoHyphens/>
                  <w:jc w:val="center"/>
                  <w:rPr>
                    <w:szCs w:val="24"/>
                    <w:lang w:eastAsia="lt-LT"/>
                  </w:rPr>
                </w:pPr>
                <w:r>
                  <w:rPr>
                    <w:szCs w:val="24"/>
                    <w:lang w:eastAsia="lt-LT"/>
                  </w:rPr>
                  <w:t>Švietimo ir sporto paslaugų centro Transporto ir ūkio veiklos skyrius</w:t>
                </w:r>
              </w:p>
            </w:tc>
            <w:tc>
              <w:tcPr>
                <w:tcW w:w="1645" w:type="dxa"/>
              </w:tcPr>
              <w:p w14:paraId="0C89B3F0" w14:textId="77777777">
                <w:pPr>
                  <w:tabs>
                    <w:tab w:val="left" w:pos="9638"/>
                    <w:tab w:val="left" w:pos="9720"/>
                  </w:tabs>
                  <w:suppressAutoHyphens/>
                  <w:jc w:val="center"/>
                  <w:rPr>
                    <w:szCs w:val="24"/>
                    <w:lang w:eastAsia="lt-LT"/>
                  </w:rPr>
                </w:pPr>
                <w:r>
                  <w:rPr>
                    <w:szCs w:val="24"/>
                    <w:lang w:eastAsia="lt-LT"/>
                  </w:rPr>
                  <w:t>Nuolat</w:t>
                </w:r>
              </w:p>
            </w:tc>
          </w:tr>
          <w:tr w14:paraId="4C771E1D" w14:textId="77777777">
            <w:trPr>
              <w:jc w:val="center"/>
            </w:trPr>
            <w:tc>
              <w:tcPr>
                <w:tcW w:w="570" w:type="dxa"/>
              </w:tcPr>
              <w:p w14:paraId="45A4BDCA" w14:textId="77777777">
                <w:pPr>
                  <w:tabs>
                    <w:tab w:val="left" w:pos="9638"/>
                    <w:tab w:val="left" w:pos="9720"/>
                  </w:tabs>
                  <w:ind w:right="-82"/>
                  <w:jc w:val="center"/>
                  <w:rPr>
                    <w:szCs w:val="24"/>
                    <w:lang w:eastAsia="lt-LT"/>
                  </w:rPr>
                </w:pPr>
                <w:r>
                  <w:rPr>
                    <w:szCs w:val="24"/>
                    <w:lang w:eastAsia="lt-LT"/>
                  </w:rPr>
                  <w:t>7.</w:t>
                </w:r>
              </w:p>
            </w:tc>
            <w:tc>
              <w:tcPr>
                <w:tcW w:w="4670" w:type="dxa"/>
              </w:tcPr>
              <w:p w14:paraId="5C11C2D3" w14:textId="29A4D892">
                <w:pPr>
                  <w:tabs>
                    <w:tab w:val="left" w:pos="9638"/>
                    <w:tab w:val="left" w:pos="9720"/>
                  </w:tabs>
                  <w:suppressAutoHyphens/>
                  <w:jc w:val="both"/>
                  <w:rPr>
                    <w:szCs w:val="24"/>
                    <w:lang w:eastAsia="lt-LT"/>
                  </w:rPr>
                </w:pPr>
                <w:r>
                  <w:rPr>
                    <w:szCs w:val="24"/>
                    <w:lang w:eastAsia="lt-LT"/>
                  </w:rPr>
                  <w:t>Teikiamos paraiškos dėl mokyklinių autobusų gavimo</w:t>
                </w:r>
              </w:p>
            </w:tc>
            <w:tc>
              <w:tcPr>
                <w:tcW w:w="2552" w:type="dxa"/>
              </w:tcPr>
              <w:p w14:paraId="306C0DB1" w14:textId="77777777">
                <w:pPr>
                  <w:tabs>
                    <w:tab w:val="left" w:pos="9638"/>
                    <w:tab w:val="left" w:pos="9720"/>
                  </w:tabs>
                  <w:suppressAutoHyphens/>
                  <w:jc w:val="center"/>
                  <w:rPr>
                    <w:szCs w:val="24"/>
                    <w:lang w:eastAsia="lt-LT"/>
                  </w:rPr>
                </w:pPr>
                <w:r>
                  <w:rPr>
                    <w:szCs w:val="24"/>
                    <w:lang w:eastAsia="lt-LT"/>
                  </w:rPr>
                  <w:t>Švietimo ir sporto paslaugų centras, Savivaldybės administracijos Švietimo ir sporto skyrius</w:t>
                </w:r>
              </w:p>
            </w:tc>
            <w:tc>
              <w:tcPr>
                <w:tcW w:w="1645" w:type="dxa"/>
              </w:tcPr>
              <w:p w14:paraId="3C560E80" w14:textId="77777777">
                <w:pPr>
                  <w:tabs>
                    <w:tab w:val="left" w:pos="9638"/>
                    <w:tab w:val="left" w:pos="9720"/>
                  </w:tabs>
                  <w:suppressAutoHyphens/>
                  <w:jc w:val="center"/>
                  <w:rPr>
                    <w:szCs w:val="24"/>
                    <w:lang w:eastAsia="lt-LT"/>
                  </w:rPr>
                </w:pPr>
                <w:r>
                  <w:rPr>
                    <w:szCs w:val="24"/>
                    <w:lang w:eastAsia="lt-LT"/>
                  </w:rPr>
                  <w:t>Kasmet iki Švietimo, mokslo ir sporto ministerijos nustatyto termino</w:t>
                </w:r>
              </w:p>
            </w:tc>
          </w:tr>
          <w:tr w14:paraId="7EDA26D3" w14:textId="77777777">
            <w:trPr>
              <w:jc w:val="center"/>
            </w:trPr>
            <w:tc>
              <w:tcPr>
                <w:tcW w:w="570" w:type="dxa"/>
              </w:tcPr>
              <w:p w14:paraId="10CB21AB" w14:textId="77777777">
                <w:pPr>
                  <w:tabs>
                    <w:tab w:val="left" w:pos="9638"/>
                    <w:tab w:val="left" w:pos="9720"/>
                  </w:tabs>
                  <w:ind w:right="-82"/>
                  <w:jc w:val="center"/>
                  <w:rPr>
                    <w:szCs w:val="24"/>
                    <w:lang w:eastAsia="lt-LT"/>
                  </w:rPr>
                </w:pPr>
                <w:r>
                  <w:rPr>
                    <w:szCs w:val="24"/>
                    <w:lang w:eastAsia="lt-LT"/>
                  </w:rPr>
                  <w:t>8.</w:t>
                </w:r>
              </w:p>
            </w:tc>
            <w:tc>
              <w:tcPr>
                <w:tcW w:w="4670" w:type="dxa"/>
              </w:tcPr>
              <w:p w14:paraId="5BD75C82" w14:textId="34152731">
                <w:pPr>
                  <w:tabs>
                    <w:tab w:val="left" w:pos="9638"/>
                    <w:tab w:val="left" w:pos="9720"/>
                  </w:tabs>
                  <w:suppressAutoHyphens/>
                  <w:jc w:val="both"/>
                  <w:rPr>
                    <w:szCs w:val="24"/>
                    <w:lang w:eastAsia="lt-LT"/>
                  </w:rPr>
                </w:pPr>
                <w:r>
                  <w:rPr>
                    <w:szCs w:val="24"/>
                    <w:lang w:eastAsia="lt-LT"/>
                  </w:rPr>
                  <w:t>Prižiūrima mokyklinių autobusų techninė būklė</w:t>
                </w:r>
              </w:p>
            </w:tc>
            <w:tc>
              <w:tcPr>
                <w:tcW w:w="2552" w:type="dxa"/>
              </w:tcPr>
              <w:p w14:paraId="7004DAB0" w14:textId="77777777">
                <w:pPr>
                  <w:tabs>
                    <w:tab w:val="left" w:pos="9638"/>
                    <w:tab w:val="left" w:pos="9720"/>
                  </w:tabs>
                  <w:suppressAutoHyphens/>
                  <w:jc w:val="center"/>
                  <w:rPr>
                    <w:szCs w:val="24"/>
                    <w:lang w:eastAsia="lt-LT"/>
                  </w:rPr>
                </w:pPr>
                <w:r>
                  <w:rPr>
                    <w:szCs w:val="24"/>
                    <w:lang w:eastAsia="lt-LT"/>
                  </w:rPr>
                  <w:t>Mokyklų vadovai, Švietimo ir sporto paslaugų centro Transporto ir ūkio veiklos skyrius</w:t>
                </w:r>
              </w:p>
            </w:tc>
            <w:tc>
              <w:tcPr>
                <w:tcW w:w="1645" w:type="dxa"/>
              </w:tcPr>
              <w:p w14:paraId="05468E9F" w14:textId="77777777">
                <w:pPr>
                  <w:tabs>
                    <w:tab w:val="left" w:pos="9638"/>
                    <w:tab w:val="left" w:pos="9720"/>
                  </w:tabs>
                  <w:suppressAutoHyphens/>
                  <w:jc w:val="center"/>
                  <w:rPr>
                    <w:szCs w:val="24"/>
                    <w:lang w:eastAsia="lt-LT"/>
                  </w:rPr>
                </w:pPr>
                <w:r>
                  <w:rPr>
                    <w:szCs w:val="24"/>
                    <w:lang w:eastAsia="lt-LT"/>
                  </w:rPr>
                  <w:t>Nuolat</w:t>
                </w:r>
              </w:p>
            </w:tc>
          </w:tr>
          <w:tr w14:paraId="2B3435B6" w14:textId="77777777">
            <w:trPr>
              <w:jc w:val="center"/>
            </w:trPr>
            <w:tc>
              <w:tcPr>
                <w:tcW w:w="570" w:type="dxa"/>
              </w:tcPr>
              <w:p w14:paraId="12106E48" w14:textId="77777777">
                <w:pPr>
                  <w:tabs>
                    <w:tab w:val="left" w:pos="9638"/>
                    <w:tab w:val="left" w:pos="9720"/>
                  </w:tabs>
                  <w:ind w:right="-82"/>
                  <w:jc w:val="center"/>
                  <w:rPr>
                    <w:szCs w:val="24"/>
                    <w:lang w:eastAsia="lt-LT"/>
                  </w:rPr>
                </w:pPr>
                <w:r>
                  <w:rPr>
                    <w:szCs w:val="24"/>
                    <w:lang w:eastAsia="lt-LT"/>
                  </w:rPr>
                  <w:t>9.</w:t>
                </w:r>
              </w:p>
            </w:tc>
            <w:tc>
              <w:tcPr>
                <w:tcW w:w="4670" w:type="dxa"/>
              </w:tcPr>
              <w:p w14:paraId="1B637CED" w14:textId="2A8D4796">
                <w:pPr>
                  <w:tabs>
                    <w:tab w:val="left" w:pos="9638"/>
                    <w:tab w:val="left" w:pos="9720"/>
                  </w:tabs>
                  <w:suppressAutoHyphens/>
                  <w:jc w:val="both"/>
                  <w:rPr>
                    <w:szCs w:val="24"/>
                    <w:lang w:eastAsia="lt-LT"/>
                  </w:rPr>
                </w:pPr>
                <w:r>
                  <w:rPr>
                    <w:rFonts w:eastAsia="Calibri"/>
                    <w:szCs w:val="24"/>
                  </w:rPr>
                  <w:t>Mokinių vežimas į mokyklą ir atgal organizuojamas vadovaujantis Lietuvos Respublikos švietimo ir kitų įstatymų bei įstatymų lydimųjų aktų reikalavimais</w:t>
                </w:r>
              </w:p>
            </w:tc>
            <w:tc>
              <w:tcPr>
                <w:tcW w:w="2552" w:type="dxa"/>
              </w:tcPr>
              <w:p w14:paraId="52BC4F7C" w14:textId="77777777">
                <w:pPr>
                  <w:tabs>
                    <w:tab w:val="left" w:pos="9638"/>
                    <w:tab w:val="left" w:pos="9720"/>
                  </w:tabs>
                  <w:suppressAutoHyphens/>
                  <w:jc w:val="center"/>
                  <w:rPr>
                    <w:rFonts w:eastAsia="Calibri"/>
                    <w:szCs w:val="24"/>
                  </w:rPr>
                </w:pPr>
                <w:r>
                  <w:rPr>
                    <w:rFonts w:eastAsia="Calibri"/>
                    <w:szCs w:val="24"/>
                  </w:rPr>
                  <w:t>Savivaldybės administracijos Švietimo ir sporto skyrius,</w:t>
                </w:r>
              </w:p>
              <w:p w14:paraId="1D423B84" w14:textId="77777777">
                <w:pPr>
                  <w:tabs>
                    <w:tab w:val="left" w:pos="9638"/>
                    <w:tab w:val="left" w:pos="9720"/>
                  </w:tabs>
                  <w:suppressAutoHyphens/>
                  <w:jc w:val="center"/>
                  <w:rPr>
                    <w:szCs w:val="24"/>
                    <w:lang w:eastAsia="lt-LT"/>
                  </w:rPr>
                </w:pPr>
                <w:r>
                  <w:rPr>
                    <w:szCs w:val="24"/>
                    <w:lang w:eastAsia="lt-LT"/>
                  </w:rPr>
                  <w:t>Švietimo ir sporto paslaugų centro Transporto ir ūkio veiklos skyrius</w:t>
                </w:r>
              </w:p>
            </w:tc>
            <w:tc>
              <w:tcPr>
                <w:tcW w:w="1645" w:type="dxa"/>
              </w:tcPr>
              <w:p w14:paraId="10F1E6E9" w14:textId="77777777">
                <w:pPr>
                  <w:tabs>
                    <w:tab w:val="left" w:pos="9638"/>
                    <w:tab w:val="left" w:pos="9720"/>
                  </w:tabs>
                  <w:suppressAutoHyphens/>
                  <w:jc w:val="center"/>
                  <w:rPr>
                    <w:szCs w:val="24"/>
                    <w:lang w:eastAsia="lt-LT"/>
                  </w:rPr>
                </w:pPr>
                <w:r>
                  <w:rPr>
                    <w:rFonts w:eastAsia="Calibri"/>
                    <w:szCs w:val="24"/>
                  </w:rPr>
                  <w:t>Nuolat</w:t>
                </w:r>
              </w:p>
            </w:tc>
          </w:tr>
        </w:tbl>
        <w:p w14:paraId="351DEA28" w14:textId="1DC0BA7F">
          <w:pPr>
            <w:suppressAutoHyphens/>
            <w:jc w:val="center"/>
            <w:rPr>
              <w:szCs w:val="24"/>
              <w:lang w:eastAsia="ar-SA"/>
            </w:rPr>
          </w:pPr>
        </w:p>
        <w:sdt>
          <w:sdtPr>
            <w:alias w:val="signatura"/>
            <w:tag w:val="part_5dc55e07d75546d2ac1c8e1c1353aa64"/>
            <w:lock w:val="sdtLocked"/>
            <w:richText/>
          </w:sdtPr>
          <w:sdtContent>
            <w:p w14:paraId="685F6A28" w14:textId="4BAC8959">
              <w:pPr>
                <w:suppressAutoHyphens/>
                <w:jc w:val="center"/>
                <w:rPr>
                  <w:szCs w:val="24"/>
                  <w:lang w:eastAsia="ar-SA"/>
                </w:rPr>
              </w:pPr>
              <w:r>
                <w:rPr>
                  <w:szCs w:val="24"/>
                  <w:lang w:eastAsia="ar-SA"/>
                </w:rPr>
                <w:t>_______________________________</w:t>
              </w:r>
            </w:p>
            <w:p w14:paraId="17F8B174" w14:textId="71F4E3F2">
              <w:pPr>
                <w:spacing w:line="276" w:lineRule="auto"/>
                <w:rPr>
                  <w:caps/>
                  <w:color w:val="000000"/>
                  <w:szCs w:val="24"/>
                  <w:lang w:eastAsia="lt-LT"/>
                </w:rPr>
              </w:pPr>
            </w:p>
          </w:sdtContent>
        </w:sdt>
      </w:sdtContent>
    </w:sdt>
    <w:sectPr>
      <w:footerReference w:type="default" r:id="rId6"/>
      <w:pgSz w:w="11906" w:h="16838"/>
      <w:pgMar w:top="1134" w:right="567" w:bottom="1134" w:left="1701" w:header="567" w:footer="567" w:gutter="0"/>
      <w:cols w:space="1296"/>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42A9645" w14:textId="77777777">
      <w:pPr>
        <w:rPr>
          <w:szCs w:val="22"/>
        </w:rPr>
      </w:pPr>
      <w:r>
        <w:rPr>
          <w:szCs w:val="22"/>
        </w:rPr>
        <w:separator/>
      </w:r>
    </w:p>
  </w:endnote>
  <w:endnote w:type="continuationSeparator" w:id="0">
    <w:p w14:paraId="7650F059" w14:textId="77777777">
      <w:pPr>
        <w:rPr>
          <w:szCs w:val="22"/>
        </w:rPr>
      </w:pPr>
      <w:r>
        <w:rPr>
          <w:szCs w:val="22"/>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libri">
    <w:panose1 w:val="020F0502020204030204"/>
    <w:charset w:val="BA"/>
    <w:family w:val="swiss"/>
    <w:pitch w:val="variable"/>
    <w:sig w:usb0="E00002FF" w:usb1="4000ACFF" w:usb2="00000001" w:usb3="00000000" w:csb0="0000019F" w:csb1="00000000"/>
  </w:font>
  <w:font w:name="Calibri Light">
    <w:panose1 w:val="020F0302020204030204"/>
    <w:charset w:val="BA"/>
    <w:family w:val="swiss"/>
    <w:pitch w:val="variable"/>
    <w:sig w:usb0="E4002EFF" w:usb1="C2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2F79791" w14:textId="0ECE408B">
    <w:pPr>
      <w:tabs>
        <w:tab w:val="center" w:pos="4819"/>
        <w:tab w:val="right" w:pos="9638"/>
      </w:tabs>
      <w:jc w:val="center"/>
      <w:rPr>
        <w:szCs w:val="22"/>
      </w:rPr>
    </w:pPr>
    <w:r>
      <w:rPr>
        <w:szCs w:val="22"/>
      </w:rPr>
      <w:fldChar w:fldCharType="begin"/>
    </w:r>
    <w:r>
      <w:rPr>
        <w:szCs w:val="22"/>
      </w:rPr>
      <w:instrText>PAGE   \* MERGEFORMAT</w:instrText>
    </w:r>
    <w:r>
      <w:rPr>
        <w:szCs w:val="22"/>
      </w:rPr>
      <w:fldChar w:fldCharType="separate"/>
    </w:r>
    <w:r>
      <w:rPr>
        <w:szCs w:val="22"/>
      </w:rPr>
      <w:t>2</w:t>
    </w:r>
    <w:r>
      <w:rPr>
        <w:szCs w:val="22"/>
      </w:rPr>
      <w:fldChar w:fldCharType="end"/>
    </w:r>
  </w:p>
  <w:p w14:paraId="082F3E62" w14:textId="77777777">
    <w:pPr>
      <w:tabs>
        <w:tab w:val="center" w:pos="4819"/>
        <w:tab w:val="right" w:pos="9638"/>
      </w:tabs>
      <w:rPr>
        <w:szCs w:val="22"/>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DA8FAB7" w14:textId="77777777">
      <w:pPr>
        <w:rPr>
          <w:szCs w:val="22"/>
        </w:rPr>
      </w:pPr>
      <w:r>
        <w:rPr>
          <w:szCs w:val="22"/>
        </w:rPr>
        <w:separator/>
      </w:r>
    </w:p>
  </w:footnote>
  <w:footnote w:type="continuationSeparator" w:id="0">
    <w:p w14:paraId="4614742A" w14:textId="77777777">
      <w:pPr>
        <w:rPr>
          <w:szCs w:val="22"/>
        </w:rPr>
      </w:pPr>
      <w:r>
        <w:rPr>
          <w:szCs w:val="22"/>
        </w:rPr>
        <w:continuationSeparator/>
      </w:r>
    </w:p>
  </w:footnote>
</w:footnote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5052"/>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C7B66E4"/>
  <w15:chartTrackingRefBased/>
  <w15:docId w15:val="{A8EE4611-B6FA-4F82-8C6E-29D171C08EB2}"/>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footer" Target="footer1.xml"/>
  <Relationship Id="rId7" Type="http://schemas.openxmlformats.org/officeDocument/2006/relationships/fontTable" Target="fontTable.xml"/>
  <Relationship Id="rId8" Type="http://schemas.openxmlformats.org/officeDocument/2006/relationships/theme" Target="theme/theme1.xml"/>
  <Relationship Id="rId9" Type="http://schemas.openxmlformats.org/officeDocument/2006/relationships/customXml" Target="../customXml/item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lentele" DocPartId="b584d5f2d9f643a3b4efaa93722b4df7" PartId="6dd73260868f408dbebd8e8043448f3f">
    <Part Type="skirsnis" Title="RADVILIŠKIO RAJONO SAVIVALDYBĖS BENDROJO UGDYMO MOKYKLŲ MOKINIŲ VEŽIOJIMO 2026–2030 METAIS UŽTIKRINIMO PLANAS" DocPartId="9378fa6338304529b3b7d9d63210da24" PartId="7fef9356ee6a46a3b1654118bae6260f">
      <Part Type="skyrius" Nr="1" Title="BENDROSIOS NUOSTATOS" DocPartId="6ce226cdd0fa487eb2de17495ea3b8dc" PartId="5b93020934ef4f92a7244bb1a8f7a52f"/>
      <Part Type="skyrius" Nr="2" Title="MOKINIŲ VEŽIMO Į MOKYKLĄ IR ATGAL UŽTIKRINIMO MODELIS" DocPartId="8b137b3e4251408ea3bb9b066a8875ae" PartId="e08619ab5af14378b0947a3a67197c4c"/>
    </Part>
  </Part>
  <Part Type="lentele" DocPartId="94583ee895ea456b8115b653d3893ac7" PartId="fa409d55bc6d49a5859703a93c034aad">
    <Part Type="signatura" DocPartId="896c335604b449c5bf3eaea1fe5a060b" PartId="5dc55e07d75546d2ac1c8e1c1353aa64"/>
  </Part>
</Parts>
</file>

<file path=customXml/itemProps1.xml><?xml version="1.0" encoding="utf-8"?>
<ds:datastoreItem xmlns:ds="http://schemas.openxmlformats.org/officeDocument/2006/customXml" ds:itemID="{2CC9A7E9-1A61-4336-B4A9-FCF711096F79}">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826</Words>
  <Characters>5954</Characters>
  <Application>Microsoft Office Word</Application>
  <DocSecurity>4</DocSecurity>
  <Lines>180</Lines>
  <Paragraphs>72</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6708</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2026-03-30T13:13:00Z</dcterms:created>
  <dc:creator>Judita</dc:creator>
  <lastModifiedBy>adlibuser</lastModifiedBy>
  <dcterms:modified xsi:type="dcterms:W3CDTF">2026-03-30T13:13:00Z</dcterms:modified>
  <revision>2</revision>
</coreProperties>
</file>