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08df0700efcd4c899c6e9869dbbc016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08df0700efcd4c899c6e9869dbbc0161"/>
              <w:lock w:val="sdtLocked"/>
              <w:richText/>
            </w:sdtPr>
            <w:sdtContent>
              <w:r>
                <w:rPr>
                  <w:szCs w:val="24"/>
                  <w:lang w:val="en-US" w:eastAsia="lt-LT"/>
                </w:rPr>
                <w:t>7</w:t>
              </w:r>
            </w:sdtContent>
          </w:sdt>
          <w:r>
            <w:rPr>
              <w:szCs w:val="24"/>
              <w:lang w:eastAsia="lt-LT"/>
            </w:rPr>
            <w:t xml:space="preserve"> priedas</w:t>
          </w:r>
        </w:p>
        <w:p>
          <w:pPr>
            <w:tabs>
              <w:tab w:val="center" w:pos="4153"/>
              <w:tab w:val="right" w:pos="8306"/>
            </w:tabs>
            <w:jc w:val="both"/>
            <w:rPr>
              <w:lang w:val="en-GB"/>
            </w:rPr>
          </w:pPr>
        </w:p>
        <w:p>
          <w:pPr>
            <w:rPr>
              <w:sz w:val="20"/>
            </w:rPr>
          </w:pPr>
        </w:p>
        <w:p>
          <w:pPr>
            <w:ind w:firstLine="48"/>
            <w:jc w:val="center"/>
            <w:rPr>
              <w:rFonts w:eastAsia="Calibri"/>
              <w:b/>
              <w:szCs w:val="24"/>
            </w:rPr>
          </w:pPr>
          <w:sdt>
            <w:sdtPr>
              <w:alias w:val="Pavadinimas"/>
              <w:tag w:val="title_08df0700efcd4c899c6e9869dbbc0161"/>
              <w:lock w:val="sdtLocked"/>
              <w:richText/>
            </w:sdtPr>
            <w:sdtContent>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finansuojamos p</w:t>
              </w:r>
              <w:r>
                <w:rPr>
                  <w:rFonts w:eastAsia="Calibri"/>
                  <w:b/>
                  <w:bCs/>
                  <w:szCs w:val="24"/>
                </w:rPr>
                <w:t>sichikos sveikatos puoselėjimo komunikacijos kampanijos</w:t>
              </w:r>
              <w:r>
                <w:rPr>
                  <w:rFonts w:eastAsia="Calibri"/>
                  <w:b/>
                  <w:szCs w:val="24"/>
                </w:rPr>
                <w:t xml:space="preserve"> paraiškos vertinimo klausimyno forma)</w:t>
              </w:r>
            </w:sdtContent>
          </w:sdt>
        </w:p>
        <w:p>
          <w:pPr>
            <w:ind w:right="140"/>
            <w:jc w:val="center"/>
            <w:rPr>
              <w:b/>
              <w:szCs w:val="24"/>
              <w:lang w:val="en-GB"/>
            </w:rPr>
          </w:pPr>
        </w:p>
        <w:p>
          <w:pPr>
            <w:ind w:firstLine="9548"/>
            <w:jc w:val="both"/>
            <w:rPr>
              <w:szCs w:val="24"/>
            </w:rPr>
          </w:pPr>
          <w:r>
            <w:rPr>
              <w:szCs w:val="24"/>
            </w:rPr>
            <w:t>_</w:t>
          </w:r>
        </w:p>
        <w:p>
          <w:pPr>
            <w:jc w:val="center"/>
            <w:rPr>
              <w:szCs w:val="24"/>
            </w:rPr>
          </w:pPr>
          <w:r>
            <w:rPr>
              <w:szCs w:val="24"/>
            </w:rPr>
            <w:t>(projekto registracijos numeris, organizacijos pavadinimas)</w:t>
          </w:r>
        </w:p>
        <w:p>
          <w:pPr>
            <w:jc w:val="both"/>
            <w:rPr>
              <w:szCs w:val="24"/>
            </w:rPr>
          </w:pPr>
        </w:p>
        <w:p>
          <w:pPr>
            <w:ind w:firstLine="9548"/>
            <w:jc w:val="both"/>
            <w:rPr>
              <w:szCs w:val="24"/>
            </w:rPr>
          </w:pPr>
          <w:r>
            <w:rPr>
              <w:szCs w:val="24"/>
            </w:rPr>
            <w:t>_</w:t>
          </w:r>
        </w:p>
        <w:p>
          <w:pPr>
            <w:jc w:val="center"/>
            <w:rPr>
              <w:szCs w:val="24"/>
            </w:rPr>
          </w:pPr>
          <w:r>
            <w:rPr>
              <w:szCs w:val="24"/>
            </w:rPr>
            <w:t>(projekto pavadinimas</w:t>
          </w:r>
        </w:p>
        <w:p>
          <w:pPr>
            <w:jc w:val="center"/>
            <w:rPr>
              <w:szCs w:val="24"/>
            </w:rPr>
          </w:pPr>
        </w:p>
        <w:sdt>
          <w:sdtPr>
            <w:alias w:val="skirsnis"/>
            <w:tag w:val="part_32ba1ad501594945adafa862e300b7b2"/>
            <w:lock w:val="sdtLocked"/>
            <w:richText/>
          </w:sdtPr>
          <w:sdtContent>
            <w:p>
              <w:pPr>
                <w:spacing w:line="240" w:lineRule="atLeast"/>
                <w:jc w:val="center"/>
                <w:rPr>
                  <w:rFonts w:eastAsia="Calibri"/>
                  <w:b/>
                  <w:szCs w:val="24"/>
                </w:rPr>
              </w:pPr>
              <w:sdt>
                <w:sdtPr>
                  <w:alias w:val="Pavadinimas"/>
                  <w:tag w:val="title_32ba1ad501594945adafa862e300b7b2"/>
                  <w:lock w:val="sdtLocked"/>
                  <w:richText/>
                </w:sdtPr>
                <w:sdtContent>
                  <w:r>
                    <w:rPr>
                      <w:rFonts w:eastAsia="Calibri"/>
                      <w:b/>
                      <w:bCs/>
                      <w:szCs w:val="24"/>
                    </w:rPr>
                    <w:t>VALSTYBINIO VISUOMENĖS SVEIKATOS STIPRINIMO FONDO LĖŠOMIS</w:t>
                  </w:r>
                  <w:r>
                    <w:rPr>
                      <w:rFonts w:eastAsia="Calibri"/>
                      <w:b/>
                      <w:szCs w:val="24"/>
                    </w:rPr>
                    <w:t xml:space="preserve"> FINANSUOJAMOS </w:t>
                  </w:r>
                  <w:r>
                    <w:rPr>
                      <w:rFonts w:eastAsia="Calibri"/>
                      <w:b/>
                      <w:bCs/>
                      <w:szCs w:val="24"/>
                    </w:rPr>
                    <w:t>PSICHIKOS SVEIKATOS PUOSELĖJIMO KOMUNIKACIJOS KAMPANIJOS</w:t>
                  </w:r>
                  <w:r>
                    <w:rPr>
                      <w:rFonts w:eastAsia="Calibri"/>
                      <w:b/>
                      <w:szCs w:val="24"/>
                    </w:rPr>
                    <w:t xml:space="preserve"> PARAIŠKOS VERTINIMO KLAUSIMYNAS</w:t>
                  </w:r>
                </w:sdtContent>
              </w:sdt>
            </w:p>
            <w:p>
              <w:pPr>
                <w:rPr>
                  <w:sz w:val="10"/>
                  <w:szCs w:val="10"/>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jc w:val="center"/>
                <w:rPr>
                  <w:spacing w:val="-2"/>
                  <w:szCs w:val="24"/>
                  <w:lang w:val="en-GB"/>
                </w:rPr>
              </w:pPr>
              <w:r>
                <w:rPr>
                  <w:spacing w:val="-2"/>
                  <w:szCs w:val="24"/>
                  <w:lang w:val="en-GB"/>
                </w:rPr>
                <w:t>______________________________....Nr. EVF-</w:t>
              </w:r>
            </w:p>
            <w:p>
              <w:pPr>
                <w:jc w:val="center"/>
                <w:rPr>
                  <w:szCs w:val="24"/>
                </w:rPr>
              </w:pPr>
              <w:r>
                <w:rPr>
                  <w:szCs w:val="24"/>
                </w:rPr>
                <w:t>(dokumento registravimo data ir numeris)</w:t>
              </w:r>
            </w:p>
            <w:p>
              <w:pPr>
                <w:jc w:val="both"/>
                <w:rPr>
                  <w:szCs w:val="24"/>
                </w:rPr>
              </w:pPr>
            </w:p>
            <w:p>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0"/>
                <w:gridCol w:w="1172"/>
                <w:gridCol w:w="1172"/>
              </w:tblGrid>
              <w:tr>
                <w:trPr>
                  <w:trHeight w:val="160"/>
                  <w:jc w:val="center"/>
                </w:trPr>
                <w:tc>
                  <w:tcPr>
                    <w:tcW w:w="7540"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trPr>
                  <w:trHeight w:val="614"/>
                  <w:jc w:val="center"/>
                </w:trPr>
                <w:tc>
                  <w:tcPr>
                    <w:tcW w:w="7540"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Ar projektas atitinka Valstybinio visuomenės sveikatos stiprinimo fondo tarybos patvirtintą einamaisiais metais finansuojamų projektų prioritetą, veiklą ir priemonę?</w:t>
                    </w: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4058"/>
                <w:gridCol w:w="1628"/>
                <w:gridCol w:w="10"/>
                <w:gridCol w:w="1539"/>
                <w:gridCol w:w="10"/>
                <w:gridCol w:w="1696"/>
                <w:gridCol w:w="17"/>
              </w:tblGrid>
              <w:tr>
                <w:trPr>
                  <w:gridAfter w:val="1"/>
                  <w:wAfter w:w="17" w:type="dxa"/>
                  <w:trHeight w:val="699"/>
                  <w:jc w:val="center"/>
                </w:trPr>
                <w:tc>
                  <w:tcPr>
                    <w:tcW w:w="1012" w:type="dxa"/>
                    <w:shd w:val="clear" w:color="auto" w:fill="auto"/>
                    <w:noWrap/>
                    <w:vAlign w:val="center"/>
                    <w:hideMark/>
                  </w:tcPr>
                  <w:p>
                    <w:pPr>
                      <w:jc w:val="both"/>
                      <w:rPr>
                        <w:b/>
                        <w:bCs/>
                        <w:color w:val="000000"/>
                        <w:szCs w:val="24"/>
                        <w:lang w:eastAsia="lt-LT"/>
                      </w:rPr>
                    </w:pPr>
                    <w:r>
                      <w:rPr>
                        <w:b/>
                        <w:bCs/>
                        <w:color w:val="000000"/>
                        <w:szCs w:val="24"/>
                        <w:lang w:eastAsia="lt-LT"/>
                      </w:rPr>
                      <w:t>Eil. Nr.</w:t>
                    </w:r>
                  </w:p>
                </w:tc>
                <w:tc>
                  <w:tcPr>
                    <w:tcW w:w="4058" w:type="dxa"/>
                    <w:shd w:val="clear" w:color="auto" w:fill="auto"/>
                    <w:vAlign w:val="center"/>
                    <w:hideMark/>
                  </w:tcPr>
                  <w:p>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pPr>
                      <w:jc w:val="center"/>
                      <w:rPr>
                        <w:b/>
                        <w:bCs/>
                        <w:szCs w:val="24"/>
                        <w:lang w:eastAsia="lt-LT"/>
                      </w:rPr>
                    </w:pPr>
                    <w:r>
                      <w:rPr>
                        <w:b/>
                        <w:bCs/>
                        <w:szCs w:val="24"/>
                        <w:lang w:eastAsia="lt-LT"/>
                      </w:rPr>
                      <w:t>Galimi skirti balai</w:t>
                    </w:r>
                  </w:p>
                  <w:p>
                    <w:pPr>
                      <w:jc w:val="center"/>
                      <w:rPr>
                        <w:bCs/>
                        <w:i/>
                        <w:szCs w:val="24"/>
                        <w:lang w:eastAsia="lt-LT"/>
                      </w:rPr>
                    </w:pPr>
                    <w:r>
                      <w:rPr>
                        <w:bCs/>
                        <w:i/>
                        <w:szCs w:val="24"/>
                        <w:lang w:eastAsia="lt-LT"/>
                      </w:rPr>
                      <w:t>(imtinai)</w:t>
                    </w:r>
                  </w:p>
                </w:tc>
                <w:tc>
                  <w:tcPr>
                    <w:tcW w:w="1549" w:type="dxa"/>
                    <w:gridSpan w:val="2"/>
                    <w:shd w:val="clear" w:color="auto" w:fill="auto"/>
                    <w:vAlign w:val="center"/>
                    <w:hideMark/>
                  </w:tcPr>
                  <w:p>
                    <w:pPr>
                      <w:jc w:val="center"/>
                      <w:rPr>
                        <w:b/>
                        <w:bCs/>
                        <w:color w:val="000000"/>
                        <w:szCs w:val="24"/>
                        <w:lang w:eastAsia="lt-LT"/>
                      </w:rPr>
                    </w:pPr>
                    <w:r>
                      <w:rPr>
                        <w:b/>
                        <w:bCs/>
                        <w:color w:val="000000"/>
                        <w:szCs w:val="24"/>
                        <w:lang w:eastAsia="lt-LT"/>
                      </w:rPr>
                      <w:t>Vertintojo įvertinimas balais</w:t>
                    </w:r>
                  </w:p>
                </w:tc>
                <w:tc>
                  <w:tcPr>
                    <w:tcW w:w="1706" w:type="dxa"/>
                    <w:gridSpan w:val="2"/>
                  </w:tcPr>
                  <w:p>
                    <w:pPr>
                      <w:jc w:val="center"/>
                      <w:rPr>
                        <w:b/>
                        <w:bCs/>
                        <w:color w:val="000000"/>
                        <w:szCs w:val="24"/>
                        <w:lang w:eastAsia="lt-LT"/>
                      </w:rPr>
                    </w:pPr>
                    <w:r>
                      <w:rPr>
                        <w:b/>
                        <w:bCs/>
                        <w:color w:val="000000"/>
                        <w:szCs w:val="24"/>
                        <w:lang w:eastAsia="lt-LT"/>
                      </w:rPr>
                      <w:t>Skiriamų balų pagrindimas</w:t>
                    </w: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1.</w:t>
                    </w:r>
                  </w:p>
                </w:tc>
                <w:tc>
                  <w:tcPr>
                    <w:tcW w:w="4058" w:type="dxa"/>
                    <w:shd w:val="clear" w:color="auto" w:fill="auto"/>
                    <w:vAlign w:val="center"/>
                  </w:tcPr>
                  <w:p>
                    <w:pPr>
                      <w:jc w:val="both"/>
                      <w:rPr>
                        <w:b/>
                        <w:color w:val="000000"/>
                        <w:szCs w:val="24"/>
                        <w:lang w:eastAsia="lt-LT"/>
                      </w:rPr>
                    </w:pPr>
                    <w:r>
                      <w:rPr>
                        <w:b/>
                        <w:color w:val="000000"/>
                        <w:szCs w:val="24"/>
                        <w:lang w:eastAsia="lt-LT"/>
                      </w:rPr>
                      <w:t>Auditorijos pasiekiamumas ir konsorciumo dydis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1.1.</w:t>
                    </w:r>
                  </w:p>
                </w:tc>
                <w:tc>
                  <w:tcPr>
                    <w:tcW w:w="4058" w:type="dxa"/>
                    <w:shd w:val="clear" w:color="auto" w:fill="auto"/>
                    <w:vAlign w:val="center"/>
                  </w:tcPr>
                  <w:p>
                    <w:pPr>
                      <w:jc w:val="both"/>
                      <w:rPr>
                        <w:b/>
                        <w:color w:val="000000"/>
                        <w:szCs w:val="24"/>
                        <w:lang w:eastAsia="lt-LT"/>
                      </w:rPr>
                    </w:pPr>
                    <w:r>
                      <w:rPr>
                        <w:b/>
                        <w:color w:val="000000"/>
                        <w:szCs w:val="24"/>
                        <w:lang w:eastAsia="lt-LT"/>
                      </w:rPr>
                      <w:t>Internetinės naujienų svetainės, kurių konsorciumą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1.1.1.</w:t>
                    </w:r>
                  </w:p>
                </w:tc>
                <w:tc>
                  <w:tcPr>
                    <w:tcW w:w="4058" w:type="dxa"/>
                    <w:shd w:val="clear" w:color="auto" w:fill="auto"/>
                    <w:vAlign w:val="center"/>
                  </w:tcPr>
                  <w:p>
                    <w:pPr>
                      <w:jc w:val="both"/>
                      <w:rPr>
                        <w:szCs w:val="24"/>
                        <w:lang w:eastAsia="lt-LT"/>
                      </w:rPr>
                    </w:pPr>
                    <w:r>
                      <w:rPr>
                        <w:szCs w:val="24"/>
                        <w:lang w:eastAsia="lt-LT"/>
                      </w:rPr>
                      <w:t xml:space="preserve">ne mažiau kaip 3 naujienų portalai, iš kurių bent vieno  vidutinis dienos realių vartotojų  (angl. </w:t>
                    </w:r>
                    <w:r>
                      <w:rPr>
                        <w:i/>
                        <w:iCs/>
                        <w:szCs w:val="24"/>
                        <w:lang w:eastAsia="lt-LT"/>
                      </w:rPr>
                      <w:t>average Daily Real Users</w:t>
                    </w:r>
                    <w:r>
                      <w:rPr>
                        <w:szCs w:val="24"/>
                        <w:lang w:eastAsia="lt-LT"/>
                      </w:rPr>
                      <w:t xml:space="preserve">) skaičius ne mažiau kaip 400 000. Šaltinis: </w:t>
                    </w:r>
                    <w:r>
                      <w:rPr>
                        <w:szCs w:val="24"/>
                        <w:lang w:eastAsia="lt-LT"/>
                      </w:rPr>
                      <w:t>www.gemius.lt</w:t>
                    </w:r>
                    <w:r>
                      <w:rPr>
                        <w:szCs w:val="24"/>
                        <w:lang w:eastAsia="lt-LT"/>
                      </w:rPr>
                      <w:t xml:space="preserve"> 2022 m. sausio mėn.)</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1.1.2.</w:t>
                    </w:r>
                  </w:p>
                </w:tc>
                <w:tc>
                  <w:tcPr>
                    <w:tcW w:w="4058" w:type="dxa"/>
                    <w:shd w:val="clear" w:color="auto" w:fill="auto"/>
                    <w:vAlign w:val="center"/>
                  </w:tcPr>
                  <w:p>
                    <w:pPr>
                      <w:jc w:val="both"/>
                      <w:rPr>
                        <w:szCs w:val="24"/>
                        <w:lang w:eastAsia="lt-LT"/>
                      </w:rPr>
                    </w:pPr>
                    <w:r>
                      <w:rPr>
                        <w:rFonts w:eastAsia="Calibri"/>
                        <w:szCs w:val="24"/>
                      </w:rPr>
                      <w:t xml:space="preserve">ne mažiau kaip 2 naujienų portalai, kurių bent vieno vidutinis dienos  realių vartotojų  (angl. </w:t>
                    </w:r>
                    <w:r>
                      <w:rPr>
                        <w:rFonts w:eastAsia="Calibri"/>
                        <w:i/>
                        <w:iCs/>
                        <w:szCs w:val="24"/>
                      </w:rPr>
                      <w:t>average Daily Real Users</w:t>
                    </w:r>
                    <w:r>
                      <w:rPr>
                        <w:rFonts w:eastAsia="Calibri"/>
                        <w:szCs w:val="24"/>
                      </w:rPr>
                      <w:t>) skaičius ne mažiau kaip 200 000. </w:t>
                    </w:r>
                    <w:r>
                      <w:rPr>
                        <w:szCs w:val="24"/>
                        <w:lang w:eastAsia="lt-LT"/>
                      </w:rPr>
                      <w:t xml:space="preserve">Šaltinis: </w:t>
                    </w:r>
                    <w:r>
                      <w:rPr>
                        <w:szCs w:val="24"/>
                        <w:lang w:eastAsia="lt-LT"/>
                      </w:rPr>
                      <w:t>www.gemius.lt</w:t>
                    </w:r>
                    <w:r>
                      <w:rPr>
                        <w:szCs w:val="24"/>
                        <w:lang w:eastAsia="lt-LT"/>
                      </w:rPr>
                      <w:t xml:space="preserve"> 2022 m. sausio mėn.)</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1.1.3.</w:t>
                    </w:r>
                  </w:p>
                </w:tc>
                <w:tc>
                  <w:tcPr>
                    <w:tcW w:w="4058" w:type="dxa"/>
                    <w:shd w:val="clear" w:color="auto" w:fill="auto"/>
                    <w:vAlign w:val="center"/>
                  </w:tcPr>
                  <w:p>
                    <w:pPr>
                      <w:jc w:val="both"/>
                      <w:rPr>
                        <w:szCs w:val="24"/>
                        <w:lang w:eastAsia="lt-LT"/>
                      </w:rPr>
                    </w:pPr>
                    <w:r>
                      <w:rPr>
                        <w:rFonts w:eastAsia="Calibri"/>
                        <w:szCs w:val="24"/>
                      </w:rPr>
                      <w:t>ne mažiau kaip 2 naujienų portalai,</w:t>
                    </w:r>
                    <w:r>
                      <w:rPr>
                        <w:rFonts w:ascii="Calibri" w:eastAsia="Calibri" w:hAnsi="Calibri"/>
                        <w:sz w:val="22"/>
                        <w:szCs w:val="22"/>
                      </w:rPr>
                      <w:t xml:space="preserve"> </w:t>
                    </w:r>
                    <w:r>
                      <w:rPr>
                        <w:rFonts w:eastAsia="Calibri"/>
                        <w:szCs w:val="24"/>
                      </w:rPr>
                      <w:t>iš kurių</w:t>
                    </w:r>
                    <w:r>
                      <w:rPr>
                        <w:rFonts w:ascii="Calibri" w:eastAsia="Calibri" w:hAnsi="Calibri"/>
                        <w:sz w:val="22"/>
                        <w:szCs w:val="22"/>
                      </w:rPr>
                      <w:t xml:space="preserve"> </w:t>
                    </w:r>
                    <w:r>
                      <w:rPr>
                        <w:rFonts w:eastAsia="Calibri"/>
                        <w:szCs w:val="24"/>
                      </w:rPr>
                      <w:t xml:space="preserve">bent vieno vidutinis dienos  realių vartotojų  (angl. </w:t>
                    </w:r>
                    <w:r>
                      <w:rPr>
                        <w:rFonts w:eastAsia="Calibri"/>
                        <w:i/>
                        <w:iCs/>
                        <w:szCs w:val="24"/>
                      </w:rPr>
                      <w:t>average Daily Real Users</w:t>
                    </w:r>
                    <w:r>
                      <w:rPr>
                        <w:rFonts w:eastAsia="Calibri"/>
                        <w:szCs w:val="24"/>
                      </w:rPr>
                      <w:t>) skaičius  ne mažiau kaip 150 000. </w:t>
                    </w:r>
                    <w:r>
                      <w:rPr>
                        <w:szCs w:val="24"/>
                        <w:lang w:eastAsia="lt-LT"/>
                      </w:rPr>
                      <w:t xml:space="preserve">Šaltinis: </w:t>
                    </w:r>
                    <w:r>
                      <w:rPr>
                        <w:szCs w:val="24"/>
                        <w:lang w:eastAsia="lt-LT"/>
                      </w:rPr>
                      <w:t>www.gemius.lt</w:t>
                    </w:r>
                    <w:r>
                      <w:rPr>
                        <w:szCs w:val="24"/>
                        <w:lang w:eastAsia="lt-LT"/>
                      </w:rPr>
                      <w:t xml:space="preserve"> 2022 m. sausio mėn.)</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1.1.4.</w:t>
                    </w:r>
                  </w:p>
                </w:tc>
                <w:tc>
                  <w:tcPr>
                    <w:tcW w:w="4058" w:type="dxa"/>
                    <w:shd w:val="clear" w:color="auto" w:fill="auto"/>
                    <w:vAlign w:val="center"/>
                  </w:tcPr>
                  <w:p>
                    <w:pPr>
                      <w:jc w:val="both"/>
                      <w:rPr>
                        <w:rFonts w:eastAsia="Calibri"/>
                        <w:szCs w:val="24"/>
                      </w:rPr>
                    </w:pPr>
                    <w:r>
                      <w:rPr>
                        <w:rFonts w:eastAsia="Calibri"/>
                        <w:szCs w:val="24"/>
                      </w:rPr>
                      <w:t>mažiau kaip 2 naujienų portalai</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1.2.</w:t>
                    </w:r>
                  </w:p>
                </w:tc>
                <w:tc>
                  <w:tcPr>
                    <w:tcW w:w="4058" w:type="dxa"/>
                    <w:shd w:val="clear" w:color="auto" w:fill="auto"/>
                    <w:vAlign w:val="center"/>
                  </w:tcPr>
                  <w:p>
                    <w:pPr>
                      <w:jc w:val="both"/>
                      <w:rPr>
                        <w:b/>
                        <w:szCs w:val="24"/>
                        <w:lang w:eastAsia="lt-LT"/>
                      </w:rPr>
                    </w:pPr>
                    <w:r>
                      <w:rPr>
                        <w:b/>
                        <w:szCs w:val="24"/>
                        <w:lang w:eastAsia="lt-LT"/>
                      </w:rPr>
                      <w:t>Nacionalinės televizijos programų konsorciumas, kurį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1.2.1</w:t>
                    </w:r>
                  </w:p>
                </w:tc>
                <w:tc>
                  <w:tcPr>
                    <w:tcW w:w="4058" w:type="dxa"/>
                    <w:shd w:val="clear" w:color="auto" w:fill="auto"/>
                    <w:vAlign w:val="center"/>
                  </w:tcPr>
                  <w:p>
                    <w:pPr>
                      <w:jc w:val="both"/>
                      <w:rPr>
                        <w:szCs w:val="24"/>
                        <w:lang w:eastAsia="lt-LT"/>
                      </w:rPr>
                    </w:pPr>
                    <w:r>
                      <w:rPr>
                        <w:szCs w:val="24"/>
                        <w:lang w:eastAsia="lt-LT"/>
                      </w:rPr>
                      <w:t xml:space="preserve">ne mažiau kaip 4 nacionalinės televizijos programos </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1.2.2.</w:t>
                    </w:r>
                  </w:p>
                </w:tc>
                <w:tc>
                  <w:tcPr>
                    <w:tcW w:w="4058" w:type="dxa"/>
                    <w:tcBorders>
                      <w:bottom w:val="single" w:sz="4" w:space="0" w:color="auto"/>
                    </w:tcBorders>
                    <w:shd w:val="clear" w:color="auto" w:fill="auto"/>
                    <w:vAlign w:val="center"/>
                  </w:tcPr>
                  <w:p>
                    <w:pPr>
                      <w:jc w:val="both"/>
                      <w:rPr>
                        <w:szCs w:val="24"/>
                        <w:lang w:eastAsia="lt-LT"/>
                      </w:rPr>
                    </w:pPr>
                    <w:r>
                      <w:rPr>
                        <w:szCs w:val="24"/>
                        <w:lang w:eastAsia="lt-LT"/>
                      </w:rPr>
                      <w:t>ne mažiau kaip 3 nacionalinės televizijos programos</w:t>
                    </w:r>
                  </w:p>
                </w:tc>
                <w:tc>
                  <w:tcPr>
                    <w:tcW w:w="1628" w:type="dxa"/>
                    <w:tcBorders>
                      <w:bottom w:val="single" w:sz="4" w:space="0" w:color="auto"/>
                    </w:tcBorders>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1.2.3.</w:t>
                    </w:r>
                  </w:p>
                </w:tc>
                <w:tc>
                  <w:tcPr>
                    <w:tcW w:w="4058" w:type="dxa"/>
                    <w:shd w:val="clear" w:color="auto" w:fill="auto"/>
                    <w:vAlign w:val="center"/>
                  </w:tcPr>
                  <w:p>
                    <w:pPr>
                      <w:jc w:val="both"/>
                      <w:rPr>
                        <w:szCs w:val="24"/>
                        <w:lang w:eastAsia="lt-LT"/>
                      </w:rPr>
                    </w:pPr>
                    <w:r>
                      <w:rPr>
                        <w:szCs w:val="24"/>
                        <w:lang w:eastAsia="lt-LT"/>
                      </w:rPr>
                      <w:t>ne mažiau kaip 2 nacionalinės televizijos programos</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1.2.4.</w:t>
                    </w:r>
                  </w:p>
                </w:tc>
                <w:tc>
                  <w:tcPr>
                    <w:tcW w:w="4058" w:type="dxa"/>
                    <w:shd w:val="clear" w:color="auto" w:fill="auto"/>
                    <w:vAlign w:val="center"/>
                  </w:tcPr>
                  <w:p>
                    <w:pPr>
                      <w:jc w:val="both"/>
                      <w:rPr>
                        <w:szCs w:val="24"/>
                        <w:lang w:eastAsia="lt-LT"/>
                      </w:rPr>
                    </w:pPr>
                    <w:r>
                      <w:rPr>
                        <w:szCs w:val="24"/>
                        <w:lang w:eastAsia="lt-LT"/>
                      </w:rPr>
                      <w:t xml:space="preserve">mažiau kaip 2 nacionalinės televizijos programos  </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b/>
                        <w:szCs w:val="24"/>
                        <w:lang w:eastAsia="lt-LT"/>
                      </w:rPr>
                    </w:pPr>
                    <w:r>
                      <w:rPr>
                        <w:b/>
                        <w:szCs w:val="24"/>
                        <w:lang w:eastAsia="lt-LT"/>
                      </w:rPr>
                      <w:t>1.3.</w:t>
                    </w:r>
                  </w:p>
                </w:tc>
                <w:tc>
                  <w:tcPr>
                    <w:tcW w:w="4058" w:type="dxa"/>
                    <w:shd w:val="clear" w:color="auto" w:fill="auto"/>
                    <w:vAlign w:val="center"/>
                  </w:tcPr>
                  <w:p>
                    <w:pPr>
                      <w:jc w:val="both"/>
                      <w:rPr>
                        <w:b/>
                        <w:szCs w:val="24"/>
                        <w:lang w:eastAsia="lt-LT"/>
                      </w:rPr>
                    </w:pPr>
                    <w:r>
                      <w:rPr>
                        <w:b/>
                        <w:szCs w:val="24"/>
                        <w:lang w:eastAsia="lt-LT"/>
                      </w:rPr>
                      <w:t>Lauko reklamos konsorciumas, kurį sudaro:</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1842"/>
                  <w:jc w:val="center"/>
                </w:trPr>
                <w:tc>
                  <w:tcPr>
                    <w:tcW w:w="1012" w:type="dxa"/>
                    <w:shd w:val="clear" w:color="auto" w:fill="auto"/>
                    <w:noWrap/>
                    <w:vAlign w:val="center"/>
                  </w:tcPr>
                  <w:p>
                    <w:pPr>
                      <w:jc w:val="both"/>
                      <w:rPr>
                        <w:szCs w:val="24"/>
                      </w:rPr>
                    </w:pPr>
                    <w:r>
                      <w:rPr>
                        <w:szCs w:val="24"/>
                      </w:rPr>
                      <w:t>1.3.1.</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szCs w:val="24"/>
                      </w:rPr>
                    </w:pPr>
                    <w:r>
                      <w:rPr>
                        <w:szCs w:val="24"/>
                      </w:rPr>
                      <w:t xml:space="preserve">tiekėjai, kurie lauko reklamos paslaugas teikia  ne mažiau kaip 7 savivaldybėse (apimančiose bent 2 iš 7 didžiausių Lietuvos miestų), turi bent 2 skirtingų formatų išorinės reklamos įrenginius (įskaitant didžiojo ir mažojo formato įrenginius), kurių ne mažiau kaip 80 proc. yra su apšvietimu</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1.3.2.</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rFonts w:ascii="Calibri" w:hAnsi="Calibri"/>
                        <w:szCs w:val="24"/>
                      </w:rPr>
                    </w:pPr>
                    <w:r>
                      <w:rPr>
                        <w:szCs w:val="24"/>
                      </w:rPr>
                      <w:t xml:space="preserve">tiekėjai, kurie lauko reklamos paslaugas teikia  ne mažiau kaip 5 savivaldybėse (apimančiose bent 2 iš 10 didžiausių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948"/>
                  <w:jc w:val="center"/>
                </w:trPr>
                <w:tc>
                  <w:tcPr>
                    <w:tcW w:w="1012" w:type="dxa"/>
                    <w:shd w:val="clear" w:color="auto" w:fill="auto"/>
                    <w:noWrap/>
                    <w:vAlign w:val="center"/>
                  </w:tcPr>
                  <w:p>
                    <w:pPr>
                      <w:jc w:val="both"/>
                      <w:rPr>
                        <w:szCs w:val="24"/>
                        <w:lang w:eastAsia="lt-LT"/>
                      </w:rPr>
                    </w:pPr>
                    <w:r>
                      <w:rPr>
                        <w:szCs w:val="24"/>
                        <w:lang w:eastAsia="lt-LT"/>
                      </w:rPr>
                      <w:t>1.3.3.</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rFonts w:ascii="Calibri" w:hAnsi="Calibri"/>
                        <w:szCs w:val="24"/>
                      </w:rPr>
                    </w:pPr>
                    <w:r>
                      <w:rPr>
                        <w:szCs w:val="24"/>
                      </w:rPr>
                      <w:t xml:space="preserve">tiekėjai, kurie lauko reklamos paslaugas teikia  ne mažiau kaip 3 savivaldybėse (apimančiose bent </w:t>
                    </w:r>
                    <w:r>
                      <w:rPr>
                        <w:szCs w:val="24"/>
                        <w:lang w:val="en-US"/>
                      </w:rPr>
                      <w:t>1 i</w:t>
                    </w:r>
                    <w:r>
                      <w:rPr>
                        <w:szCs w:val="24"/>
                      </w:rPr>
                      <w:t xml:space="preserve">š </w:t>
                    </w:r>
                    <w:r>
                      <w:rPr>
                        <w:szCs w:val="24"/>
                        <w:lang w:val="en-US"/>
                      </w:rPr>
                      <w:t>10 did</w:t>
                    </w:r>
                    <w:r>
                      <w:rPr>
                        <w:szCs w:val="24"/>
                      </w:rPr>
                      <w:t>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val="en-US" w:eastAsia="lt-LT"/>
                      </w:rPr>
                    </w:pPr>
                    <w:r>
                      <w:rPr>
                        <w:b/>
                        <w:szCs w:val="24"/>
                        <w:lang w:val="en-US"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948"/>
                  <w:jc w:val="center"/>
                </w:trPr>
                <w:tc>
                  <w:tcPr>
                    <w:tcW w:w="1012" w:type="dxa"/>
                    <w:shd w:val="clear" w:color="auto" w:fill="auto"/>
                    <w:noWrap/>
                    <w:vAlign w:val="center"/>
                  </w:tcPr>
                  <w:p>
                    <w:pPr>
                      <w:jc w:val="both"/>
                      <w:rPr>
                        <w:szCs w:val="24"/>
                        <w:lang w:eastAsia="lt-LT"/>
                      </w:rPr>
                    </w:pPr>
                    <w:r>
                      <w:rPr>
                        <w:szCs w:val="24"/>
                        <w:lang w:eastAsia="lt-LT"/>
                      </w:rPr>
                      <w:t>1.3.4.</w:t>
                    </w:r>
                  </w:p>
                </w:tc>
                <w:tc>
                  <w:tcPr>
                    <w:tcW w:w="4058" w:type="dxa"/>
                    <w:tcBorders>
                      <w:top w:val="single" w:sz="4" w:space="0" w:color="auto"/>
                      <w:left w:val="nil"/>
                      <w:bottom w:val="single" w:sz="4" w:space="0" w:color="auto"/>
                      <w:right w:val="single" w:sz="4" w:space="0" w:color="auto"/>
                    </w:tcBorders>
                    <w:vAlign w:val="center"/>
                  </w:tcPr>
                  <w:p>
                    <w:pPr>
                      <w:spacing w:line="276" w:lineRule="auto"/>
                      <w:jc w:val="both"/>
                      <w:rPr>
                        <w:szCs w:val="24"/>
                      </w:rPr>
                    </w:pPr>
                    <w:r>
                      <w:rPr>
                        <w:szCs w:val="24"/>
                      </w:rPr>
                      <w:t xml:space="preserve">tiekėjai, kurie lauko reklamos paslaugas teikia  mažiau kaip 3 savivaldybėse </w:t>
                    </w:r>
                  </w:p>
                </w:tc>
                <w:tc>
                  <w:tcPr>
                    <w:tcW w:w="1628" w:type="dxa"/>
                    <w:tcBorders>
                      <w:top w:val="single" w:sz="4" w:space="0" w:color="auto"/>
                      <w:left w:val="single" w:sz="4" w:space="0" w:color="auto"/>
                      <w:bottom w:val="single" w:sz="4" w:space="0" w:color="auto"/>
                    </w:tcBorders>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szCs w:val="24"/>
                        <w:lang w:eastAsia="lt-LT"/>
                      </w:rPr>
                    </w:pPr>
                    <w:r>
                      <w:rPr>
                        <w:b/>
                        <w:szCs w:val="24"/>
                        <w:lang w:eastAsia="lt-LT"/>
                      </w:rPr>
                      <w:t>1.4.</w:t>
                    </w:r>
                  </w:p>
                </w:tc>
                <w:tc>
                  <w:tcPr>
                    <w:tcW w:w="4058" w:type="dxa"/>
                    <w:shd w:val="clear" w:color="auto" w:fill="auto"/>
                    <w:vAlign w:val="center"/>
                  </w:tcPr>
                  <w:p>
                    <w:pPr>
                      <w:jc w:val="both"/>
                      <w:rPr>
                        <w:b/>
                        <w:szCs w:val="24"/>
                        <w:lang w:eastAsia="lt-LT"/>
                      </w:rPr>
                    </w:pPr>
                    <w:r>
                      <w:rPr>
                        <w:b/>
                        <w:szCs w:val="24"/>
                        <w:lang w:eastAsia="lt-LT"/>
                      </w:rPr>
                      <w:t>Informacijos sklaida per komunikaciją socialiniuose tinkluose (</w:t>
                    </w:r>
                    <w:r>
                      <w:rPr>
                        <w:b/>
                        <w:i/>
                        <w:iCs/>
                        <w:szCs w:val="24"/>
                        <w:lang w:eastAsia="lt-LT"/>
                      </w:rPr>
                      <w:t>Facebook, Instagram, Youtube, Tik tok, WhatsApp, Pinterest</w:t>
                    </w:r>
                    <w:r>
                      <w:rPr>
                        <w:b/>
                        <w:szCs w:val="24"/>
                        <w:lang w:eastAsia="lt-LT"/>
                      </w:rPr>
                      <w:t xml:space="preserve"> ir kt) </w:t>
                    </w:r>
                  </w:p>
                </w:tc>
                <w:tc>
                  <w:tcPr>
                    <w:tcW w:w="1628" w:type="dxa"/>
                    <w:shd w:val="clear" w:color="auto" w:fill="auto"/>
                    <w:vAlign w:val="center"/>
                  </w:tcPr>
                  <w:p>
                    <w:pPr>
                      <w:jc w:val="center"/>
                      <w:rPr>
                        <w:b/>
                        <w:szCs w:val="24"/>
                        <w:lang w:eastAsia="lt-LT"/>
                      </w:rPr>
                    </w:pP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1.4.1.</w:t>
                    </w:r>
                  </w:p>
                </w:tc>
                <w:tc>
                  <w:tcPr>
                    <w:tcW w:w="4058" w:type="dxa"/>
                    <w:shd w:val="clear" w:color="auto" w:fill="auto"/>
                    <w:vAlign w:val="center"/>
                  </w:tcPr>
                  <w:p>
                    <w:pPr>
                      <w:rPr>
                        <w:szCs w:val="24"/>
                        <w:lang w:eastAsia="lt-LT"/>
                      </w:rPr>
                    </w:pPr>
                    <w:r>
                      <w:rPr>
                        <w:szCs w:val="24"/>
                        <w:lang w:eastAsia="lt-LT"/>
                      </w:rPr>
                      <w:t xml:space="preserve">Užtikrinama:  </w:t>
                    </w:r>
                  </w:p>
                  <w:p>
                    <w:pPr>
                      <w:jc w:val="both"/>
                      <w:rPr>
                        <w:szCs w:val="24"/>
                        <w:lang w:eastAsia="lt-LT"/>
                      </w:rPr>
                    </w:pPr>
                    <w:r>
                      <w:rPr>
                        <w:szCs w:val="24"/>
                        <w:lang w:eastAsia="lt-LT"/>
                      </w:rPr>
                      <w:t xml:space="preserve">a) informacijos sklaida socialiniame tinkle, turinčiame daugiau nei 1,5 mlrd. aktyvių vartotojų (šaltinis </w:t>
                    </w:r>
                    <w:r>
                      <w:rPr>
                        <w:szCs w:val="24"/>
                        <w:lang w:eastAsia="lt-LT"/>
                      </w:rPr>
                      <w:t>www.statista.com</w:t>
                    </w:r>
                    <w:r>
                      <w:rPr>
                        <w:szCs w:val="24"/>
                        <w:lang w:eastAsia="lt-LT"/>
                      </w:rPr>
                      <w:t>, 2022 m. sausio mėn. duomenys));</w:t>
                    </w:r>
                  </w:p>
                  <w:p>
                    <w:pPr>
                      <w:jc w:val="both"/>
                      <w:rPr>
                        <w:szCs w:val="24"/>
                        <w:lang w:eastAsia="lt-LT"/>
                      </w:rPr>
                    </w:pPr>
                    <w:r>
                      <w:rPr>
                        <w:szCs w:val="24"/>
                        <w:lang w:eastAsia="lt-LT"/>
                      </w:rPr>
                      <w:t xml:space="preserve">b) informacijos sklaida ne mažiau kaip dviejuose kituose socialiniuose tinkluose turinčiuose daugiau kaip 1 mlrd. aktyvių vartotojų (šaltinis </w:t>
                    </w:r>
                    <w:r>
                      <w:rPr>
                        <w:szCs w:val="24"/>
                        <w:lang w:eastAsia="lt-LT"/>
                      </w:rPr>
                      <w:t>www.statista.com</w:t>
                    </w:r>
                    <w:r>
                      <w:rPr>
                        <w:szCs w:val="24"/>
                        <w:lang w:eastAsia="lt-LT"/>
                      </w:rPr>
                      <w:t>, 2022 m. sausio mėn. duomenys));</w:t>
                    </w:r>
                  </w:p>
                  <w:p>
                    <w:pPr>
                      <w:jc w:val="both"/>
                      <w:rPr>
                        <w:szCs w:val="24"/>
                        <w:lang w:eastAsia="lt-LT"/>
                      </w:rPr>
                    </w:pPr>
                    <w:r>
                      <w:rPr>
                        <w:szCs w:val="24"/>
                        <w:lang w:eastAsia="lt-LT"/>
                      </w:rPr>
                      <w:t>c) informacijos sklaida per ne mažiau kaip 3 esamus socialinių tinklų naudotojus, turinčius ne mažiau nei 50 000 sekėjų tikslinėse kampanijos auditorijose</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highlight w:val="yellow"/>
                        <w:lang w:eastAsia="lt-LT"/>
                      </w:rPr>
                    </w:pPr>
                    <w:r>
                      <w:rPr>
                        <w:szCs w:val="24"/>
                        <w:lang w:eastAsia="lt-LT"/>
                      </w:rPr>
                      <w:t>1.4.2.</w:t>
                    </w:r>
                  </w:p>
                </w:tc>
                <w:tc>
                  <w:tcPr>
                    <w:tcW w:w="4058" w:type="dxa"/>
                    <w:shd w:val="clear" w:color="auto" w:fill="auto"/>
                    <w:vAlign w:val="center"/>
                  </w:tcPr>
                  <w:p>
                    <w:pPr>
                      <w:rPr>
                        <w:szCs w:val="24"/>
                        <w:lang w:eastAsia="lt-LT"/>
                      </w:rPr>
                    </w:pPr>
                    <w:r>
                      <w:rPr>
                        <w:szCs w:val="24"/>
                        <w:lang w:eastAsia="lt-LT"/>
                      </w:rPr>
                      <w:t xml:space="preserve">Užtikrinama:  </w:t>
                    </w:r>
                  </w:p>
                  <w:p>
                    <w:pPr>
                      <w:jc w:val="both"/>
                      <w:rPr>
                        <w:szCs w:val="24"/>
                        <w:lang w:eastAsia="lt-LT"/>
                      </w:rPr>
                    </w:pPr>
                    <w:r>
                      <w:rPr>
                        <w:szCs w:val="24"/>
                        <w:lang w:eastAsia="lt-LT"/>
                      </w:rPr>
                      <w:t xml:space="preserve">a) informacijos sklaida socialiniame tinkle, turinčiame daugiau nei 1,5 mlrd. aktyvių vartotojų (šaltinis </w:t>
                    </w:r>
                    <w:r>
                      <w:rPr>
                        <w:szCs w:val="24"/>
                        <w:lang w:eastAsia="lt-LT"/>
                      </w:rPr>
                      <w:t>www.statista.com</w:t>
                    </w:r>
                    <w:r>
                      <w:rPr>
                        <w:szCs w:val="24"/>
                        <w:lang w:eastAsia="lt-LT"/>
                      </w:rPr>
                      <w:t>, 2022 m. sausio mėn. duomenys));</w:t>
                    </w:r>
                  </w:p>
                  <w:p>
                    <w:pPr>
                      <w:jc w:val="both"/>
                      <w:rPr>
                        <w:szCs w:val="24"/>
                        <w:lang w:eastAsia="lt-LT"/>
                      </w:rPr>
                    </w:pPr>
                    <w:r>
                      <w:rPr>
                        <w:szCs w:val="24"/>
                        <w:lang w:eastAsia="lt-LT"/>
                      </w:rPr>
                      <w:t xml:space="preserve">b) informacijos sklaida kitame socialiniame tinkle, turinčiame daugiau kaip 1 mlrd. aktyvių vartotojų (šaltinis </w:t>
                    </w:r>
                    <w:r>
                      <w:rPr>
                        <w:szCs w:val="24"/>
                        <w:lang w:eastAsia="lt-LT"/>
                      </w:rPr>
                      <w:t>www.statista.com</w:t>
                    </w:r>
                    <w:r>
                      <w:rPr>
                        <w:szCs w:val="24"/>
                        <w:lang w:eastAsia="lt-LT"/>
                      </w:rPr>
                      <w:t>, 2022 m. sausio mėn. duomenys));</w:t>
                    </w:r>
                  </w:p>
                  <w:p>
                    <w:pPr>
                      <w:jc w:val="both"/>
                      <w:rPr>
                        <w:szCs w:val="24"/>
                        <w:highlight w:val="yellow"/>
                        <w:lang w:eastAsia="lt-LT"/>
                      </w:rPr>
                    </w:pPr>
                    <w:r>
                      <w:rPr>
                        <w:szCs w:val="24"/>
                        <w:lang w:eastAsia="lt-LT"/>
                      </w:rPr>
                      <w:t xml:space="preserve">c) informacijos sklaida per ne mažiau kaip 2  socialinius  tinklus, turinčius ne mažiau nei 40 000 sekėjų tikslinėse kampanijos auditorijose</w:t>
                    </w:r>
                  </w:p>
                </w:tc>
                <w:tc>
                  <w:tcPr>
                    <w:tcW w:w="1628" w:type="dxa"/>
                    <w:shd w:val="clear" w:color="auto" w:fill="auto"/>
                    <w:vAlign w:val="center"/>
                  </w:tcPr>
                  <w:p>
                    <w:pPr>
                      <w:jc w:val="center"/>
                      <w:rPr>
                        <w:b/>
                        <w:szCs w:val="24"/>
                        <w:highlight w:val="yellow"/>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1.4.3.</w:t>
                    </w:r>
                  </w:p>
                </w:tc>
                <w:tc>
                  <w:tcPr>
                    <w:tcW w:w="4058" w:type="dxa"/>
                    <w:shd w:val="clear" w:color="auto" w:fill="auto"/>
                    <w:vAlign w:val="center"/>
                  </w:tcPr>
                  <w:p>
                    <w:pPr>
                      <w:jc w:val="both"/>
                      <w:rPr>
                        <w:szCs w:val="24"/>
                        <w:lang w:eastAsia="lt-LT"/>
                      </w:rPr>
                    </w:pPr>
                    <w:r>
                      <w:rPr>
                        <w:szCs w:val="24"/>
                        <w:lang w:eastAsia="lt-LT"/>
                      </w:rPr>
                      <w:t xml:space="preserve">Užtikrinama:  </w:t>
                    </w:r>
                  </w:p>
                  <w:p>
                    <w:pPr>
                      <w:jc w:val="both"/>
                      <w:rPr>
                        <w:szCs w:val="24"/>
                        <w:lang w:eastAsia="lt-LT"/>
                      </w:rPr>
                    </w:pPr>
                    <w:r>
                      <w:rPr>
                        <w:szCs w:val="24"/>
                        <w:lang w:eastAsia="lt-LT"/>
                      </w:rPr>
                      <w:t>a) informacijos sklaida socialiniame tinkle, turinčiame daugiau nei 1 mlrd. aktyvių vartotojų (šaltinis www.statista.com, 2022 m. sausio mėn. duomenys));</w:t>
                    </w:r>
                  </w:p>
                  <w:p>
                    <w:pPr>
                      <w:jc w:val="both"/>
                      <w:rPr>
                        <w:szCs w:val="24"/>
                        <w:lang w:eastAsia="lt-LT"/>
                      </w:rPr>
                    </w:pPr>
                    <w:r>
                      <w:rPr>
                        <w:szCs w:val="24"/>
                        <w:lang w:eastAsia="lt-LT"/>
                      </w:rPr>
                      <w:t>c) informacijos sklaida per 1 socialinį tinklą, turintį ne mažiau nei 20 000 sekėjų tikslinėse kampanijos auditorijose</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szCs w:val="24"/>
                        <w:lang w:eastAsia="lt-LT"/>
                      </w:rPr>
                    </w:pPr>
                    <w:r>
                      <w:rPr>
                        <w:szCs w:val="24"/>
                        <w:lang w:eastAsia="lt-LT"/>
                      </w:rPr>
                      <w:t>1.4.4.</w:t>
                    </w:r>
                  </w:p>
                </w:tc>
                <w:tc>
                  <w:tcPr>
                    <w:tcW w:w="4058" w:type="dxa"/>
                    <w:shd w:val="clear" w:color="auto" w:fill="auto"/>
                    <w:vAlign w:val="center"/>
                  </w:tcPr>
                  <w:p>
                    <w:pPr>
                      <w:jc w:val="both"/>
                      <w:rPr>
                        <w:szCs w:val="24"/>
                        <w:lang w:eastAsia="lt-LT"/>
                      </w:rPr>
                    </w:pPr>
                    <w:r>
                      <w:rPr>
                        <w:szCs w:val="24"/>
                        <w:lang w:eastAsia="lt-LT"/>
                      </w:rPr>
                      <w:t xml:space="preserve">Užtikrinama:  </w:t>
                    </w:r>
                  </w:p>
                  <w:p>
                    <w:pPr>
                      <w:jc w:val="both"/>
                      <w:rPr>
                        <w:szCs w:val="24"/>
                        <w:lang w:eastAsia="lt-LT"/>
                      </w:rPr>
                    </w:pPr>
                    <w:r>
                      <w:rPr>
                        <w:szCs w:val="24"/>
                        <w:lang w:eastAsia="lt-LT"/>
                      </w:rPr>
                      <w:t>a) informacijos sklaida socialiniame tinkle, turinčiame mažiau nei 1 mlrd. aktyvių vartotojų (šaltinis www.statista.com, 2022 m. sausio mėn. duomenys));</w:t>
                    </w:r>
                  </w:p>
                  <w:p>
                    <w:pPr>
                      <w:jc w:val="both"/>
                      <w:rPr>
                        <w:szCs w:val="24"/>
                        <w:lang w:eastAsia="lt-LT"/>
                      </w:rPr>
                    </w:pPr>
                    <w:r>
                      <w:rPr>
                        <w:szCs w:val="24"/>
                        <w:lang w:eastAsia="lt-LT"/>
                      </w:rPr>
                      <w:t xml:space="preserve">c) informacijos sklaida per 1 socialinį  tinklą, turintį mažiau nei 20 000 sekėjų tikslinėse kampanijos auditorijose</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highlight w:val="yellow"/>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2.</w:t>
                    </w:r>
                  </w:p>
                </w:tc>
                <w:tc>
                  <w:tcPr>
                    <w:tcW w:w="4058" w:type="dxa"/>
                    <w:shd w:val="clear" w:color="auto" w:fill="auto"/>
                    <w:vAlign w:val="center"/>
                  </w:tcPr>
                  <w:p>
                    <w:pPr>
                      <w:jc w:val="both"/>
                      <w:rPr>
                        <w:b/>
                        <w:color w:val="000000"/>
                        <w:szCs w:val="24"/>
                        <w:lang w:eastAsia="lt-LT"/>
                      </w:rPr>
                    </w:pPr>
                    <w:r>
                      <w:rPr>
                        <w:b/>
                        <w:color w:val="000000"/>
                        <w:szCs w:val="24"/>
                        <w:lang w:eastAsia="lt-LT"/>
                      </w:rPr>
                      <w:t xml:space="preserve">Pateiktos socialinės viešinimo kampanijos apie psichikos sveikatos puoselėjimą idėjos (koncepcijos) aktualumas, </w:t>
                    </w:r>
                    <w:r>
                      <w:rPr>
                        <w:b/>
                        <w:szCs w:val="24"/>
                        <w:lang w:eastAsia="lt-LT"/>
                      </w:rPr>
                      <w:t>įtaigumas, patrauklumas. Idėjos įgyvendinimo aprašymas</w:t>
                    </w:r>
                    <w:r>
                      <w:rPr>
                        <w:b/>
                        <w:color w:val="000000"/>
                        <w:szCs w:val="24"/>
                        <w:lang w:eastAsia="lt-LT"/>
                      </w:rPr>
                      <w:t xml:space="preserve"> </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2.1.</w:t>
                    </w:r>
                  </w:p>
                </w:tc>
                <w:tc>
                  <w:tcPr>
                    <w:tcW w:w="4058" w:type="dxa"/>
                    <w:shd w:val="clear" w:color="auto" w:fill="auto"/>
                    <w:vAlign w:val="center"/>
                  </w:tcPr>
                  <w:p>
                    <w:pPr>
                      <w:jc w:val="both"/>
                      <w:rPr>
                        <w:color w:val="000000"/>
                        <w:szCs w:val="24"/>
                        <w:lang w:eastAsia="lt-LT"/>
                      </w:rPr>
                    </w:pPr>
                    <w:r>
                      <w:rPr>
                        <w:color w:val="000000"/>
                        <w:szCs w:val="24"/>
                        <w:lang w:eastAsia="lt-LT"/>
                      </w:rPr>
                      <w:t xml:space="preserve">Paraiškoje pateiktas aiškiai ir tiksliai išdėstytas socialinės kampanijos idėjos (pavadinimo, tikslo, uždavinių, siekiamų rezultatų, tikslinės grupės) ir veiksmų plano (priemonių ir kūrybinių sprendimų, įgyvendinimo etapų (preliminaraus grafiko), sklaidos kanalų tikslinei grupei pasiekti, galimų partnerių ir visuomenėje žinomų / tikslinei grupei autoritetingų asmenų įtraukimo) aprašymas, kartu argumentuotai pagrindžiant šios idėjos atitiktį kampanijos apie psichikos sveikatos puoselėjimą problematikai pagal pasirinktą tikslinę grupę (remiantis naujausių sociologinių tyrimų rezultatais); šios kampanijos veiksmų plano tinkamumą ir efektyvumą siekiant numatyto kampanijos tikslo. Kampanijos idėjos veiksmų planas nuoseklus, konkretus, logiškas, įgyvendinamas, siūlomos priemonės / kūrybiniai sprendimai pasižymi vientisumu, tarpusavyje susiję, papildo vienas kitą, pagrįsta, kaip veikia komunikacijos priemonių daugiklis. Naudojami „Tu Esi“ bei „Pagalba sau“ </w:t>
                    </w:r>
                    <w:r>
                      <w:rPr>
                        <w:rFonts w:eastAsia="Calibri"/>
                        <w:sz w:val="22"/>
                        <w:szCs w:val="22"/>
                      </w:rPr>
                      <w:t xml:space="preserve">ir (ar) naujo ilgalaikės </w:t>
                    </w:r>
                    <w:r>
                      <w:rPr>
                        <w:color w:val="000000"/>
                        <w:szCs w:val="24"/>
                        <w:lang w:eastAsia="lt-LT"/>
                      </w:rPr>
                      <w:t>psichikos sveikatos raštingumo programos prekės ženklai ir vizualiniai identitetai tinkamai juos susisiejant su kampanijos temomis</w:t>
                    </w:r>
                  </w:p>
                </w:tc>
                <w:tc>
                  <w:tcPr>
                    <w:tcW w:w="1628" w:type="dxa"/>
                    <w:shd w:val="clear" w:color="auto" w:fill="auto"/>
                    <w:vAlign w:val="center"/>
                  </w:tcPr>
                  <w:p>
                    <w:pPr>
                      <w:jc w:val="center"/>
                      <w:rPr>
                        <w:b/>
                        <w:szCs w:val="24"/>
                        <w:lang w:eastAsia="lt-LT"/>
                      </w:rPr>
                    </w:pPr>
                    <w:r>
                      <w:rPr>
                        <w:b/>
                        <w:szCs w:val="24"/>
                        <w:lang w:eastAsia="lt-LT"/>
                      </w:rPr>
                      <w:t>15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2.2.</w:t>
                    </w:r>
                  </w:p>
                </w:tc>
                <w:tc>
                  <w:tcPr>
                    <w:tcW w:w="4058" w:type="dxa"/>
                    <w:shd w:val="clear" w:color="auto" w:fill="auto"/>
                    <w:vAlign w:val="center"/>
                  </w:tcPr>
                  <w:p>
                    <w:pPr>
                      <w:jc w:val="both"/>
                      <w:rPr>
                        <w:color w:val="000000"/>
                        <w:szCs w:val="24"/>
                        <w:lang w:eastAsia="lt-LT"/>
                      </w:rPr>
                    </w:pPr>
                    <w:r>
                      <w:rPr>
                        <w:color w:val="000000"/>
                        <w:szCs w:val="24"/>
                        <w:lang w:eastAsia="lt-LT"/>
                      </w:rPr>
                      <w:t>Paraiškoje pateiktas suprantamai išdėstytas socialinės kampanijos idėjos (pavadinimo, tikslo, uždavinių, siekiamų rezultatų, tikslinės grupės) ir veiksmų plano (priemonių ir kūrybinių sprendimų, įgyvendinimo etapų (preliminaraus grafiko), sklaidos kanalų tikslinei grupei pasiekti) aprašymas, tačiau trūksta pagrindimo dėl šios idėjos atitikties kampanijos apie psichikos sveikatos puoselėjimą problematikai pagal pasirinktą tikslinę grupę (remiantis naujausių sociologinių tyrimų rezultatais); šios kampanijos veiksmų plano tinkamumo ir efektyvumo siekiant numatyto kampanijos tikslo. Pateiktam kampanijos idėjos įgyvendinimui (veiksmų planui) trūksta nuoseklumo, konkretumo, siūlomų priemonių / kūrybinių sprendimų vientisumas nepakankamai pagrįstas, naudojami „Tu Esi“ bei „Pagalba sau“ ir (ar) naujo ilgalaikės psichikos sveikatos raštingumo programos prekės ženklai ir vizualiniai identitetai, tačiau jie ne visada tinkamai susisiejami su kampanijos temomis</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2.3.</w:t>
                    </w:r>
                  </w:p>
                </w:tc>
                <w:tc>
                  <w:tcPr>
                    <w:tcW w:w="4058" w:type="dxa"/>
                    <w:shd w:val="clear" w:color="auto" w:fill="auto"/>
                    <w:vAlign w:val="center"/>
                  </w:tcPr>
                  <w:p>
                    <w:pPr>
                      <w:jc w:val="both"/>
                      <w:rPr>
                        <w:color w:val="000000"/>
                        <w:szCs w:val="24"/>
                        <w:lang w:eastAsia="lt-LT"/>
                      </w:rPr>
                    </w:pPr>
                    <w:r>
                      <w:rPr>
                        <w:color w:val="000000"/>
                        <w:szCs w:val="24"/>
                        <w:lang w:eastAsia="lt-LT"/>
                      </w:rPr>
                      <w:t xml:space="preserve">Paraiškoje pateiktas glaustas socialinės kampanijos idėjos (pavadinimo, tikslo, uždavinių, siekiamų rezultatų, tikslinės grupės) ir veiksmų plano (priemonių, įgyvendinimo etapų, sklaidos kanalų tikslinei grupei pasiekti) aprašymas. Tačiau nėra aiškaus pagrindimo dėl šios kampanijos koncepcijos atitikties kampanijos apie psichikos sveikatos puoselėjimą problematikai pagal pasirinktą tikslinę grupę (remiantis naujausių sociologinių tyrimų rezultatais); nėra aiškaus pagrindimo dėl šios kampanijos veiksmų plano tinkamumo ir efektyvumo siekiant numatyto kampanijos tikslo. Pateiktas kampanijos idėjos veiksmų planas nėra nuoseklus, konkretus, siūlomos priemonės nėra vientisos,  tarpusavyje susijusios, papildančios viena kitą, „Tu Esi“ bei „Pagalba sau“ ir (ar) naujo ilgalaikės psichikos sveikatos raštingumo programos prekės ženklai ir vizualiniai identitetai nesusieti su kampanijos temomis </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2.4.</w:t>
                    </w:r>
                  </w:p>
                </w:tc>
                <w:tc>
                  <w:tcPr>
                    <w:tcW w:w="4058" w:type="dxa"/>
                    <w:shd w:val="clear" w:color="auto" w:fill="auto"/>
                    <w:vAlign w:val="center"/>
                  </w:tcPr>
                  <w:p>
                    <w:pPr>
                      <w:jc w:val="both"/>
                      <w:rPr>
                        <w:color w:val="000000"/>
                        <w:szCs w:val="24"/>
                        <w:lang w:eastAsia="lt-LT"/>
                      </w:rPr>
                    </w:pPr>
                    <w:r>
                      <w:rPr>
                        <w:color w:val="000000"/>
                        <w:szCs w:val="24"/>
                        <w:lang w:eastAsia="lt-LT"/>
                      </w:rPr>
                      <w:t>Paraiškoje nepateiktas socialinės kampanijos idėjos (pavadinimo, tikslo, uždavinių, siekiamų rezultatų, tikslinės grupės) ir veiksmų plano (priemonių, įgyvendinimo etapų, sklaidos kanalų tikslinei grupei pasiekti) aprašymas. Nėra pagrindimo dėl šios kampanijos koncepcijos atitikties kampanijos apie psichikos sveikatos puoselėjimą problematikai pagal pasirinktą tikslinę grupę (remiantis naujausių sociologinių tyrimų rezultatais); nėra pagrindimo dėl šios kampanijos veiksmų plano tinkamumo ir efektyvumo siekiant numatyto kampanijos tikslo. Nenaudojami „Tu Esi“ bei „Pagalba sau“ ir (ar) naujo ilgalaikės psichikos sveikatos raštingumo programos prekės ženklai ir vizualiniai identitetai</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3.</w:t>
                    </w:r>
                  </w:p>
                </w:tc>
                <w:tc>
                  <w:tcPr>
                    <w:tcW w:w="4058" w:type="dxa"/>
                    <w:shd w:val="clear" w:color="auto" w:fill="auto"/>
                    <w:vAlign w:val="center"/>
                  </w:tcPr>
                  <w:p>
                    <w:pPr>
                      <w:jc w:val="both"/>
                      <w:rPr>
                        <w:b/>
                        <w:color w:val="000000"/>
                        <w:szCs w:val="24"/>
                        <w:lang w:eastAsia="lt-LT"/>
                      </w:rPr>
                    </w:pPr>
                    <w:r>
                      <w:rPr>
                        <w:b/>
                        <w:color w:val="000000"/>
                        <w:szCs w:val="24"/>
                        <w:lang w:eastAsia="lt-LT"/>
                      </w:rPr>
                      <w:t>Projekto biudžeto pagrįstumas ir priemonių plano efektyvumas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3.1.</w:t>
                    </w:r>
                  </w:p>
                </w:tc>
                <w:tc>
                  <w:tcPr>
                    <w:tcW w:w="4058" w:type="dxa"/>
                    <w:shd w:val="clear" w:color="auto" w:fill="auto"/>
                    <w:vAlign w:val="center"/>
                  </w:tcPr>
                  <w:p>
                    <w:pPr>
                      <w:jc w:val="both"/>
                      <w:rPr>
                        <w:color w:val="000000"/>
                        <w:szCs w:val="24"/>
                        <w:lang w:eastAsia="lt-LT"/>
                      </w:rPr>
                    </w:pPr>
                    <w:r>
                      <w:rPr>
                        <w:color w:val="000000"/>
                        <w:szCs w:val="24"/>
                        <w:lang w:eastAsia="lt-LT"/>
                      </w:rPr>
                      <w:t xml:space="preserve">Biudžetas aiškus, detalus, išsamus, suplanuotas realiai, pagal vidutines rinkos kainas ir aiškiai susietas su planuojamų veiklų įgyvendinimu ir laukiamais rezultatais. Paraiškoje pateiktas aiškiai ir tiksliai išdėstytas Priemonių plano projektas, kuriame aiškiai išdėstytos ir argumentuotai pagrįstos efektyviausios ir ekonomiškai naudingiausios pagal planuojamą auditoriją ir biudžetą (nenurodant jo) integruotos komunikacijos priemonės,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kampanijos apie psichikos sveikatos puoselėjimą  siūlomi tikslai, siektini rezultatai ir numatomi jų matavimo mechanizmai, planuojami pasiekiamumo rodikliai. Pateiktas preliminarus Plano įgyvendinimo grafiko projektas yra logiškai ir racionaliai sudarytas, pagrįstai leidžia užtikrinti nuoseklų, kokybišką ir laiku įgyvendinamą Planą</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3.2.</w:t>
                    </w:r>
                  </w:p>
                </w:tc>
                <w:tc>
                  <w:tcPr>
                    <w:tcW w:w="4058" w:type="dxa"/>
                    <w:shd w:val="clear" w:color="auto" w:fill="auto"/>
                    <w:vAlign w:val="center"/>
                  </w:tcPr>
                  <w:p>
                    <w:pPr>
                      <w:jc w:val="both"/>
                      <w:rPr>
                        <w:color w:val="000000"/>
                        <w:szCs w:val="24"/>
                        <w:lang w:eastAsia="lt-LT"/>
                      </w:rPr>
                    </w:pPr>
                    <w:r>
                      <w:rPr>
                        <w:color w:val="000000"/>
                        <w:szCs w:val="24"/>
                        <w:lang w:eastAsia="lt-LT"/>
                      </w:rPr>
                      <w:t>Biudžetas iš dalies aiškus, realiai suplanuotas, ne visos siūlomos išlaidos yra tiesiogiai susijusios su planuojamų veiklų įgyvendinimu. Priemonių plano projektas paraiškoje išdėstytas suprantamai. Jame išdėstytos siūlomos integruotos komunikacijos priemonės, jų siūloma apimtis, transliavimo intensyvumas, periodiškumas. Tačiau trūkta nuoseklumo, papildomumo, pagrįstumo, ar bus pasiektas rezultatams pasiekti pakankamas sklaidos matomumas. Priemonių plano projekte suformuluoti: kampanijos apie psichikos sveikatos puoselėjimą siūlomi tikslai, siektini rezultatai ir numatomi jų matavimo mechanizmai, planuojami pasiekiamumo rodikliai, tačiau yra neesminių trūkumų. Pateiktas preliminarus Plano įgyvendinimo grafiko projektas yra logiškai sudarytas, nekelia abejonių dėl tinkamo Plano įgyvendinimo</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3.3.</w:t>
                    </w:r>
                  </w:p>
                </w:tc>
                <w:tc>
                  <w:tcPr>
                    <w:tcW w:w="4058" w:type="dxa"/>
                    <w:shd w:val="clear" w:color="auto" w:fill="auto"/>
                    <w:vAlign w:val="center"/>
                  </w:tcPr>
                  <w:p>
                    <w:pPr>
                      <w:jc w:val="both"/>
                      <w:rPr>
                        <w:color w:val="000000"/>
                        <w:szCs w:val="24"/>
                        <w:lang w:eastAsia="lt-LT"/>
                      </w:rPr>
                    </w:pPr>
                    <w:r>
                      <w:rPr>
                        <w:color w:val="000000"/>
                        <w:szCs w:val="24"/>
                        <w:lang w:eastAsia="lt-LT"/>
                      </w:rPr>
                      <w:t xml:space="preserve">Biudžetas neaiškus, realiai nesuplanuotas, išlaidų ir laukiamų rezultatų santykis nėra pagrįstas. Priemonių plano projektas glaustas, jame nėra išdėstytos siūlomos 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kampanijos apie psichikos sveikatos puoselėjimą siūlomi tikslai, siektini rezultatai, numatomi jų matavimo mechanizmai ir planuojami pasiekiamumo rodikliai</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b/>
                        <w:color w:val="000000"/>
                        <w:szCs w:val="24"/>
                        <w:lang w:eastAsia="lt-LT"/>
                      </w:rPr>
                    </w:pPr>
                    <w:r>
                      <w:rPr>
                        <w:b/>
                        <w:color w:val="000000"/>
                        <w:szCs w:val="24"/>
                        <w:lang w:eastAsia="lt-LT"/>
                      </w:rPr>
                      <w:t>4.</w:t>
                    </w:r>
                  </w:p>
                </w:tc>
                <w:tc>
                  <w:tcPr>
                    <w:tcW w:w="4058" w:type="dxa"/>
                    <w:shd w:val="clear" w:color="auto" w:fill="auto"/>
                    <w:vAlign w:val="center"/>
                  </w:tcPr>
                  <w:p>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pPr>
                      <w:jc w:val="center"/>
                      <w:rPr>
                        <w:b/>
                        <w:szCs w:val="24"/>
                        <w:lang w:eastAsia="lt-LT"/>
                      </w:rPr>
                    </w:pPr>
                    <w:r>
                      <w:rPr>
                        <w:b/>
                        <w:szCs w:val="24"/>
                        <w:lang w:eastAsia="lt-LT"/>
                      </w:rPr>
                      <w:t>0</w:t>
                    </w:r>
                    <w:r>
                      <w:rPr>
                        <w:bCs/>
                        <w:szCs w:val="24"/>
                        <w:lang w:eastAsia="lt-LT"/>
                      </w:rPr>
                      <w:t>–</w:t>
                    </w: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4.1.</w:t>
                    </w:r>
                  </w:p>
                </w:tc>
                <w:tc>
                  <w:tcPr>
                    <w:tcW w:w="4058" w:type="dxa"/>
                    <w:shd w:val="clear" w:color="auto" w:fill="auto"/>
                    <w:vAlign w:val="center"/>
                  </w:tcPr>
                  <w:p>
                    <w:pPr>
                      <w:jc w:val="both"/>
                      <w:rPr>
                        <w:spacing w:val="-2"/>
                        <w:szCs w:val="24"/>
                        <w:lang w:eastAsia="lt-LT"/>
                      </w:rPr>
                    </w:pPr>
                    <w:r>
                      <w:rPr>
                        <w:spacing w:val="-2"/>
                        <w:szCs w:val="24"/>
                        <w:lang w:eastAsia="lt-LT"/>
                      </w:rPr>
                      <w:t>Numatyti aiškūs, išmatuojami rodikliai, rodantys poveikį tikslinei grupei. Pasirinkta vertinimo metodika yra tinkama, numatytas išsamus projekto poveikio vertinimas projekto pabaigoje</w:t>
                    </w:r>
                  </w:p>
                </w:tc>
                <w:tc>
                  <w:tcPr>
                    <w:tcW w:w="1628" w:type="dxa"/>
                    <w:shd w:val="clear" w:color="auto" w:fill="auto"/>
                    <w:vAlign w:val="center"/>
                  </w:tcPr>
                  <w:p>
                    <w:pPr>
                      <w:jc w:val="center"/>
                      <w:rPr>
                        <w:b/>
                        <w:szCs w:val="24"/>
                        <w:lang w:eastAsia="lt-LT"/>
                      </w:rPr>
                    </w:pPr>
                    <w:r>
                      <w:rPr>
                        <w:b/>
                        <w:szCs w:val="24"/>
                        <w:lang w:eastAsia="lt-LT"/>
                      </w:rPr>
                      <w:t>10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4.2.</w:t>
                    </w:r>
                  </w:p>
                </w:tc>
                <w:tc>
                  <w:tcPr>
                    <w:tcW w:w="4058" w:type="dxa"/>
                    <w:shd w:val="clear" w:color="auto" w:fill="auto"/>
                    <w:vAlign w:val="center"/>
                  </w:tcPr>
                  <w:p>
                    <w:pPr>
                      <w:jc w:val="both"/>
                      <w:rPr>
                        <w:spacing w:val="-2"/>
                        <w:szCs w:val="24"/>
                        <w:lang w:eastAsia="lt-LT"/>
                      </w:rPr>
                    </w:pPr>
                    <w:r>
                      <w:rPr>
                        <w:spacing w:val="-2"/>
                        <w:szCs w:val="24"/>
                        <w:lang w:eastAsia="lt-LT"/>
                      </w:rPr>
                      <w:t>Numatyti iš dalies aiškūs, išmatuojami rodikliai, rodantys informacijos sklaidos aprėptį ir (ar) poveikį tikslinei grupei. Pasirinkta vertinimo metodika yra tinkama, numatytas projekto poveikio vertinimas projekto pabaigoje</w:t>
                    </w:r>
                  </w:p>
                </w:tc>
                <w:tc>
                  <w:tcPr>
                    <w:tcW w:w="1628" w:type="dxa"/>
                    <w:shd w:val="clear" w:color="auto" w:fill="auto"/>
                    <w:vAlign w:val="center"/>
                  </w:tcPr>
                  <w:p>
                    <w:pPr>
                      <w:jc w:val="center"/>
                      <w:rPr>
                        <w:b/>
                        <w:szCs w:val="24"/>
                        <w:lang w:eastAsia="lt-LT"/>
                      </w:rPr>
                    </w:pPr>
                    <w:r>
                      <w:rPr>
                        <w:b/>
                        <w:szCs w:val="24"/>
                        <w:lang w:eastAsia="lt-LT"/>
                      </w:rPr>
                      <w:t>5</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gridAfter w:val="1"/>
                  <w:wAfter w:w="17" w:type="dxa"/>
                  <w:trHeight w:val="218"/>
                  <w:jc w:val="center"/>
                </w:trPr>
                <w:tc>
                  <w:tcPr>
                    <w:tcW w:w="1012" w:type="dxa"/>
                    <w:shd w:val="clear" w:color="auto" w:fill="auto"/>
                    <w:noWrap/>
                    <w:vAlign w:val="center"/>
                  </w:tcPr>
                  <w:p>
                    <w:pPr>
                      <w:jc w:val="both"/>
                      <w:rPr>
                        <w:color w:val="000000"/>
                        <w:szCs w:val="24"/>
                        <w:lang w:eastAsia="lt-LT"/>
                      </w:rPr>
                    </w:pPr>
                    <w:r>
                      <w:rPr>
                        <w:color w:val="000000"/>
                        <w:szCs w:val="24"/>
                        <w:lang w:eastAsia="lt-LT"/>
                      </w:rPr>
                      <w:t>4.3.</w:t>
                    </w:r>
                  </w:p>
                </w:tc>
                <w:tc>
                  <w:tcPr>
                    <w:tcW w:w="4058" w:type="dxa"/>
                    <w:shd w:val="clear" w:color="auto" w:fill="auto"/>
                    <w:vAlign w:val="center"/>
                  </w:tcPr>
                  <w:p>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pPr>
                      <w:jc w:val="center"/>
                      <w:rPr>
                        <w:b/>
                        <w:szCs w:val="24"/>
                        <w:lang w:eastAsia="lt-LT"/>
                      </w:rPr>
                    </w:pPr>
                    <w:r>
                      <w:rPr>
                        <w:b/>
                        <w:szCs w:val="24"/>
                        <w:lang w:eastAsia="lt-LT"/>
                      </w:rPr>
                      <w:t>0</w:t>
                    </w:r>
                  </w:p>
                </w:tc>
                <w:tc>
                  <w:tcPr>
                    <w:tcW w:w="1549" w:type="dxa"/>
                    <w:gridSpan w:val="2"/>
                    <w:shd w:val="clear" w:color="auto" w:fill="auto"/>
                    <w:vAlign w:val="center"/>
                  </w:tcPr>
                  <w:p>
                    <w:pPr>
                      <w:jc w:val="both"/>
                      <w:rPr>
                        <w:b/>
                        <w:color w:val="000000"/>
                        <w:szCs w:val="24"/>
                        <w:highlight w:val="yellow"/>
                        <w:lang w:eastAsia="lt-LT"/>
                      </w:rPr>
                    </w:pPr>
                  </w:p>
                </w:tc>
                <w:tc>
                  <w:tcPr>
                    <w:tcW w:w="1706" w:type="dxa"/>
                    <w:gridSpan w:val="2"/>
                  </w:tcPr>
                  <w:p>
                    <w:pPr>
                      <w:jc w:val="both"/>
                      <w:rPr>
                        <w:b/>
                        <w:color w:val="000000"/>
                        <w:szCs w:val="24"/>
                        <w:lang w:eastAsia="lt-LT"/>
                      </w:rPr>
                    </w:pPr>
                  </w:p>
                </w:tc>
              </w:tr>
              <w:tr>
                <w:trPr>
                  <w:trHeight w:val="332"/>
                  <w:jc w:val="center"/>
                </w:trPr>
                <w:tc>
                  <w:tcPr>
                    <w:tcW w:w="6708" w:type="dxa"/>
                    <w:gridSpan w:val="4"/>
                    <w:shd w:val="clear" w:color="auto" w:fill="auto"/>
                    <w:noWrap/>
                    <w:vAlign w:val="center"/>
                    <w:hideMark/>
                  </w:tcPr>
                  <w:p>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 xml:space="preserve">(maksimalus balų skaičius –  </w:t>
                    </w:r>
                    <w:r>
                      <w:rPr>
                        <w:b/>
                        <w:bCs/>
                        <w:i/>
                        <w:szCs w:val="24"/>
                        <w:lang w:val="en-US" w:eastAsia="lt-LT"/>
                      </w:rPr>
                      <w:t>5</w:t>
                    </w:r>
                    <w:r>
                      <w:rPr>
                        <w:b/>
                        <w:bCs/>
                        <w:i/>
                        <w:szCs w:val="24"/>
                        <w:lang w:eastAsia="lt-LT"/>
                      </w:rPr>
                      <w:t>0)</w:t>
                    </w:r>
                  </w:p>
                </w:tc>
                <w:tc>
                  <w:tcPr>
                    <w:tcW w:w="1549" w:type="dxa"/>
                    <w:gridSpan w:val="2"/>
                    <w:shd w:val="clear" w:color="auto" w:fill="auto"/>
                    <w:vAlign w:val="center"/>
                    <w:hideMark/>
                  </w:tcPr>
                  <w:p>
                    <w:pPr>
                      <w:ind w:firstLine="62"/>
                      <w:jc w:val="both"/>
                      <w:rPr>
                        <w:b/>
                        <w:bCs/>
                        <w:color w:val="000000"/>
                        <w:szCs w:val="24"/>
                        <w:lang w:eastAsia="lt-LT"/>
                      </w:rPr>
                    </w:pPr>
                  </w:p>
                </w:tc>
                <w:tc>
                  <w:tcPr>
                    <w:tcW w:w="1713" w:type="dxa"/>
                    <w:gridSpan w:val="2"/>
                  </w:tcPr>
                  <w:p>
                    <w:pPr>
                      <w:jc w:val="both"/>
                      <w:rPr>
                        <w:b/>
                        <w:bCs/>
                        <w:color w:val="000000"/>
                        <w:szCs w:val="24"/>
                        <w:lang w:eastAsia="lt-LT"/>
                      </w:rPr>
                    </w:pPr>
                  </w:p>
                </w:tc>
              </w:tr>
            </w:tbl>
            <w:p>
              <w:pPr>
                <w:spacing w:line="276" w:lineRule="auto"/>
                <w:ind w:firstLine="310"/>
                <w:jc w:val="both"/>
                <w:rPr>
                  <w:rFonts w:eastAsia="Calibri"/>
                  <w:b/>
                  <w:szCs w:val="24"/>
                </w:rPr>
              </w:pPr>
            </w:p>
            <w:p>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trPr>
                  <w:jc w:val="center"/>
                </w:trPr>
                <w:tc>
                  <w:tcPr>
                    <w:tcW w:w="9746" w:type="dxa"/>
                    <w:shd w:val="clear" w:color="auto" w:fill="auto"/>
                  </w:tcPr>
                  <w:p>
                    <w:pPr>
                      <w:jc w:val="both"/>
                      <w:rPr>
                        <w:rFonts w:eastAsia="Calibri"/>
                        <w:color w:val="000000"/>
                        <w:szCs w:val="24"/>
                      </w:rPr>
                    </w:pPr>
                    <w:r>
                      <w:rPr>
                        <w:rFonts w:eastAsia="Calibri"/>
                        <w:color w:val="000000"/>
                        <w:szCs w:val="24"/>
                      </w:rPr>
                      <w:t>Eksperto / Fondo tarybos nario išvada, siūlymai, komentarai:</w:t>
                    </w:r>
                  </w:p>
                  <w:p>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pPr>
                      <w:jc w:val="both"/>
                      <w:rPr>
                        <w:rFonts w:eastAsia="Calibri"/>
                        <w:szCs w:val="24"/>
                      </w:rPr>
                    </w:pPr>
                  </w:p>
                  <w:p>
                    <w:pPr>
                      <w:jc w:val="center"/>
                      <w:rPr>
                        <w:rFonts w:eastAsia="Calibri"/>
                        <w:szCs w:val="24"/>
                      </w:rPr>
                    </w:pPr>
                  </w:p>
                  <w:p>
                    <w:pPr>
                      <w:jc w:val="both"/>
                      <w:rPr>
                        <w:rFonts w:eastAsia="Calibri"/>
                        <w:szCs w:val="24"/>
                      </w:rPr>
                    </w:pPr>
                  </w:p>
                  <w:p>
                    <w:pPr>
                      <w:jc w:val="both"/>
                      <w:rPr>
                        <w:rFonts w:eastAsia="Calibri"/>
                        <w:szCs w:val="24"/>
                      </w:rPr>
                    </w:pPr>
                  </w:p>
                </w:tc>
              </w:tr>
            </w:tbl>
            <w:p>
              <w:pPr>
                <w:jc w:val="both"/>
                <w:rPr>
                  <w:rFonts w:eastAsia="Calibri"/>
                  <w:b/>
                  <w:szCs w:val="24"/>
                </w:rPr>
              </w:pPr>
            </w:p>
            <w:p>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Valstybinio visuomenės sveikatos stiprinimo fondo lėšų suma: ___________________ Eur.</w:t>
              </w: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ind w:firstLine="426"/>
                <w:jc w:val="both"/>
                <w:rPr>
                  <w:rFonts w:eastAsia="Calibri"/>
                  <w:color w:val="000000"/>
                  <w:szCs w:val="24"/>
                </w:rPr>
              </w:pPr>
              <w:r>
                <w:rPr>
                  <w:rFonts w:eastAsia="Calibri"/>
                  <w:color w:val="000000"/>
                  <w:szCs w:val="24"/>
                </w:rPr>
                <w:t xml:space="preserve">Ekspertas </w:t>
              </w:r>
              <w:r>
                <w:rPr>
                  <w:rFonts w:eastAsia="Calibri"/>
                  <w:color w:val="000000"/>
                  <w:szCs w:val="24"/>
                  <w:lang w:val="en-US"/>
                </w:rPr>
                <w:t xml:space="preserve">/ </w:t>
              </w:r>
              <w:r>
                <w:rPr>
                  <w:rFonts w:eastAsia="Calibri"/>
                  <w:color w:val="000000"/>
                  <w:szCs w:val="24"/>
                </w:rPr>
                <w:t>Fondo tarybos narys:</w:t>
              </w:r>
            </w:p>
            <w:p>
              <w:pPr>
                <w:ind w:firstLine="426"/>
                <w:jc w:val="both"/>
                <w:rPr>
                  <w:rFonts w:eastAsia="Calibri"/>
                  <w:i/>
                  <w:iCs/>
                  <w:color w:val="000000"/>
                  <w:sz w:val="20"/>
                </w:rPr>
              </w:pPr>
              <w:r>
                <w:rPr>
                  <w:rFonts w:eastAsia="Calibri"/>
                  <w:i/>
                  <w:iCs/>
                  <w:color w:val="000000"/>
                  <w:sz w:val="20"/>
                </w:rPr>
                <w:t>(tai, kas nereikalinga, išbraukti)</w:t>
              </w:r>
            </w:p>
            <w:p>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pPr>
                <w:tabs>
                  <w:tab w:val="right" w:pos="-6663"/>
                  <w:tab w:val="left" w:pos="0"/>
                  <w:tab w:val="right" w:leader="dot" w:pos="4536"/>
                </w:tabs>
                <w:jc w:val="both"/>
                <w:rPr>
                  <w:rFonts w:eastAsia="Calibri"/>
                  <w:szCs w:val="24"/>
                </w:rPr>
              </w:pPr>
              <w:r>
                <w:rPr>
                  <w:rFonts w:eastAsia="Calibri"/>
                  <w:szCs w:val="24"/>
                </w:rPr>
                <w:t>(unikalus identifikacinis Nr., parašas, data)</w:t>
              </w:r>
            </w:p>
            <w:p>
              <w:pPr>
                <w:tabs>
                  <w:tab w:val="right" w:pos="-6663"/>
                  <w:tab w:val="left" w:pos="0"/>
                  <w:tab w:val="right" w:leader="dot" w:pos="4536"/>
                </w:tabs>
                <w:jc w:val="both"/>
                <w:rPr>
                  <w:rFonts w:eastAsia="Calibri"/>
                  <w:szCs w:val="24"/>
                </w:rPr>
              </w:pPr>
            </w:p>
          </w:sdtContent>
        </w:sdt>
        <w:sdt>
          <w:sdtPr>
            <w:alias w:val="pabaiga"/>
            <w:tag w:val="part_77356e9f731f49ac8f6b04c90231bcc9"/>
            <w:lock w:val="sdtLocked"/>
            <w:richText/>
          </w:sdtPr>
          <w:sdtContent>
            <w:p>
              <w:pPr>
                <w:tabs>
                  <w:tab w:val="right" w:pos="-6663"/>
                  <w:tab w:val="left" w:pos="0"/>
                  <w:tab w:val="right" w:leader="dot" w:pos="4536"/>
                </w:tabs>
                <w:jc w:val="center"/>
                <w:rPr>
                  <w:rFonts w:eastAsia="Calibri"/>
                  <w:szCs w:val="24"/>
                </w:rPr>
              </w:pPr>
              <w:r>
                <w:rPr>
                  <w:rFonts w:eastAsia="Calibri"/>
                  <w:szCs w:val="24"/>
                </w:rPr>
                <w:t>____________________</w:t>
              </w:r>
            </w:p>
            <w:p>
              <w:pPr>
                <w:spacing w:line="276" w:lineRule="auto"/>
                <w:jc w:val="both"/>
                <w:rPr>
                  <w:rFonts w:eastAsia="Calibri"/>
                  <w:szCs w:val="24"/>
                </w:rPr>
              </w:pP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1906" w:h="16838"/>
      <w:pgMar w:top="851" w:right="567" w:bottom="851" w:left="1276" w:header="567" w:footer="107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5</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F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DBD4A8BC-E086-4B75-B71D-69B6478B65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4" ma:contentTypeDescription="Kurkite naują dokumentą." ma:contentTypeScope="" ma:versionID="4e71af55701f47309719b2f7993458c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0f7efc1b0d8dcbe0b5f15f6dec0cb2b"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7" Abbr="7 pr." Title="(Valstybinio visuomenės sveikatos stiprinimo fondo lėšomis finansuojamos psichikos sveikatos puoselėjimo komunikacijos kampanijos paraiškos vertinimo klausimyno forma)" DocPartId="edd7546168d343e78fed1959c388c14f" PartId="08df0700efcd4c899c6e9869dbbc0161">
    <Part Type="skirsnis" Title="VALSTYBINIO VISUOMENĖS SVEIKATOS STIPRINIMO FONDO LĖŠOMIS FINANSUOJAMOS PSICHIKOS SVEIKATOS PUOSELĖJIMO KOMUNIKACIJOS KAMPANIJOS PARAIŠKOS VERTINIMO KLAUSIMYNAS" DocPartId="dfa1ecb90fa44c9bb78620e75b567c72" PartId="32ba1ad501594945adafa862e300b7b2"/>
    <Part Type="pabaiga" DocPartId="8814bb1bf0a8446b8a5bd272cf872617" PartId="77356e9f731f49ac8f6b04c90231bcc9"/>
  </Part>
</Parts>
</file>

<file path=customXml/itemProps1.xml><?xml version="1.0" encoding="utf-8"?>
<ds:datastoreItem xmlns:ds="http://schemas.openxmlformats.org/officeDocument/2006/customXml" ds:itemID="{85DAD74E-48C0-4C9D-BB74-D860A229568B}">
  <ds:schemaRefs>
    <ds:schemaRef ds:uri="http://schemas.microsoft.com/sharepoint/v3/contenttype/forms"/>
  </ds:schemaRefs>
</ds:datastoreItem>
</file>

<file path=customXml/itemProps2.xml><?xml version="1.0" encoding="utf-8"?>
<ds:datastoreItem xmlns:ds="http://schemas.openxmlformats.org/officeDocument/2006/customXml" ds:itemID="{78FB31BC-7D71-42B5-AEF0-DC5CF88C162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E08DCE2-8E5A-4172-A323-F85322E93F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7A0EB8-47C7-4280-98A9-ECE0D3AA111E}">
  <ds:schemaRefs>
    <ds:schemaRef ds:uri="http://schemas.openxmlformats.org/officeDocument/2006/bibliography"/>
  </ds:schemaRefs>
</ds:datastoreItem>
</file>

<file path=customXml/itemProps5.xml><?xml version="1.0" encoding="utf-8"?>
<ds:datastoreItem xmlns:ds="http://schemas.openxmlformats.org/officeDocument/2006/customXml" ds:itemID="{5D7DCC86-9CC7-42E1-8879-E0157C9544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1557</Words>
  <Characters>11432</Characters>
  <Application>Microsoft Office Word</Application>
  <DocSecurity>4</DocSecurity>
  <Lines>544</Lines>
  <Paragraphs>160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12829</CharactersWithSpaces>
  <SharedDoc>false</SharedDoc>
  <HyperlinkBase/>
  <HLinks>
    <vt:vector size="42" baseType="variant">
      <vt:variant>
        <vt:i4>4849740</vt:i4>
      </vt:variant>
      <vt:variant>
        <vt:i4>18</vt:i4>
      </vt:variant>
      <vt:variant>
        <vt:i4>0</vt:i4>
      </vt:variant>
      <vt:variant>
        <vt:i4>5</vt:i4>
      </vt:variant>
      <vt:variant>
        <vt:lpwstr>http://www.statista.com/</vt:lpwstr>
      </vt:variant>
      <vt:variant>
        <vt:lpwstr/>
      </vt:variant>
      <vt:variant>
        <vt:i4>4849740</vt:i4>
      </vt:variant>
      <vt:variant>
        <vt:i4>15</vt:i4>
      </vt:variant>
      <vt:variant>
        <vt:i4>0</vt:i4>
      </vt:variant>
      <vt:variant>
        <vt:i4>5</vt:i4>
      </vt:variant>
      <vt:variant>
        <vt:lpwstr>http://www.statista.com/</vt:lpwstr>
      </vt:variant>
      <vt:variant>
        <vt:lpwstr/>
      </vt:variant>
      <vt:variant>
        <vt:i4>4849740</vt:i4>
      </vt:variant>
      <vt:variant>
        <vt:i4>12</vt:i4>
      </vt:variant>
      <vt:variant>
        <vt:i4>0</vt:i4>
      </vt:variant>
      <vt:variant>
        <vt:i4>5</vt:i4>
      </vt:variant>
      <vt:variant>
        <vt:lpwstr>http://www.statista.com/</vt:lpwstr>
      </vt:variant>
      <vt:variant>
        <vt:lpwstr/>
      </vt:variant>
      <vt:variant>
        <vt:i4>4849740</vt:i4>
      </vt:variant>
      <vt:variant>
        <vt:i4>9</vt:i4>
      </vt:variant>
      <vt:variant>
        <vt:i4>0</vt:i4>
      </vt:variant>
      <vt:variant>
        <vt:i4>5</vt:i4>
      </vt:variant>
      <vt:variant>
        <vt:lpwstr>http://www.statista.com/</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2022-03-24T13:31:00Z</dcterms:created>
  <dc:creator>Tatjana Zabolotnaja</dc:creator>
  <lastModifiedBy>adlibuser</lastModifiedBy>
  <lastPrinted>2020-02-17T04:44:00Z</lastPrinted>
  <dcterms:modified xsi:type="dcterms:W3CDTF">2022-03-24T13:31:00Z</dcterms:modified>
  <revision>2</revision>
</coreProperties>
</file>