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6 pr."/>
        <w:tag w:val="part_75a48196d75f4e9b840830bb2cd3eb5c"/>
        <w:lock w:val="sdtLocked"/>
        <w:richText/>
      </w:sdtPr>
      <w:sdtContent>
        <w:p>
          <w:pPr>
            <w:tabs>
              <w:tab w:val="center" w:pos="4819"/>
              <w:tab w:val="right" w:pos="9638"/>
            </w:tabs>
          </w:pPr>
        </w:p>
        <w:p>
          <w:pPr>
            <w:ind w:left="5670"/>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w:t>
          </w:r>
        </w:p>
        <w:p>
          <w:pPr>
            <w:ind w:left="5670"/>
            <w:jc w:val="both"/>
            <w:rPr>
              <w:bCs/>
              <w:szCs w:val="24"/>
            </w:rPr>
          </w:pPr>
          <w:sdt>
            <w:sdtPr>
              <w:alias w:val="Numeris"/>
              <w:tag w:val="nr_75a48196d75f4e9b840830bb2cd3eb5c"/>
              <w:lock w:val="sdtLocked"/>
              <w:richText/>
            </w:sdtPr>
            <w:sdtContent>
              <w:r>
                <w:rPr>
                  <w:bCs/>
                  <w:szCs w:val="24"/>
                </w:rPr>
                <w:t>16</w:t>
              </w:r>
            </w:sdtContent>
          </w:sdt>
          <w:r>
            <w:rPr>
              <w:bCs/>
              <w:szCs w:val="24"/>
            </w:rPr>
            <w:t xml:space="preserve"> priedas</w:t>
          </w:r>
        </w:p>
        <w:p/>
        <w:p>
          <w:pPr>
            <w:keepNext/>
            <w:keepLines/>
            <w:spacing w:line="254" w:lineRule="auto"/>
            <w:jc w:val="center"/>
            <w:outlineLvl w:val="1"/>
            <w:rPr>
              <w:rFonts w:eastAsia="SimSun"/>
              <w:b/>
              <w:caps/>
              <w:szCs w:val="24"/>
              <w:lang w:eastAsia="lt-LT"/>
            </w:rPr>
          </w:pPr>
          <w:sdt>
            <w:sdtPr>
              <w:alias w:val="Pavadinimas"/>
              <w:tag w:val="title_75a48196d75f4e9b840830bb2cd3eb5c"/>
              <w:lock w:val="sdtLocked"/>
              <w:richText/>
            </w:sdtPr>
            <w:sdtContent>
              <w:r>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pPr>
            <w:keepNext/>
            <w:keepLines/>
            <w:spacing w:line="254" w:lineRule="auto"/>
            <w:jc w:val="center"/>
            <w:outlineLvl w:val="1"/>
            <w:rPr>
              <w:rFonts w:eastAsia="SimSun"/>
              <w:b/>
              <w:caps/>
              <w:szCs w:val="24"/>
              <w:lang w:eastAsia="lt-LT"/>
            </w:rPr>
          </w:pPr>
        </w:p>
        <w:sdt>
          <w:sdtPr>
            <w:alias w:val="skyrius"/>
            <w:tag w:val="part_0d9827495f644c7a819da33fb73f2f5f"/>
            <w:lock w:val="sdtLocked"/>
            <w:richText/>
          </w:sdtPr>
          <w:sdtContent>
            <w:p>
              <w:pPr>
                <w:keepNext/>
                <w:keepLines/>
                <w:spacing w:line="254" w:lineRule="auto"/>
                <w:jc w:val="center"/>
                <w:outlineLvl w:val="1"/>
                <w:rPr>
                  <w:rFonts w:eastAsia="SimSun"/>
                  <w:b/>
                  <w:caps/>
                  <w:szCs w:val="24"/>
                  <w:lang w:eastAsia="lt-LT"/>
                </w:rPr>
              </w:pPr>
              <w:sdt>
                <w:sdtPr>
                  <w:alias w:val="Numeris"/>
                  <w:tag w:val="nr_0d9827495f644c7a819da33fb73f2f5f"/>
                  <w:lock w:val="sdtLocked"/>
                  <w:richText/>
                </w:sdtPr>
                <w:sdtContent>
                  <w:r>
                    <w:rPr>
                      <w:rFonts w:eastAsia="SimSun"/>
                      <w:b/>
                      <w:caps/>
                      <w:szCs w:val="24"/>
                      <w:lang w:eastAsia="lt-LT"/>
                    </w:rPr>
                    <w:t>I</w:t>
                  </w:r>
                </w:sdtContent>
              </w:sdt>
              <w:r>
                <w:rPr>
                  <w:rFonts w:eastAsia="SimSun"/>
                  <w:b/>
                  <w:caps/>
                  <w:szCs w:val="24"/>
                  <w:lang w:eastAsia="lt-LT"/>
                </w:rPr>
                <w:t xml:space="preserve"> skyrius</w:t>
              </w:r>
            </w:p>
            <w:sdt>
              <w:sdtPr>
                <w:alias w:val="Pavadinimas"/>
                <w:tag w:val="title_0d9827495f644c7a819da33fb73f2f5f"/>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Pateiktos patentų paraiškos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Patentų paraiškos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tabs>
                        <w:tab w:val="right" w:pos="4723"/>
                      </w:tabs>
                      <w:spacing w:line="256" w:lineRule="auto"/>
                      <w:jc w:val="both"/>
                      <w:rPr>
                        <w:bCs/>
                        <w:iCs/>
                        <w:szCs w:val="24"/>
                        <w:lang w:eastAsia="lt-LT"/>
                      </w:rPr>
                    </w:pPr>
                    <w:r>
                      <w:rPr>
                        <w:bCs/>
                        <w:iCs/>
                        <w:szCs w:val="24"/>
                        <w:lang w:eastAsia="lt-LT"/>
                      </w:rPr>
                      <w:t>Rezultato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R-12-001-01-02-01-04</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RCR06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pPr>
                      <w:spacing w:line="256" w:lineRule="auto"/>
                      <w:jc w:val="both"/>
                      <w:rPr>
                        <w:iCs/>
                        <w:szCs w:val="24"/>
                        <w:lang w:eastAsia="lt-LT"/>
                      </w:rPr>
                    </w:pPr>
                  </w:p>
                  <w:p>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pPr>
                      <w:spacing w:line="256" w:lineRule="auto"/>
                      <w:jc w:val="both"/>
                      <w:rPr>
                        <w:lang w:eastAsia="lt-LT"/>
                      </w:rPr>
                    </w:pPr>
                  </w:p>
                  <w:p>
                    <w:pPr>
                      <w:spacing w:line="256" w:lineRule="auto"/>
                      <w:jc w:val="both"/>
                      <w:rPr>
                        <w:szCs w:val="24"/>
                      </w:rPr>
                    </w:pPr>
                    <w:r>
                      <w:rPr>
                        <w:szCs w:val="24"/>
                      </w:rPr>
                      <w:t>Patentas – išradimų teisinės apsaugos forma (šaltinis: Lietuvos Respublikos patentų įstatymas).</w:t>
                    </w:r>
                  </w:p>
                  <w:p>
                    <w:pPr>
                      <w:spacing w:line="256" w:lineRule="auto"/>
                      <w:jc w:val="both"/>
                      <w:rPr>
                        <w:szCs w:val="24"/>
                      </w:rPr>
                    </w:pPr>
                  </w:p>
                  <w:p>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Sumuojamos pateiktos patentų paraiškos.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pPr>
                      <w:spacing w:line="256" w:lineRule="auto"/>
                      <w:jc w:val="both"/>
                      <w:rPr>
                        <w:rFonts w:eastAsia="Calibri"/>
                        <w:bCs/>
                        <w:iCs/>
                        <w:szCs w:val="24"/>
                        <w:lang w:eastAsia="lt-LT"/>
                      </w:rPr>
                    </w:pPr>
                  </w:p>
                  <w:p>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rPr>
                    </w:pPr>
                    <w:r>
                      <w:rPr>
                        <w:bCs/>
                        <w:iCs/>
                        <w:szCs w:val="24"/>
                      </w:rPr>
                      <w:t>Lietuvos Respublikos švietimo, mokslo ir sporto ministerija</w:t>
                    </w:r>
                  </w:p>
                </w:tc>
              </w:tr>
              <w:tr>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 +370 655 03 005;</w:t>
                    </w:r>
                  </w:p>
                  <w:p>
                    <w:pPr>
                      <w:jc w:val="both"/>
                      <w:rPr>
                        <w:szCs w:val="24"/>
                        <w:lang w:eastAsia="en-GB"/>
                      </w:rPr>
                    </w:pPr>
                    <w:r>
                      <w:rPr>
                        <w:szCs w:val="24"/>
                        <w:lang w:eastAsia="en-GB"/>
                      </w:rPr>
                      <w:t>Tarptautinių investicijų įgyvendinimo skyrius,</w:t>
                    </w:r>
                  </w:p>
                  <w:p>
                    <w:pPr>
                      <w:spacing w:line="256" w:lineRule="auto"/>
                      <w:rPr>
                        <w:rFonts w:eastAsia="Calibri"/>
                        <w:bCs/>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p>
              <w:pPr>
                <w:rPr>
                  <w:sz w:val="4"/>
                  <w:szCs w:val="4"/>
                  <w:lang w:eastAsia="lt-LT"/>
                </w:rPr>
              </w:pPr>
            </w:p>
          </w:sdtContent>
        </w:sdt>
        <w:sdt>
          <w:sdtPr>
            <w:alias w:val="skyrius"/>
            <w:tag w:val="part_b66560d3ba6b450eb5e6f149ffb174cc"/>
            <w:lock w:val="sdtLocked"/>
            <w:richText/>
          </w:sdtPr>
          <w:sdtContent>
            <w:p>
              <w:pPr>
                <w:keepNext/>
                <w:keepLines/>
                <w:spacing w:line="254" w:lineRule="auto"/>
                <w:jc w:val="center"/>
                <w:outlineLvl w:val="1"/>
                <w:rPr>
                  <w:rFonts w:eastAsia="SimSun"/>
                  <w:b/>
                  <w:caps/>
                  <w:szCs w:val="24"/>
                  <w:lang w:eastAsia="lt-LT"/>
                </w:rPr>
              </w:pPr>
              <w:sdt>
                <w:sdtPr>
                  <w:alias w:val="Numeris"/>
                  <w:tag w:val="nr_b66560d3ba6b450eb5e6f149ffb174cc"/>
                  <w:lock w:val="sdtLocked"/>
                  <w:richText/>
                </w:sdtPr>
                <w:sdtContent>
                  <w:r>
                    <w:rPr>
                      <w:rFonts w:eastAsia="SimSun"/>
                      <w:b/>
                      <w:caps/>
                      <w:szCs w:val="24"/>
                      <w:lang w:eastAsia="lt-LT"/>
                    </w:rPr>
                    <w:t>II</w:t>
                  </w:r>
                </w:sdtContent>
              </w:sdt>
              <w:r>
                <w:rPr>
                  <w:rFonts w:eastAsia="SimSun"/>
                  <w:b/>
                  <w:caps/>
                  <w:szCs w:val="24"/>
                  <w:lang w:eastAsia="lt-LT"/>
                </w:rPr>
                <w:t xml:space="preserve"> skyrius</w:t>
              </w:r>
            </w:p>
            <w:sdt>
              <w:sdtPr>
                <w:alias w:val="Pavadinimas"/>
                <w:tag w:val="title_b66560d3ba6b450eb5e6f149ffb174cc"/>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szCs w:val="24"/>
                      </w:rPr>
                      <w:t>Remiamų projektų leidiniai</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Leidiniai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lang w:eastAsia="lt-LT"/>
                      </w:rPr>
                    </w:pPr>
                    <w:r>
                      <w:rPr>
                        <w:szCs w:val="24"/>
                      </w:rPr>
                      <w:t>R-12-001-01-02-01-05</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szCs w:val="24"/>
                      </w:rPr>
                      <w:t>RCR08</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 xml:space="preserve">Suprantamas kaip apibrėžtas 2021 m. liepos 8 d Europos Komisijos dokumente (SWD(2021) 198 </w:t>
                    </w:r>
                    <w:r>
                      <w:rPr>
                        <w:i/>
                        <w:iCs/>
                      </w:rPr>
                      <w:t>final</w:t>
                    </w:r>
                    <w:r>
                      <w:t>) Europos Komisijos metodiniame dokumente dėl Europos regioninės plėtros fondo, Sanglaudos fondo, Teisingos pertvarkos fondo (</w:t>
                    </w:r>
                    <w:r>
                      <w:rPr>
                        <w:i/>
                      </w:rPr>
                      <w:t>Performance, monitoring and evaluation of the European Regional Development Fund, the Cohesion Fund and the Just Transition Fund in 2021–2027</w:t>
                    </w:r>
                    <w:r>
                      <w:t xml:space="preserve">), patvirtintame 2021 m. liepos 8 d. Nr. SWD (2021) 198 </w:t>
                    </w:r>
                    <w:r>
                      <w:rPr>
                        <w:i/>
                        <w:iCs/>
                      </w:rPr>
                      <w:t>final</w:t>
                    </w:r>
                    <w:r>
                      <w:t>.</w:t>
                    </w:r>
                  </w:p>
                  <w:p>
                    <w:pPr>
                      <w:spacing w:line="256" w:lineRule="auto"/>
                      <w:jc w:val="both"/>
                    </w:pPr>
                  </w:p>
                  <w:p>
                    <w:pPr>
                      <w:spacing w:line="256" w:lineRule="auto"/>
                      <w:jc w:val="both"/>
                      <w:rPr>
                        <w:lang w:eastAsia="lt-LT"/>
                      </w:rPr>
                    </w:pPr>
                    <w:r>
                      <w:t>Leidinys – mokslinis straipsnis, monografija ar jos dalis. Leidiniai turi būti pateikti ir priimti publikuoti.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rFonts w:eastAsia="Calibri"/>
                        <w:szCs w:val="24"/>
                        <w:lang w:eastAsia="lt-LT"/>
                      </w:rPr>
                      <w:t>Sumuojamos išleistos mokslinės publikacijos.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lang w:eastAsia="lt-LT"/>
                      </w:rPr>
                    </w:pPr>
                    <w:r>
                      <w:rPr>
                        <w:rFonts w:eastAsia="Calibri"/>
                        <w:lang w:eastAsia="lt-LT"/>
                      </w:rPr>
                      <w:t>Pirminiai duomenų šaltiniai: pateiktos mokslinės publikacijos.</w:t>
                    </w:r>
                  </w:p>
                  <w:p>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Cs/>
                      </w:rPr>
                    </w:pPr>
                    <w: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+370 620 43 529, +370 655 03 005;</w:t>
                    </w:r>
                  </w:p>
                  <w:p>
                    <w:pPr>
                      <w:spacing w:line="256" w:lineRule="auto"/>
                      <w:jc w:val="both"/>
                      <w:rPr>
                        <w:lang w:eastAsia="en-GB"/>
                      </w:rPr>
                    </w:pPr>
                    <w:r>
                      <w:rPr>
                        <w:lang w:eastAsia="en-GB"/>
                      </w:rPr>
                      <w:t>Tarptautinių investicijų įgyvendinimo skyrius,</w:t>
                    </w:r>
                  </w:p>
                  <w:p>
                    <w:pPr>
                      <w:spacing w:line="256" w:lineRule="auto"/>
                      <w:rPr>
                        <w:rFonts w:eastAsia="Calibri"/>
                        <w:lang w:eastAsia="lt-LT"/>
                      </w:rPr>
                    </w:pPr>
                    <w:r>
                      <w:rPr>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sdtContent>
        </w:sdt>
        <w:sdt>
          <w:sdtPr>
            <w:alias w:val="skyrius"/>
            <w:tag w:val="part_19b06fcde32e479d87a45d07b1874d43"/>
            <w:lock w:val="sdtLocked"/>
            <w:richText/>
          </w:sdtPr>
          <w:sdtContent>
            <w:p>
              <w:pPr>
                <w:keepNext/>
                <w:keepLines/>
                <w:spacing w:line="254" w:lineRule="auto"/>
                <w:jc w:val="center"/>
                <w:outlineLvl w:val="1"/>
                <w:rPr>
                  <w:rFonts w:eastAsia="SimSun"/>
                  <w:b/>
                  <w:caps/>
                  <w:szCs w:val="24"/>
                  <w:lang w:eastAsia="lt-LT"/>
                </w:rPr>
              </w:pPr>
              <w:sdt>
                <w:sdtPr>
                  <w:alias w:val="Numeris"/>
                  <w:tag w:val="nr_19b06fcde32e479d87a45d07b1874d43"/>
                  <w:lock w:val="sdtLocked"/>
                  <w:richText/>
                </w:sdtPr>
                <w:sdtContent>
                  <w:r>
                    <w:rPr>
                      <w:rFonts w:eastAsia="SimSun"/>
                      <w:b/>
                      <w:caps/>
                      <w:szCs w:val="24"/>
                      <w:lang w:eastAsia="lt-LT"/>
                    </w:rPr>
                    <w:t>III</w:t>
                  </w:r>
                </w:sdtContent>
              </w:sdt>
              <w:r>
                <w:rPr>
                  <w:rFonts w:eastAsia="SimSun"/>
                  <w:b/>
                  <w:caps/>
                  <w:szCs w:val="24"/>
                  <w:lang w:eastAsia="lt-LT"/>
                </w:rPr>
                <w:t xml:space="preserve"> skyrius</w:t>
              </w:r>
            </w:p>
            <w:sdt>
              <w:sdtPr>
                <w:alias w:val="Pavadinimas"/>
                <w:tag w:val="title_19b06fcde32e479d87a45d07b1874d43"/>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szCs w:val="24"/>
                      </w:rPr>
                    </w:pPr>
                    <w:r>
                      <w:rPr>
                        <w:szCs w:val="24"/>
                      </w:rPr>
                      <w:t>Mokslinių tyrimų ir eksperimentinės plėtros veiklos produktas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(specialusis)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szCs w:val="24"/>
                      </w:rPr>
                    </w:pPr>
                    <w:r>
                      <w:rPr>
                        <w:szCs w:val="24"/>
                      </w:rPr>
                      <w:t>R-12-001-01-02-01-06</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pPr>
                      <w:spacing w:line="256" w:lineRule="auto"/>
                      <w:jc w:val="both"/>
                      <w:rPr>
                        <w:szCs w:val="24"/>
                      </w:rPr>
                    </w:pPr>
                  </w:p>
                  <w:p>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pPr>
                      <w:spacing w:line="256" w:lineRule="auto"/>
                      <w:jc w:val="both"/>
                      <w:rPr>
                        <w:szCs w:val="24"/>
                      </w:rPr>
                    </w:pPr>
                    <w:r>
                      <w:rPr>
                        <w:szCs w:val="24"/>
                      </w:rPr>
                      <w:t>1. Europos specializuotuose centruose įvertinta augalų veislė;</w:t>
                    </w:r>
                  </w:p>
                  <w:p>
                    <w:pPr>
                      <w:spacing w:line="256" w:lineRule="auto"/>
                      <w:jc w:val="both"/>
                      <w:rPr>
                        <w:szCs w:val="24"/>
                      </w:rPr>
                    </w:pPr>
                    <w:r>
                      <w:rPr>
                        <w:szCs w:val="24"/>
                      </w:rPr>
                      <w:t>2. pagal tarptautiniu mastu pripažintą tvarką įregistruota gyvūnų veislė;</w:t>
                    </w:r>
                  </w:p>
                  <w:p>
                    <w:pPr>
                      <w:spacing w:line="256" w:lineRule="auto"/>
                      <w:jc w:val="both"/>
                      <w:rPr>
                        <w:szCs w:val="24"/>
                      </w:rPr>
                    </w:pPr>
                    <w:r>
                      <w:rPr>
                        <w:szCs w:val="24"/>
                      </w:rPr>
                      <w:t>3. nauja technologija, kuri arba turi įdiegimo aktą, arba yra išbandyta gamyboje;</w:t>
                    </w:r>
                  </w:p>
                  <w:p>
                    <w:pPr>
                      <w:spacing w:line="256" w:lineRule="auto"/>
                      <w:jc w:val="both"/>
                      <w:rPr>
                        <w:szCs w:val="24"/>
                      </w:rPr>
                    </w:pPr>
                    <w:r>
                      <w:rPr>
                        <w:szCs w:val="24"/>
                      </w:rPr>
                      <w:t>4. veislė ir mikroorganizmų kamienas, įregistruotas ne Lietuvoje;</w:t>
                    </w:r>
                  </w:p>
                  <w:p>
                    <w:pPr>
                      <w:spacing w:line="256" w:lineRule="auto"/>
                      <w:jc w:val="both"/>
                      <w:rPr>
                        <w:szCs w:val="24"/>
                      </w:rPr>
                    </w:pPr>
                    <w:r>
                      <w:rPr>
                        <w:szCs w:val="24"/>
                      </w:rPr>
                      <w:t>5. prekės ir dizaino ženklai;</w:t>
                    </w:r>
                  </w:p>
                  <w:p>
                    <w:pPr>
                      <w:spacing w:line="256" w:lineRule="auto"/>
                      <w:jc w:val="both"/>
                      <w:rPr>
                        <w:szCs w:val="24"/>
                      </w:rPr>
                    </w:pPr>
                    <w:r>
                      <w:rPr>
                        <w:szCs w:val="24"/>
                      </w:rPr>
                      <w:t>6. mokslinių tyrimų metu gautas atviras naujas skaitmeninis išteklius, duomenų bazė ar atviro kodo programinė įrangą, tinkama panaudoti MTEP;</w:t>
                    </w:r>
                  </w:p>
                  <w:p>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+370 620 43 529, +370 655 03 005;</w:t>
                    </w:r>
                  </w:p>
                  <w:p>
                    <w:pPr>
                      <w:spacing w:line="256" w:lineRule="auto"/>
                      <w:jc w:val="both"/>
                      <w:rPr>
                        <w:lang w:eastAsia="en-GB"/>
                      </w:rPr>
                    </w:pPr>
                    <w:r>
                      <w:rPr>
                        <w:lang w:eastAsia="en-GB"/>
                      </w:rPr>
                      <w:t>Tarptautinių investicijų įgyvendinimo skyrius,</w:t>
                    </w:r>
                  </w:p>
                  <w:p>
                    <w:pPr>
                      <w:spacing w:line="256" w:lineRule="auto"/>
                      <w:rPr>
                        <w:rFonts w:eastAsia="Calibri"/>
                        <w:lang w:eastAsia="lt-LT"/>
                      </w:rPr>
                    </w:pPr>
                    <w:r>
                      <w:rPr>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sdtContent>
        </w:sdt>
        <w:sdt>
          <w:sdtPr>
            <w:alias w:val="skyrius"/>
            <w:tag w:val="part_a1fbdab46fc84605bb6b0c86b9f0a3ed"/>
            <w:lock w:val="sdtLocked"/>
            <w:richText/>
          </w:sdtPr>
          <w:sdtContent>
            <w:p>
              <w:pPr>
                <w:keepNext/>
                <w:keepLines/>
                <w:spacing w:line="254" w:lineRule="auto"/>
                <w:jc w:val="center"/>
                <w:outlineLvl w:val="1"/>
                <w:rPr>
                  <w:rFonts w:eastAsia="SimSun"/>
                  <w:b/>
                  <w:caps/>
                  <w:szCs w:val="24"/>
                  <w:lang w:eastAsia="lt-LT"/>
                </w:rPr>
              </w:pPr>
              <w:sdt>
                <w:sdtPr>
                  <w:alias w:val="Numeris"/>
                  <w:tag w:val="nr_a1fbdab46fc84605bb6b0c86b9f0a3ed"/>
                  <w:lock w:val="sdtLocked"/>
                  <w:richText/>
                </w:sdtPr>
                <w:sdtContent>
                  <w:r>
                    <w:rPr>
                      <w:rFonts w:eastAsia="SimSun"/>
                      <w:b/>
                      <w:caps/>
                      <w:szCs w:val="24"/>
                      <w:lang w:eastAsia="lt-LT"/>
                    </w:rPr>
                    <w:t>IV</w:t>
                  </w:r>
                </w:sdtContent>
              </w:sdt>
              <w:r>
                <w:rPr>
                  <w:rFonts w:eastAsia="SimSun"/>
                  <w:b/>
                  <w:caps/>
                  <w:szCs w:val="24"/>
                  <w:lang w:eastAsia="lt-LT"/>
                </w:rPr>
                <w:t xml:space="preserve"> skyrius</w:t>
              </w:r>
            </w:p>
            <w:sdt>
              <w:sdtPr>
                <w:alias w:val="Pavadinimas"/>
                <w:tag w:val="title_a1fbdab46fc84605bb6b0c86b9f0a3ed"/>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Produktų ar procesų inovacijas diegiančios labai mažos, mažos ir vidutinės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Rezultato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R-12-001-01-02-01-07</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lang w:eastAsia="lt-LT"/>
                      </w:rPr>
                      <w:t>RCR03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pPr>
                      <w:widowControl w:val="0"/>
                      <w:jc w:val="both"/>
                      <w:rPr>
                        <w:szCs w:val="24"/>
                        <w:lang w:eastAsia="lt-LT"/>
                      </w:rPr>
                    </w:pPr>
                  </w:p>
                  <w:p>
                    <w:pPr>
                      <w:widowControl w:val="0"/>
                      <w:jc w:val="both"/>
                      <w:rPr>
                        <w:szCs w:val="24"/>
                        <w:lang w:eastAsia="lt-LT"/>
                      </w:rPr>
                    </w:pPr>
                    <w:r>
                      <w:rPr>
                        <w:szCs w:val="24"/>
                        <w:lang w:eastAsia="lt-LT"/>
                      </w:rPr>
                      <w:t>Labai mažų, mažų ir vidutinių įmonių (toliau – MVĮ), gavusių paramą, diegiančių produktų ar procesų inovacijas, skaičius.</w:t>
                    </w:r>
                  </w:p>
                  <w:p>
                    <w:pPr>
                      <w:widowControl w:val="0"/>
                      <w:jc w:val="both"/>
                      <w:rPr>
                        <w:szCs w:val="24"/>
                        <w:lang w:eastAsia="lt-LT"/>
                      </w:rPr>
                    </w:pPr>
                  </w:p>
                  <w:p>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pPr>
                      <w:widowControl w:val="0"/>
                      <w:jc w:val="both"/>
                      <w:rPr>
                        <w:szCs w:val="24"/>
                        <w:lang w:eastAsia="lt-LT"/>
                      </w:rPr>
                    </w:pPr>
                  </w:p>
                  <w:p>
                    <w:pPr>
                      <w:widowControl w:val="0"/>
                      <w:jc w:val="both"/>
                    </w:pPr>
                    <w:r>
                      <w:t>Proceso inovacija – tai naujo ar žymiai patobulinto gamybos proceso, paskirstymo metodo ar pagalbinės veiklos įgyvendinimas.</w:t>
                    </w:r>
                  </w:p>
                  <w:p>
                    <w:pPr>
                      <w:widowControl w:val="0"/>
                      <w:jc w:val="both"/>
                      <w:rPr>
                        <w:szCs w:val="24"/>
                        <w:lang w:eastAsia="lt-LT"/>
                      </w:rPr>
                    </w:pPr>
                  </w:p>
                  <w:p>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pPr>
                      <w:widowControl w:val="0"/>
                      <w:jc w:val="both"/>
                      <w:rPr>
                        <w:szCs w:val="24"/>
                        <w:lang w:eastAsia="lt-LT"/>
                      </w:rPr>
                    </w:pPr>
                  </w:p>
                  <w:p>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rFonts w:eastAsia="Calibri"/>
                        <w:lang w:eastAsia="lt-LT"/>
                      </w:rPr>
                    </w:pPr>
                    <w:r>
                      <w:rPr>
                        <w:rFonts w:eastAsia="Calibri"/>
                        <w:lang w:eastAsia="lt-LT"/>
                      </w:rPr>
                      <w:t>Įvertinus tai, kad projekto vykdytojai teiks jau apskaičiuotą rodiklį, rodiklis vertinamas ne vėliau, nei praėjus vieniems metams po projekto finansavimo pabaigos.</w:t>
                    </w:r>
                  </w:p>
                  <w:p>
                    <w:pPr>
                      <w:jc w:val="both"/>
                      <w:rPr>
                        <w:szCs w:val="24"/>
                      </w:rPr>
                    </w:pPr>
                  </w:p>
                  <w:p>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pPr>
                      <w:jc w:val="both"/>
                      <w:rPr>
                        <w:bCs/>
                        <w:spacing w:val="2"/>
                        <w:szCs w:val="24"/>
                        <w:shd w:val="clear" w:color="auto" w:fill="FFFFFF"/>
                      </w:rPr>
                    </w:pPr>
                  </w:p>
                  <w:p>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Kitas.</w:t>
                    </w:r>
                  </w:p>
                  <w:p>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bCs/>
                        <w:i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+370 610 21397</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2021–2027 m. IP rodiklio kodas R.B.2.2003.</w:t>
                    </w:r>
                  </w:p>
                  <w:p>
                    <w:pPr>
                      <w:widowControl w:val="0"/>
                      <w:jc w:val="both"/>
                      <w:rPr>
                        <w:szCs w:val="24"/>
                        <w:lang w:eastAsia="lt-LT"/>
                      </w:rPr>
                    </w:pPr>
                  </w:p>
                  <w:p>
                    <w:pPr>
                      <w:widowControl w:val="0"/>
                      <w:spacing w:line="256" w:lineRule="auto"/>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paramos; nefinansinės paramos) ji gauna iš veiklos.</w:t>
                    </w:r>
                  </w:p>
                  <w:p>
                    <w:pPr>
                      <w:widowControl w:val="0"/>
                      <w:spacing w:line="256" w:lineRule="auto"/>
                      <w:jc w:val="both"/>
                      <w:rPr>
                        <w:szCs w:val="24"/>
                        <w:lang w:eastAsia="lt-LT"/>
                      </w:rPr>
                    </w:pPr>
                  </w:p>
                  <w:p>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e17fe1e8888641f79f65669eb4ec02bf"/>
            <w:lock w:val="sdtLocked"/>
            <w:richText/>
          </w:sdtPr>
          <w:sdtContent>
            <w:p>
              <w:pPr>
                <w:keepNext/>
                <w:keepLines/>
                <w:spacing w:line="254" w:lineRule="auto"/>
                <w:jc w:val="center"/>
                <w:outlineLvl w:val="1"/>
                <w:rPr>
                  <w:rFonts w:eastAsia="SimSun"/>
                  <w:b/>
                  <w:caps/>
                  <w:szCs w:val="24"/>
                  <w:lang w:eastAsia="lt-LT"/>
                </w:rPr>
              </w:pPr>
              <w:sdt>
                <w:sdtPr>
                  <w:alias w:val="Numeris"/>
                  <w:tag w:val="nr_e17fe1e8888641f79f65669eb4ec02bf"/>
                  <w:lock w:val="sdtLocked"/>
                  <w:richText/>
                </w:sdtPr>
                <w:sdtContent>
                  <w:r>
                    <w:rPr>
                      <w:rFonts w:eastAsia="SimSun"/>
                      <w:b/>
                      <w:caps/>
                      <w:szCs w:val="24"/>
                      <w:lang w:eastAsia="lt-LT"/>
                    </w:rPr>
                    <w:t>V</w:t>
                  </w:r>
                </w:sdtContent>
              </w:sdt>
              <w:r>
                <w:rPr>
                  <w:rFonts w:eastAsia="SimSun"/>
                  <w:b/>
                  <w:caps/>
                  <w:szCs w:val="24"/>
                  <w:lang w:eastAsia="lt-LT"/>
                </w:rPr>
                <w:t xml:space="preserve"> skyrius</w:t>
              </w:r>
            </w:p>
            <w:sdt>
              <w:sdtPr>
                <w:alias w:val="Pavadinimas"/>
                <w:tag w:val="title_e17fe1e8888641f79f65669eb4ec02bf"/>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szCs w:val="24"/>
                        <w:lang w:eastAsia="en-GB"/>
                      </w:rPr>
                      <w:t>Skaičius</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szCs w:val="24"/>
                        <w:lang w:eastAsia="en-GB"/>
                      </w:rPr>
                      <w:t>Didėjimas</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szCs w:val="24"/>
                        <w:lang w:eastAsia="en-GB"/>
                      </w:rPr>
                      <w:t>Skaitinė reikšmė</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szCs w:val="24"/>
                        <w:lang w:eastAsia="en-GB"/>
                      </w:rPr>
                      <w:t>Rezultato rodiklis (specialusis)</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
                        <w:iCs/>
                        <w:szCs w:val="24"/>
                        <w:lang w:eastAsia="lt-LT"/>
                      </w:rPr>
                    </w:pPr>
                    <w:r>
                      <w:rPr>
                        <w:szCs w:val="24"/>
                        <w:lang w:eastAsia="en-GB"/>
                      </w:rPr>
                      <w:t>R-12-001-01-02-01-08</w:t>
                    </w:r>
                  </w:p>
                </w:tc>
              </w:tr>
              <w:tr>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widowControl w:val="0"/>
                      <w:spacing w:line="256" w:lineRule="auto"/>
                      <w:jc w:val="both"/>
                      <w:rPr>
                        <w:iCs/>
                        <w:szCs w:val="24"/>
                        <w:lang w:eastAsia="lt-LT"/>
                      </w:rPr>
                    </w:pPr>
                    <w:r>
                      <w:rPr>
                        <w:szCs w:val="24"/>
                        <w:lang w:eastAsia="en-GB"/>
                      </w:rPr>
                      <w:t>Netaikoma.</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pPr>
                      <w:jc w:val="both"/>
                      <w:rPr>
                        <w:szCs w:val="24"/>
                        <w:lang w:eastAsia="en-GB"/>
                      </w:rPr>
                    </w:pPr>
                  </w:p>
                  <w:p>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pPr>
                      <w:jc w:val="both"/>
                      <w:rPr>
                        <w:szCs w:val="24"/>
                        <w:lang w:eastAsia="en-GB"/>
                      </w:rPr>
                    </w:pPr>
                  </w:p>
                  <w:p>
                    <w:pPr>
                      <w:jc w:val="both"/>
                      <w:rPr>
                        <w:szCs w:val="24"/>
                        <w:lang w:eastAsia="en-GB"/>
                      </w:rPr>
                    </w:pPr>
                    <w:r>
                      <w:rPr>
                        <w:szCs w:val="24"/>
                        <w:lang w:eastAsia="en-GB"/>
                      </w:rPr>
                      <w:t>MTEP užsakymas – mokslo ir studijų institucijos gautas užsakymas dėl MTEP paslaugų teikimo, siekiant nustatyto MTEP rezultato.</w:t>
                    </w:r>
                  </w:p>
                  <w:p>
                    <w:pPr>
                      <w:jc w:val="both"/>
                      <w:rPr>
                        <w:szCs w:val="24"/>
                        <w:lang w:eastAsia="en-GB"/>
                      </w:rPr>
                    </w:pPr>
                  </w:p>
                  <w:p>
                    <w:pPr>
                      <w:jc w:val="both"/>
                      <w:rPr>
                        <w:szCs w:val="24"/>
                        <w:lang w:eastAsia="en-GB"/>
                      </w:rPr>
                    </w:pPr>
                    <w:r>
                      <w:rPr>
                        <w:szCs w:val="24"/>
                        <w:lang w:eastAsia="en-GB"/>
                      </w:rPr>
                      <w:t>MTEP rezultatas – suprantamas taip, kaip numatyta Rekomenduojamos mokslinių tyrimų ir eksperimentinės plėtros etapų klasifikacijos apraše, patvirtintame Lietuvos Respublikos Vyriausybės 2012 m. birželio 6 d. nutarimu Nr. 650 „Dėl Rekomenduojamos mokslinių tyrimų ir eksperimentinės plėtros etapų klasifikacijos aprašo patvirtinimo“.</w:t>
                    </w:r>
                  </w:p>
                  <w:p>
                    <w:pPr>
                      <w:spacing w:line="256" w:lineRule="auto"/>
                      <w:jc w:val="both"/>
                      <w:rPr>
                        <w:szCs w:val="24"/>
                        <w:lang w:eastAsia="en-GB"/>
                      </w:rPr>
                    </w:pPr>
                  </w:p>
                  <w:p>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pPr>
                      <w:spacing w:line="256" w:lineRule="auto"/>
                      <w:jc w:val="both"/>
                      <w:rPr>
                        <w:iCs/>
                        <w:szCs w:val="24"/>
                        <w:lang w:eastAsia="lt-LT"/>
                      </w:rPr>
                    </w:pPr>
                    <w:r>
                      <w:rPr>
                        <w:rFonts w:eastAsia="Calibri"/>
                        <w:bCs/>
                        <w:iCs/>
                        <w:lang w:eastAsia="lt-LT"/>
                      </w:rPr>
                      <w:t>Skaičiuojant rodiklį neįtraukiami užsakymai, gauti iš kitų mokslo ir studijų institucijų, išskyrus atvejus, kai iš mokslo ir studijų institucijų gautiems užsakymams pateikiami tolimesnio MTEP užsakymo komercinimo įrodymai.</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pPr>
                      <w:jc w:val="both"/>
                      <w:rPr>
                        <w:szCs w:val="24"/>
                        <w:lang w:eastAsia="en-GB"/>
                      </w:rPr>
                    </w:pPr>
                  </w:p>
                  <w:p>
                    <w:pPr>
                      <w:jc w:val="both"/>
                      <w:rPr>
                        <w:rFonts w:eastAsia="Calibri"/>
                        <w:bCs/>
                        <w:i/>
                        <w:iCs/>
                        <w:szCs w:val="24"/>
                        <w:lang w:eastAsia="lt-LT"/>
                      </w:rPr>
                    </w:pPr>
                    <w:r>
                      <w:rPr>
                        <w:szCs w:val="24"/>
                        <w:lang w:eastAsia="en-GB"/>
                      </w:rPr>
                      <w:t>Antriniai šaltiniai: veiklos ataskaita / ataskaitos.</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iCs/>
                        <w:szCs w:val="24"/>
                        <w:lang w:eastAsia="en-GB"/>
                      </w:rPr>
                      <w:t>Švietimo, mokslo ir sporto ministerija</w:t>
                    </w:r>
                  </w:p>
                </w:tc>
              </w:tr>
              <w:tr>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+370 620 435 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pPr>
                <w:keepNext/>
                <w:keepLines/>
                <w:spacing w:line="254" w:lineRule="auto"/>
                <w:outlineLvl w:val="1"/>
                <w:rPr>
                  <w:rFonts w:eastAsia="SimSun"/>
                  <w:b/>
                  <w:caps/>
                  <w:szCs w:val="24"/>
                  <w:lang w:eastAsia="lt-LT"/>
                </w:rPr>
              </w:pPr>
            </w:p>
          </w:sdtContent>
        </w:sdt>
        <w:sdt>
          <w:sdtPr>
            <w:alias w:val="skyrius"/>
            <w:tag w:val="part_464cd62e6968425b81029c08aea3007d"/>
            <w:lock w:val="sdtLocked"/>
            <w:richText/>
          </w:sdtPr>
          <w:sdtContent>
            <w:p>
              <w:pPr>
                <w:keepNext/>
                <w:keepLines/>
                <w:spacing w:line="254" w:lineRule="auto"/>
                <w:jc w:val="center"/>
                <w:outlineLvl w:val="1"/>
                <w:rPr>
                  <w:rFonts w:eastAsia="SimSun"/>
                  <w:b/>
                  <w:caps/>
                  <w:szCs w:val="24"/>
                  <w:lang w:eastAsia="lt-LT"/>
                </w:rPr>
              </w:pPr>
              <w:sdt>
                <w:sdtPr>
                  <w:alias w:val="Numeris"/>
                  <w:tag w:val="nr_464cd62e6968425b81029c08aea3007d"/>
                  <w:lock w:val="sdtLocked"/>
                  <w:richText/>
                </w:sdtPr>
                <w:sdtContent>
                  <w:r>
                    <w:rPr>
                      <w:rFonts w:eastAsia="SimSun"/>
                      <w:b/>
                      <w:caps/>
                      <w:szCs w:val="24"/>
                      <w:lang w:eastAsia="lt-LT"/>
                    </w:rPr>
                    <w:t>VI</w:t>
                  </w:r>
                </w:sdtContent>
              </w:sdt>
              <w:r>
                <w:rPr>
                  <w:rFonts w:eastAsia="SimSun"/>
                  <w:b/>
                  <w:caps/>
                  <w:szCs w:val="24"/>
                  <w:lang w:eastAsia="lt-LT"/>
                </w:rPr>
                <w:t xml:space="preserve"> skyrius</w:t>
              </w:r>
            </w:p>
            <w:sdt>
              <w:sdtPr>
                <w:alias w:val="Pavadinimas"/>
                <w:tag w:val="title_464cd62e6968425b81029c08aea3007d"/>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Paramą gavusiose mokslinių tyrimų įstaigose dirbantys mokslininkai</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Metinis etato ekvivalentas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R-12-001-01-02-01-09</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RRFCI08</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pPr>
                      <w:spacing w:line="256" w:lineRule="auto"/>
                      <w:jc w:val="both"/>
                      <w:rPr>
                        <w:iCs/>
                        <w:szCs w:val="24"/>
                        <w:lang w:eastAsia="lt-LT"/>
                      </w:rPr>
                    </w:pPr>
                  </w:p>
                  <w:p>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r>
                      <w:rPr>
                        <w:szCs w:val="24"/>
                      </w:rPr>
                      <w:t>Frascati</w:t>
                    </w:r>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r>
                      <w:rPr>
                        <w:i/>
                        <w:iCs/>
                        <w:szCs w:val="24"/>
                        <w:lang w:val="en-US"/>
                      </w:rPr>
                      <w:t>Frascati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Frascati vadovas) </w:t>
                    </w:r>
                    <w:r>
                      <w:rPr>
                        <w:iCs/>
                        <w:szCs w:val="24"/>
                        <w:lang w:eastAsia="lt-LT"/>
                      </w:rPr>
                      <w:t>pateiktą metodiką.</w:t>
                    </w:r>
                  </w:p>
                  <w:p>
                    <w:pPr>
                      <w:spacing w:line="256" w:lineRule="auto"/>
                      <w:jc w:val="both"/>
                      <w:rPr>
                        <w:iCs/>
                        <w:szCs w:val="24"/>
                        <w:lang w:eastAsia="lt-LT"/>
                      </w:rPr>
                    </w:pPr>
                  </w:p>
                  <w:p>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pPr>
                      <w:spacing w:line="256" w:lineRule="auto"/>
                      <w:jc w:val="both"/>
                      <w:rPr>
                        <w:iCs/>
                        <w:szCs w:val="24"/>
                        <w:lang w:eastAsia="lt-LT"/>
                      </w:rPr>
                    </w:pPr>
                  </w:p>
                  <w:p>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pPr>
                      <w:spacing w:line="256" w:lineRule="auto"/>
                      <w:jc w:val="both"/>
                      <w:rPr>
                        <w:iCs/>
                        <w:szCs w:val="24"/>
                        <w:lang w:eastAsia="lt-LT"/>
                      </w:rPr>
                    </w:pPr>
                  </w:p>
                  <w:p>
                    <w:pPr>
                      <w:spacing w:line="256" w:lineRule="auto"/>
                      <w:jc w:val="both"/>
                      <w:rPr>
                        <w:iCs/>
                        <w:szCs w:val="24"/>
                        <w:lang w:eastAsia="lt-LT"/>
                      </w:rPr>
                    </w:pPr>
                    <w:r>
                      <w:rPr>
                        <w:iCs/>
                        <w:szCs w:val="24"/>
                        <w:lang w:eastAsia="lt-LT"/>
                      </w:rPr>
                      <w:t>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Frascati vadovo 5.3 skyrių).</w:t>
                    </w:r>
                  </w:p>
                  <w:p>
                    <w:pPr>
                      <w:spacing w:line="256" w:lineRule="auto"/>
                      <w:jc w:val="both"/>
                      <w:rPr>
                        <w:iCs/>
                        <w:szCs w:val="24"/>
                        <w:lang w:eastAsia="lt-LT"/>
                      </w:rPr>
                    </w:pPr>
                  </w:p>
                  <w:p>
                    <w:pPr>
                      <w:spacing w:line="256" w:lineRule="auto"/>
                      <w:jc w:val="both"/>
                      <w:rPr>
                        <w:iCs/>
                        <w:szCs w:val="24"/>
                        <w:lang w:eastAsia="lt-LT"/>
                      </w:rPr>
                    </w:pPr>
                    <w:r>
                      <w:rPr>
                        <w:iCs/>
                        <w:szCs w:val="24"/>
                        <w:lang w:eastAsia="lt-LT"/>
                      </w:rPr>
                      <w:t>Rodiklio duomenys suskirstomi pagal lytį.</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Suma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Pirminiai ir antriniai duomenų šaltiniai:</w:t>
                    </w:r>
                  </w:p>
                  <w:p>
                    <w:pPr>
                      <w:spacing w:line="256" w:lineRule="auto"/>
                      <w:jc w:val="both"/>
                      <w:rPr>
                        <w:rFonts w:eastAsia="Calibri"/>
                        <w:lang w:eastAsia="lt-LT"/>
                      </w:rPr>
                    </w:pPr>
                    <w:r>
                      <w:t>galutinė veiklos ataskaita.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lang w:eastAsia="lt-LT"/>
                      </w:rPr>
                      <w:t>P</w:t>
                    </w:r>
                    <w:r>
                      <w:rPr>
                        <w:bCs/>
                      </w:rPr>
                      <w:t>rojekto veiklų įgyvendinimo pabaigoje.</w:t>
                    </w:r>
                  </w:p>
                  <w:p>
                    <w:pPr>
                      <w:spacing w:line="256" w:lineRule="auto"/>
                      <w:jc w:val="both"/>
                    </w:pPr>
                  </w:p>
                  <w:p>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rPr>
                    </w:pPr>
                    <w:r>
                      <w:rPr>
                        <w:bCs/>
                        <w:i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pPr>
                      <w:spacing w:line="256" w:lineRule="auto"/>
                      <w:rPr>
                        <w:rFonts w:eastAsia="Calibri"/>
                        <w:bCs/>
                        <w:iCs/>
                        <w:szCs w:val="24"/>
                        <w:lang w:eastAsia="lt-LT"/>
                      </w:rPr>
                    </w:pPr>
                    <w:r>
                      <w:rPr>
                        <w:rFonts w:eastAsia="Calibri"/>
                        <w:bCs/>
                        <w:iCs/>
                        <w:szCs w:val="24"/>
                        <w:lang w:eastAsia="lt-LT"/>
                      </w:rPr>
                      <w:t>tel. +370 666 44 315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sdtContent>
        </w:sdt>
        <w:sdt>
          <w:sdtPr>
            <w:alias w:val="skyrius"/>
            <w:tag w:val="part_fc7430e1c6bc40b69af68fa7f06475d9"/>
            <w:lock w:val="sdtLocked"/>
            <w:richText/>
          </w:sdtPr>
          <w:sdtContent>
            <w:p>
              <w:pPr>
                <w:keepNext/>
                <w:keepLines/>
                <w:spacing w:line="254" w:lineRule="auto"/>
                <w:jc w:val="center"/>
                <w:outlineLvl w:val="1"/>
                <w:rPr>
                  <w:rFonts w:eastAsia="SimSun"/>
                  <w:b/>
                  <w:caps/>
                  <w:szCs w:val="24"/>
                  <w:lang w:eastAsia="lt-LT"/>
                </w:rPr>
              </w:pPr>
              <w:sdt>
                <w:sdtPr>
                  <w:alias w:val="Numeris"/>
                  <w:tag w:val="nr_fc7430e1c6bc40b69af68fa7f06475d9"/>
                  <w:lock w:val="sdtLocked"/>
                  <w:richText/>
                </w:sdtPr>
                <w:sdtContent>
                  <w:r>
                    <w:rPr>
                      <w:rFonts w:eastAsia="SimSun"/>
                      <w:b/>
                      <w:caps/>
                      <w:szCs w:val="24"/>
                      <w:lang w:eastAsia="lt-LT"/>
                    </w:rPr>
                    <w:t>VII</w:t>
                  </w:r>
                </w:sdtContent>
              </w:sdt>
              <w:r>
                <w:rPr>
                  <w:rFonts w:eastAsia="SimSun"/>
                  <w:b/>
                  <w:caps/>
                  <w:szCs w:val="24"/>
                  <w:lang w:eastAsia="lt-LT"/>
                </w:rPr>
                <w:t xml:space="preserve"> skyrius</w:t>
              </w:r>
            </w:p>
            <w:sdt>
              <w:sdtPr>
                <w:alias w:val="Pavadinimas"/>
                <w:tag w:val="title_fc7430e1c6bc40b69af68fa7f06475d9"/>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Paramą gavusios įmonės</w:t>
                    </w:r>
                  </w:p>
                </w:tc>
              </w:tr>
              <w:tr>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Įmonės</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(bendrasis)</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R-12-001-01-02-01-10</w:t>
                    </w:r>
                  </w:p>
                </w:tc>
              </w:tr>
              <w:tr>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RRFCI09</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pPr>
                      <w:jc w:val="both"/>
                      <w:rPr>
                        <w:szCs w:val="24"/>
                        <w:lang w:eastAsia="lt-LT"/>
                      </w:rPr>
                    </w:pPr>
                  </w:p>
                  <w:p>
                    <w:pPr>
                      <w:jc w:val="both"/>
                      <w:rPr>
                        <w:lang w:eastAsia="lt-LT"/>
                      </w:rPr>
                    </w:pPr>
                    <w:r>
                      <w:rPr>
                        <w:lang w:eastAsia="lt-LT"/>
                      </w:rPr>
                      <w:t>Rodikliu apskaičiuojamos visos įmonės, gaunančios finansinę (dotacijas) ar nefinansinę (natūrinę) paramą.</w:t>
                    </w:r>
                  </w:p>
                  <w:p>
                    <w:pPr>
                      <w:spacing w:line="256" w:lineRule="auto"/>
                      <w:jc w:val="both"/>
                      <w:rPr>
                        <w:iCs/>
                        <w:szCs w:val="24"/>
                        <w:lang w:eastAsia="lt-LT"/>
                      </w:rPr>
                    </w:pPr>
                  </w:p>
                  <w:p>
                    <w:pPr>
                      <w:jc w:val="both"/>
                      <w:rPr>
                        <w:szCs w:val="24"/>
                        <w:lang w:eastAsia="lt-LT"/>
                      </w:rPr>
                    </w:pPr>
                    <w:r>
                      <w:rPr>
                        <w:szCs w:val="24"/>
                        <w:lang w:eastAsia="lt-LT"/>
                      </w:rPr>
                      <w:t xml:space="preserve">Įmonė – ekonominę veiklą vykdantis juridinis asmuo (šaltinis: Smulkiojo ir vidutinio verslo plėtros įstatymas). </w:t>
                    </w:r>
                  </w:p>
                  <w:p>
                    <w:pPr>
                      <w:jc w:val="both"/>
                      <w:rPr>
                        <w:szCs w:val="24"/>
                        <w:lang w:eastAsia="lt-LT"/>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p>
                    <w:pPr>
                      <w:spacing w:line="256" w:lineRule="auto"/>
                      <w:jc w:val="both"/>
                      <w:rPr>
                        <w:iCs/>
                        <w:szCs w:val="24"/>
                        <w:lang w:eastAsia="lt-LT"/>
                      </w:rPr>
                    </w:pPr>
                  </w:p>
                  <w:p>
                    <w:pPr>
                      <w:spacing w:line="256" w:lineRule="auto"/>
                      <w:jc w:val="both"/>
                      <w:rPr>
                        <w:iCs/>
                        <w:szCs w:val="24"/>
                        <w:lang w:eastAsia="lt-LT"/>
                      </w:rPr>
                    </w:pPr>
                    <w:r>
                      <w:rPr>
                        <w:iCs/>
                        <w:szCs w:val="24"/>
                        <w:lang w:eastAsia="lt-LT"/>
                      </w:rPr>
                      <w:t>Vertinant ar nustatant įmonių dydį, vadovaujamasi Smulkiojo ir vidutinio verslo plėtros įstatymu.</w:t>
                    </w:r>
                  </w:p>
                  <w:p>
                    <w:pPr>
                      <w:spacing w:line="256" w:lineRule="auto"/>
                      <w:jc w:val="both"/>
                      <w:rPr>
                        <w:iCs/>
                        <w:szCs w:val="24"/>
                        <w:lang w:eastAsia="lt-LT"/>
                      </w:rPr>
                    </w:pPr>
                  </w:p>
                  <w:p>
                    <w:pPr>
                      <w:spacing w:line="256" w:lineRule="auto"/>
                      <w:jc w:val="both"/>
                      <w:rPr>
                        <w:iCs/>
                        <w:szCs w:val="24"/>
                        <w:lang w:eastAsia="lt-LT"/>
                      </w:rPr>
                    </w:pPr>
                    <w:r>
                      <w:rPr>
                        <w:iCs/>
                        <w:szCs w:val="24"/>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 Eur (keturiasdešimt trys milijonai eurų, 00 ct) ir metinės pajamos yra ne mažesnės kaip 50 000 000 Eur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pPr>
                      <w:spacing w:line="256" w:lineRule="auto"/>
                      <w:jc w:val="both"/>
                      <w:rPr>
                        <w:iCs/>
                        <w:szCs w:val="24"/>
                        <w:lang w:eastAsia="lt-LT"/>
                      </w:rPr>
                    </w:pPr>
                  </w:p>
                  <w:p>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pPr>
                      <w:spacing w:line="256" w:lineRule="auto"/>
                      <w:jc w:val="both"/>
                      <w:rPr>
                        <w:iCs/>
                        <w:szCs w:val="24"/>
                        <w:lang w:eastAsia="lt-LT"/>
                      </w:rPr>
                    </w:pPr>
                  </w:p>
                  <w:p>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pPr>
                      <w:spacing w:line="256" w:lineRule="auto"/>
                      <w:jc w:val="both"/>
                      <w:rPr>
                        <w:iCs/>
                        <w:szCs w:val="24"/>
                        <w:lang w:eastAsia="lt-LT"/>
                      </w:rPr>
                    </w:pPr>
                  </w:p>
                  <w:p>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Cs/>
                        <w:szCs w:val="24"/>
                        <w:lang w:eastAsia="lt-LT"/>
                      </w:rPr>
                    </w:pPr>
                    <w:r>
                      <w:rPr>
                        <w:bCs/>
                        <w:szCs w:val="24"/>
                        <w:lang w:eastAsia="lt-LT"/>
                      </w:rPr>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both"/>
                      <w:rPr>
                        <w:szCs w:val="24"/>
                        <w:lang w:eastAsia="lt-LT"/>
                      </w:rPr>
                    </w:pPr>
                    <w:r>
                      <w:rPr>
                        <w:szCs w:val="24"/>
                        <w:lang w:eastAsia="lt-LT"/>
                      </w:rPr>
                      <w:t>Pagal dvi skirtingas paramos rūšis remiama įmonė turi būti skaičiuojama du kartus – po kartą pagal paramos rūšį.</w:t>
                    </w:r>
                  </w:p>
                  <w:p>
                    <w:pPr>
                      <w:rPr>
                        <w:sz w:val="8"/>
                        <w:szCs w:val="8"/>
                      </w:rPr>
                    </w:pPr>
                  </w:p>
                  <w:p>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 xml:space="preserve">Dotacijų atveju: </w:t>
                    </w:r>
                  </w:p>
                  <w:p>
                    <w:pPr>
                      <w:jc w:val="both"/>
                      <w:rPr>
                        <w:lang w:eastAsia="lt-LT"/>
                      </w:rPr>
                    </w:pPr>
                    <w:r>
                      <w:rPr>
                        <w:lang w:eastAsia="lt-LT"/>
                      </w:rPr>
                      <w:t xml:space="preserve">pirminiai ir antriniai duomenų šaltiniai: </w:t>
                    </w:r>
                  </w:p>
                  <w:p>
                    <w:pPr>
                      <w:jc w:val="both"/>
                    </w:pPr>
                    <w:r>
                      <w:t xml:space="preserve">galutinė veiklos ataskaita. </w:t>
                    </w:r>
                  </w:p>
                  <w:p>
                    <w:pPr>
                      <w:jc w:val="both"/>
                    </w:pPr>
                  </w:p>
                  <w:p>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pPr>
                      <w:spacing w:line="256" w:lineRule="auto"/>
                      <w:jc w:val="both"/>
                      <w:rPr>
                        <w:rFonts w:eastAsia="Calibri"/>
                        <w:bCs/>
                        <w:i/>
                        <w:iCs/>
                        <w:szCs w:val="24"/>
                        <w:lang w:eastAsia="lt-LT"/>
                      </w:rPr>
                    </w:pPr>
                    <w:r>
                      <w:rPr>
                        <w:szCs w:val="24"/>
                        <w:lang w:eastAsia="lt-LT"/>
                      </w:rPr>
                      <w:t xml:space="preserve">Antriniai duomenų šaltiniai: veiklos ataskaitos. </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Už rodiklio pasiekimą atsiskaitoma:</w:t>
                    </w:r>
                  </w:p>
                  <w:p>
                    <w:pPr>
                      <w:ind w:left="795" w:hanging="634"/>
                      <w:jc w:val="both"/>
                      <w:rPr>
                        <w:lang w:eastAsia="lt-LT"/>
                      </w:rPr>
                    </w:pPr>
                    <w:r>
                      <w:rPr>
                        <w:rFonts w:ascii="Symbol" w:hAnsi="Symbol"/>
                        <w:lang w:eastAsia="lt-LT"/>
                      </w:rPr>
                      <w:t></w:t>
                      <w:tab/>
                    </w:r>
                    <w:r>
                      <w:rPr>
                        <w:bCs/>
                      </w:rPr>
                      <w:t xml:space="preserve">projekto veiklų įgyvendinimo </w:t>
                    </w:r>
                    <w:r>
                      <w:rPr>
                        <w:lang w:eastAsia="lt-LT"/>
                      </w:rPr>
                      <w:t>pabaigoje (dotacijų atveju);</w:t>
                    </w:r>
                  </w:p>
                  <w:p>
                    <w:pPr>
                      <w:spacing w:line="256" w:lineRule="auto"/>
                      <w:ind w:left="795" w:hanging="634"/>
                      <w:jc w:val="both"/>
                      <w:rPr>
                        <w:bCs/>
                        <w:i/>
                        <w:iCs/>
                        <w:szCs w:val="24"/>
                        <w:lang w:eastAsia="lt-LT"/>
                      </w:rPr>
                    </w:pPr>
                    <w:r>
                      <w:rPr>
                        <w:rFonts w:ascii="Symbol" w:hAnsi="Symbol"/>
                        <w:bCs/>
                        <w:iCs/>
                        <w:szCs w:val="24"/>
                        <w:lang w:eastAsia="lt-LT"/>
                      </w:rPr>
                      <w:t></w:t>
                      <w:tab/>
                    </w:r>
                    <w:r>
                      <w:t>projekto veiklų įgyvendinimo metu (nefinansinių priemonių atveju), kai pirmą kartą suteikiama nefinansinė parama.</w:t>
                    </w:r>
                  </w:p>
                </w:tc>
              </w:tr>
              <w:tr>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bCs/>
                      </w:rPr>
                      <w:t>Kitas (projekto veiklų įgyvendinimo metu; projekto veiklų įgyvendinimo pabaigoje).</w:t>
                    </w:r>
                  </w:p>
                  <w:p>
                    <w:pPr>
                      <w:jc w:val="both"/>
                      <w:rPr>
                        <w:bCs/>
                        <w:spacing w:val="2"/>
                        <w:shd w:val="clear" w:color="auto" w:fill="FFFFFF"/>
                      </w:rPr>
                    </w:pPr>
                  </w:p>
                  <w:p>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pPr>
                      <w:jc w:val="both"/>
                      <w:rPr>
                        <w:bCs/>
                        <w:szCs w:val="24"/>
                        <w:lang w:eastAsia="lt-LT"/>
                      </w:rPr>
                    </w:pPr>
                  </w:p>
                  <w:p>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i/>
                        <w:iCs/>
                        <w:szCs w:val="24"/>
                      </w:rPr>
                    </w:pPr>
                    <w:r>
                      <w:rPr>
                        <w:bCs/>
                        <w:iCs/>
                        <w:szCs w:val="24"/>
                      </w:rPr>
                      <w:t>Švietimo, mokslo ir sporto ministerija</w:t>
                    </w:r>
                  </w:p>
                </w:tc>
              </w:tr>
              <w:tr>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w:t>
                    </w:r>
                  </w:p>
                  <w:p>
                    <w:pPr>
                      <w:spacing w:line="256" w:lineRule="auto"/>
                      <w:jc w:val="both"/>
                      <w:rPr>
                        <w:rFonts w:eastAsia="Calibri"/>
                        <w:bCs/>
                        <w:iCs/>
                        <w:szCs w:val="24"/>
                        <w:lang w:eastAsia="lt-LT"/>
                      </w:rPr>
                    </w:pPr>
                    <w:r>
                      <w:rPr>
                        <w:rFonts w:eastAsia="Calibri"/>
                        <w:bCs/>
                        <w:iCs/>
                        <w:szCs w:val="24"/>
                        <w:lang w:eastAsia="lt-LT"/>
                      </w:rPr>
                      <w:t>Technologijų ir inovacijų skyrius,</w:t>
                    </w:r>
                  </w:p>
                  <w:p>
                    <w:pPr>
                      <w:spacing w:line="256" w:lineRule="auto"/>
                      <w:rPr>
                        <w:rFonts w:eastAsia="Calibri"/>
                        <w:bCs/>
                        <w:i/>
                        <w:iCs/>
                        <w:szCs w:val="24"/>
                        <w:lang w:eastAsia="lt-LT"/>
                      </w:rPr>
                    </w:pPr>
                    <w:r>
                      <w:rPr>
                        <w:rFonts w:eastAsia="Calibri"/>
                        <w:bCs/>
                        <w:iCs/>
                        <w:szCs w:val="24"/>
                        <w:lang w:eastAsia="lt-LT"/>
                      </w:rPr>
                      <w:t>tel. +370 666 44 315</w:t>
                    </w:r>
                  </w:p>
                </w:tc>
              </w:tr>
              <w:t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lang w:eastAsia="lt-LT"/>
                      </w:rPr>
                    </w:pPr>
                    <w:r>
                      <w:rPr>
                        <w:szCs w:val="24"/>
                        <w:lang w:eastAsia="lt-LT"/>
                      </w:rPr>
                      <w:t>NKL plano rodiklio kodas R.B.1.2009. Rodiklis skaidomas į parodiklius pagal įmonės dydį (R.B.1.2009.1; R.B.1.2009.2; R.B.1.2009.3).</w:t>
                    </w:r>
                  </w:p>
                  <w:p>
                    <w:pPr>
                      <w:widowControl w:val="0"/>
                      <w:spacing w:line="256" w:lineRule="auto"/>
                      <w:jc w:val="both"/>
                      <w:rPr>
                        <w:szCs w:val="24"/>
                        <w:lang w:eastAsia="lt-LT"/>
                      </w:rPr>
                    </w:pPr>
                  </w:p>
                  <w:p>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sdtContent>
        </w:sdt>
        <w:sdt>
          <w:sdtPr>
            <w:alias w:val="skyrius"/>
            <w:tag w:val="part_f7b853e1787549d9925ff62b15fcc0ea"/>
            <w:lock w:val="sdtLocked"/>
            <w:richText/>
          </w:sdtPr>
          <w:sdtContent>
            <w:p>
              <w:pPr>
                <w:keepNext/>
                <w:keepLines/>
                <w:spacing w:line="254" w:lineRule="auto"/>
                <w:jc w:val="center"/>
                <w:outlineLvl w:val="1"/>
                <w:rPr>
                  <w:rFonts w:eastAsia="SimSun"/>
                  <w:b/>
                  <w:caps/>
                  <w:szCs w:val="24"/>
                  <w:lang w:eastAsia="lt-LT"/>
                </w:rPr>
              </w:pPr>
              <w:sdt>
                <w:sdtPr>
                  <w:alias w:val="Numeris"/>
                  <w:tag w:val="nr_f7b853e1787549d9925ff62b15fcc0ea"/>
                  <w:lock w:val="sdtLocked"/>
                  <w:richText/>
                </w:sdtPr>
                <w:sdtContent>
                  <w:r>
                    <w:rPr>
                      <w:rFonts w:eastAsia="SimSun"/>
                      <w:b/>
                      <w:caps/>
                      <w:szCs w:val="24"/>
                      <w:lang w:eastAsia="lt-LT"/>
                    </w:rPr>
                    <w:t>VIII</w:t>
                  </w:r>
                </w:sdtContent>
              </w:sdt>
              <w:r>
                <w:rPr>
                  <w:rFonts w:eastAsia="SimSun"/>
                  <w:b/>
                  <w:caps/>
                  <w:szCs w:val="24"/>
                  <w:lang w:eastAsia="lt-LT"/>
                </w:rPr>
                <w:t xml:space="preserve"> skyrius</w:t>
              </w:r>
            </w:p>
            <w:sdt>
              <w:sdtPr>
                <w:alias w:val="Pavadinimas"/>
                <w:tag w:val="title_f7b853e1787549d9925ff62b15fcc0ea"/>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Paramą gavusios įmonės, iš jų mažos ir labai mažos įmonės</w:t>
                    </w:r>
                  </w:p>
                </w:tc>
              </w:tr>
              <w:tr>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Įmonės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(bendrasis)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i/>
                        <w:iCs/>
                        <w:lang w:eastAsia="lt-LT"/>
                      </w:rPr>
                    </w:pPr>
                    <w:r>
                      <w:rPr>
                        <w:lang w:eastAsia="lt-LT"/>
                      </w:rPr>
                      <w:t>R-12-001-01-02-01-11</w:t>
                    </w:r>
                  </w:p>
                </w:tc>
              </w:tr>
              <w:tr>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Netaikoma.</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pPr>
                      <w:spacing w:line="256" w:lineRule="auto"/>
                      <w:jc w:val="both"/>
                      <w:rPr>
                        <w:lang w:eastAsia="lt-LT"/>
                      </w:rPr>
                    </w:pPr>
                  </w:p>
                  <w:p>
                    <w:pPr>
                      <w:spacing w:line="256" w:lineRule="auto"/>
                      <w:jc w:val="both"/>
                      <w:rPr>
                        <w:lang w:eastAsia="lt-LT"/>
                      </w:rPr>
                    </w:pPr>
                    <w:r>
                      <w:rPr>
                        <w:lang w:eastAsia="lt-LT"/>
                      </w:rPr>
                      <w:t>Rodikliu apskaičiuojamos visos įmonės, gaunančios finansinę (dotacijas) ar nefinansinę (natūrinę) paramą.</w:t>
                    </w:r>
                  </w:p>
                  <w:p>
                    <w:pPr>
                      <w:spacing w:line="256" w:lineRule="auto"/>
                      <w:jc w:val="both"/>
                      <w:rPr>
                        <w:lang w:eastAsia="lt-LT"/>
                      </w:rPr>
                    </w:pPr>
                  </w:p>
                  <w:p>
                    <w:pPr>
                      <w:spacing w:line="256" w:lineRule="auto"/>
                      <w:jc w:val="both"/>
                      <w:rPr>
                        <w:lang w:eastAsia="lt-LT"/>
                      </w:rPr>
                    </w:pPr>
                    <w:r>
                      <w:rPr>
                        <w:lang w:eastAsia="lt-LT"/>
                      </w:rPr>
                      <w:t xml:space="preserve">Įmonė – ekonominę veiklą vykdantis juridinis asmuo (šaltinis: Smulkiojo ir vidutinio verslo plėtros įstatymas). </w:t>
                    </w:r>
                  </w:p>
                  <w:p>
                    <w:pPr>
                      <w:spacing w:line="256" w:lineRule="auto"/>
                      <w:jc w:val="both"/>
                      <w:rPr>
                        <w:lang w:eastAsia="lt-LT"/>
                      </w:rPr>
                    </w:pPr>
                  </w:p>
                  <w:p>
                    <w:pPr>
                      <w:spacing w:line="256" w:lineRule="auto"/>
                      <w:jc w:val="both"/>
                      <w:rPr>
                        <w:lang w:eastAsia="en-IE"/>
                      </w:rPr>
                    </w:pPr>
                    <w:r>
                      <w:rPr>
                        <w:lang w:eastAsia="en-IE"/>
                      </w:rPr>
                      <w:t xml:space="preserve">Skaičiuojant rodiklio reikšmę, prie įmonių skaičiaus pridedamas ir verslininkų skaičius. </w:t>
                    </w:r>
                  </w:p>
                  <w:p>
                    <w:pPr>
                      <w:spacing w:line="256" w:lineRule="auto"/>
                      <w:jc w:val="both"/>
                      <w:rPr>
                        <w:lang w:eastAsia="en-IE"/>
                      </w:rPr>
                    </w:pPr>
                  </w:p>
                  <w:p>
                    <w:pPr>
                      <w:spacing w:line="256" w:lineRule="auto"/>
                      <w:jc w:val="both"/>
                      <w:rPr>
                        <w:lang w:eastAsia="en-IE"/>
                      </w:rPr>
                    </w:pPr>
                    <w:r>
                      <w:rPr>
                        <w:lang w:eastAsia="en-IE"/>
                      </w:rPr>
                      <w:t xml:space="preserve">Verslininkas – fizinis asmuo, kuris verčiasi ekonomine veikla (šaltinis:  Smulkiojo ir vidutinio verslo plėtros įstatymas).</w:t>
                    </w:r>
                  </w:p>
                  <w:p>
                    <w:pPr>
                      <w:spacing w:line="256" w:lineRule="auto"/>
                      <w:jc w:val="both"/>
                      <w:rPr>
                        <w:lang w:eastAsia="en-IE"/>
                      </w:rPr>
                    </w:pPr>
                  </w:p>
                  <w:p>
                    <w:pPr>
                      <w:spacing w:line="256" w:lineRule="auto"/>
                      <w:jc w:val="both"/>
                      <w:rPr>
                        <w:lang w:eastAsia="en-IE"/>
                      </w:rPr>
                    </w:pPr>
                    <w:r>
                      <w:rPr>
                        <w:lang w:eastAsia="en-IE"/>
                      </w:rPr>
                      <w:t>Vertinant ar nustatant įmonių dydį, vadovaujamasi Smulkiojo ir vidutinio verslo plėtros įstatymu.</w:t>
                    </w:r>
                  </w:p>
                  <w:p>
                    <w:pPr>
                      <w:spacing w:line="256" w:lineRule="auto"/>
                      <w:jc w:val="both"/>
                      <w:rPr>
                        <w:lang w:eastAsia="en-IE"/>
                      </w:rPr>
                    </w:pPr>
                  </w:p>
                  <w:p>
                    <w:pPr>
                      <w:spacing w:line="256" w:lineRule="auto"/>
                      <w:jc w:val="both"/>
                      <w:rPr>
                        <w:lang w:eastAsia="en-IE"/>
                      </w:rPr>
                    </w:pPr>
                    <w:r>
                      <w:rPr>
                        <w:lang w:eastAsia="en-IE"/>
                      </w:rPr>
                      <w:t xml:space="preserve">Dotacijų atveju paramą gaunančios įmonės dydis nustatomas PĮP vertinimo metu pagal PĮP pateikimo dieną galiojusią informaciją. </w:t>
                    </w:r>
                  </w:p>
                  <w:p>
                    <w:pPr>
                      <w:spacing w:line="256" w:lineRule="auto"/>
                      <w:jc w:val="both"/>
                      <w:rPr>
                        <w:lang w:eastAsia="en-IE"/>
                      </w:rPr>
                    </w:pPr>
                  </w:p>
                  <w:p>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pPr>
                      <w:spacing w:line="256" w:lineRule="auto"/>
                      <w:jc w:val="both"/>
                      <w:rPr>
                        <w:lang w:eastAsia="en-IE"/>
                      </w:rPr>
                    </w:pPr>
                  </w:p>
                  <w:p>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pPr>
                      <w:rPr>
                        <w:sz w:val="8"/>
                        <w:szCs w:val="8"/>
                      </w:rPr>
                    </w:pPr>
                  </w:p>
                  <w:p>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Dotacijų atveju:</w:t>
                    </w:r>
                  </w:p>
                  <w:p>
                    <w:pPr>
                      <w:spacing w:line="256" w:lineRule="auto"/>
                      <w:jc w:val="both"/>
                      <w:rPr>
                        <w:lang w:eastAsia="lt-LT"/>
                      </w:rPr>
                    </w:pPr>
                    <w:r>
                      <w:rPr>
                        <w:lang w:eastAsia="lt-LT"/>
                      </w:rPr>
                      <w:t>pirminiai ir antriniai duomenų šaltiniai:</w:t>
                    </w:r>
                  </w:p>
                  <w:p>
                    <w:pPr>
                      <w:spacing w:line="256" w:lineRule="auto"/>
                      <w:jc w:val="both"/>
                    </w:pPr>
                    <w:r>
                      <w:t xml:space="preserve">galutinė veiklos ataskaita. </w:t>
                    </w:r>
                  </w:p>
                  <w:p>
                    <w:pPr>
                      <w:spacing w:line="256" w:lineRule="auto"/>
                      <w:jc w:val="both"/>
                    </w:pPr>
                  </w:p>
                  <w:p>
                    <w:pPr>
                      <w:spacing w:line="256" w:lineRule="auto"/>
                      <w:jc w:val="both"/>
                      <w:rPr>
                        <w:lang w:eastAsia="lt-LT"/>
                      </w:rPr>
                    </w:pPr>
                    <w:r>
                      <w:rPr>
                        <w:lang w:eastAsia="lt-LT"/>
                      </w:rPr>
                      <w:t>Nefinansinės paramos atveju:</w:t>
                    </w:r>
                  </w:p>
                  <w:p>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pPr>
                      <w:spacing w:line="256" w:lineRule="auto"/>
                      <w:jc w:val="both"/>
                      <w:rPr>
                        <w:rFonts w:eastAsia="Calibri"/>
                        <w:lang w:eastAsia="lt-LT"/>
                      </w:rPr>
                    </w:pPr>
                    <w:r>
                      <w:rPr>
                        <w:lang w:eastAsia="lt-LT"/>
                      </w:rPr>
                      <w:t>Antriniai duomenų šaltiniai: veiklos ataskaitos.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rodiklio pasiekimą atsiskaitoma:</w:t>
                    </w:r>
                  </w:p>
                  <w:p>
                    <w:pPr>
                      <w:spacing w:line="256" w:lineRule="auto"/>
                      <w:ind w:left="720" w:hanging="360"/>
                      <w:jc w:val="both"/>
                      <w:rPr>
                        <w:lang w:eastAsia="lt-LT"/>
                      </w:rPr>
                    </w:pPr>
                    <w:r>
                      <w:rPr>
                        <w:rFonts w:ascii="Symbol" w:hAnsi="Symbol"/>
                        <w:lang w:eastAsia="lt-LT"/>
                      </w:rPr>
                      <w:t></w:t>
                      <w:tab/>
                    </w:r>
                    <w:r>
                      <w:rPr>
                        <w:bCs/>
                      </w:rPr>
                      <w:t xml:space="preserve">projekto veiklų įgyvendinimo </w:t>
                    </w:r>
                    <w:r>
                      <w:rPr>
                        <w:lang w:eastAsia="lt-LT"/>
                      </w:rPr>
                      <w:t xml:space="preserve">pabaigoje  (dotacijų atveju);</w:t>
                    </w:r>
                  </w:p>
                  <w:p>
                    <w:pPr>
                      <w:spacing w:line="256" w:lineRule="auto"/>
                      <w:ind w:left="720" w:hanging="360"/>
                      <w:jc w:val="both"/>
                      <w:rPr>
                        <w:i/>
                        <w:lang w:eastAsia="lt-LT"/>
                      </w:rPr>
                    </w:pPr>
                    <w:r>
                      <w:rPr>
                        <w:rFonts w:ascii="Symbol" w:hAnsi="Symbol"/>
                        <w:lang w:eastAsia="lt-LT"/>
                      </w:rPr>
                      <w:t></w:t>
                      <w:tab/>
                    </w:r>
                    <w:r>
                      <w:t>projekto veiklų įgyvendinimo metu (nefinansinių priemonių atveju), kai pirmą kartą suteikiama nefinansinė parama.</w:t>
                    </w:r>
                  </w:p>
                </w:tc>
              </w:tr>
              <w:tr>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bCs/>
                      </w:rPr>
                      <w:t>Kitas (projekto veiklų įgyvendinimo metu</w:t>
                    </w:r>
                    <w:r>
                      <w:rPr>
                        <w:lang w:eastAsia="lt-LT"/>
                      </w:rPr>
                      <w:t>;</w:t>
                    </w:r>
                    <w:r>
                      <w:rPr>
                        <w:bCs/>
                      </w:rPr>
                      <w:t xml:space="preserve"> projekto veiklų įgyvendinimo pabaigoje).</w:t>
                    </w:r>
                  </w:p>
                  <w:p>
                    <w:pPr>
                      <w:spacing w:line="256" w:lineRule="auto"/>
                      <w:jc w:val="both"/>
                    </w:pPr>
                  </w:p>
                  <w:p>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pPr>
                      <w:spacing w:line="256" w:lineRule="auto"/>
                      <w:jc w:val="both"/>
                      <w:rPr>
                        <w:lang w:eastAsia="lt-LT"/>
                      </w:rPr>
                    </w:pPr>
                  </w:p>
                  <w:p>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bCs/>
                        <w:iCs/>
                        <w:szCs w:val="24"/>
                      </w:rPr>
                      <w:t>Švietimo, mokslo ir sporto ministerija</w:t>
                    </w:r>
                  </w:p>
                </w:tc>
              </w:tr>
              <w:tr>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w:t>
                    </w:r>
                  </w:p>
                  <w:p>
                    <w:pPr>
                      <w:spacing w:line="256" w:lineRule="auto"/>
                      <w:jc w:val="both"/>
                      <w:rPr>
                        <w:rFonts w:eastAsia="Calibri"/>
                        <w:bCs/>
                        <w:iCs/>
                        <w:szCs w:val="24"/>
                        <w:lang w:eastAsia="lt-LT"/>
                      </w:rPr>
                    </w:pPr>
                    <w:r>
                      <w:rPr>
                        <w:rFonts w:eastAsia="Calibri"/>
                        <w:bCs/>
                        <w:iCs/>
                        <w:szCs w:val="24"/>
                        <w:lang w:eastAsia="lt-LT"/>
                      </w:rPr>
                      <w:t>Technologijų ir inovacijų skyrius,</w:t>
                    </w:r>
                  </w:p>
                  <w:p>
                    <w:pPr>
                      <w:spacing w:line="256" w:lineRule="auto"/>
                      <w:rPr>
                        <w:rFonts w:eastAsia="Calibri"/>
                        <w:bCs/>
                        <w:i/>
                        <w:iCs/>
                        <w:szCs w:val="24"/>
                        <w:lang w:eastAsia="lt-LT"/>
                      </w:rPr>
                    </w:pPr>
                    <w:r>
                      <w:rPr>
                        <w:rFonts w:eastAsia="Calibri"/>
                        <w:bCs/>
                        <w:iCs/>
                        <w:szCs w:val="24"/>
                        <w:lang w:eastAsia="lt-LT"/>
                      </w:rPr>
                      <w:t>tel. +370 666 44 315</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pPr>
                      <w:widowControl w:val="0"/>
                      <w:spacing w:line="256" w:lineRule="auto"/>
                      <w:jc w:val="both"/>
                      <w:rPr>
                        <w:lang w:eastAsia="lt-LT"/>
                      </w:rPr>
                    </w:pPr>
                  </w:p>
                  <w:p>
                    <w:pPr>
                      <w:widowControl w:val="0"/>
                      <w:spacing w:line="256" w:lineRule="auto"/>
                      <w:jc w:val="both"/>
                    </w:pPr>
                    <w:r>
                      <w:t>Rodiklis įskaitomas į R.B.1.2009 rodiklį.</w:t>
                    </w:r>
                  </w:p>
                  <w:p>
                    <w:pPr>
                      <w:widowControl w:val="0"/>
                      <w:spacing w:line="256" w:lineRule="auto"/>
                      <w:jc w:val="both"/>
                    </w:pPr>
                  </w:p>
                  <w:p>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sdtContent>
        </w:sdt>
        <w:sdt>
          <w:sdtPr>
            <w:alias w:val="skyrius"/>
            <w:tag w:val="part_d4201dacc69d4122a5069b9316b1ab5e"/>
            <w:lock w:val="sdtLocked"/>
            <w:richText/>
          </w:sdtPr>
          <w:sdtContent>
            <w:p>
              <w:pPr>
                <w:keepNext/>
                <w:keepLines/>
                <w:spacing w:line="254" w:lineRule="auto"/>
                <w:jc w:val="center"/>
                <w:outlineLvl w:val="1"/>
                <w:rPr>
                  <w:rFonts w:eastAsia="SimSun"/>
                  <w:b/>
                  <w:caps/>
                  <w:szCs w:val="24"/>
                  <w:lang w:eastAsia="lt-LT"/>
                </w:rPr>
              </w:pPr>
              <w:sdt>
                <w:sdtPr>
                  <w:alias w:val="Numeris"/>
                  <w:tag w:val="nr_d4201dacc69d4122a5069b9316b1ab5e"/>
                  <w:lock w:val="sdtLocked"/>
                  <w:richText/>
                </w:sdtPr>
                <w:sdtContent>
                  <w:r>
                    <w:rPr>
                      <w:rFonts w:eastAsia="SimSun"/>
                      <w:b/>
                      <w:caps/>
                      <w:szCs w:val="24"/>
                      <w:lang w:eastAsia="lt-LT"/>
                    </w:rPr>
                    <w:t>IX</w:t>
                  </w:r>
                </w:sdtContent>
              </w:sdt>
              <w:r>
                <w:rPr>
                  <w:rFonts w:eastAsia="SimSun"/>
                  <w:b/>
                  <w:caps/>
                  <w:szCs w:val="24"/>
                  <w:lang w:eastAsia="lt-LT"/>
                </w:rPr>
                <w:t xml:space="preserve"> skyrius</w:t>
              </w:r>
            </w:p>
            <w:sdt>
              <w:sdtPr>
                <w:alias w:val="Pavadinimas"/>
                <w:tag w:val="title_d4201dacc69d4122a5069b9316b1ab5e"/>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Paramą gavusios įmonės, iš jų vidutinės įmonės</w:t>
                    </w:r>
                  </w:p>
                </w:tc>
              </w:tr>
              <w:tr>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Įmonės</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(bendrasis)</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i/>
                        <w:iCs/>
                        <w:lang w:eastAsia="lt-LT"/>
                      </w:rPr>
                    </w:pPr>
                    <w:r>
                      <w:rPr>
                        <w:lang w:eastAsia="lt-LT"/>
                      </w:rPr>
                      <w:t>R-12-001-01-02-01-12</w:t>
                    </w:r>
                  </w:p>
                </w:tc>
              </w:tr>
              <w:tr>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Netaikoma.</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pPr>
                      <w:spacing w:line="256" w:lineRule="auto"/>
                      <w:jc w:val="both"/>
                      <w:rPr>
                        <w:lang w:eastAsia="lt-LT"/>
                      </w:rPr>
                    </w:pPr>
                  </w:p>
                  <w:p>
                    <w:pPr>
                      <w:spacing w:line="256" w:lineRule="auto"/>
                      <w:jc w:val="both"/>
                      <w:rPr>
                        <w:lang w:eastAsia="lt-LT"/>
                      </w:rPr>
                    </w:pPr>
                    <w:r>
                      <w:rPr>
                        <w:lang w:eastAsia="lt-LT"/>
                      </w:rPr>
                      <w:t xml:space="preserve">Rodikliu apskaičiuojamos visos įmonės,  gaunančios finansinę (dotacijas) ar nefinansinę (natūrinę) paramą.</w:t>
                    </w:r>
                  </w:p>
                  <w:p>
                    <w:pPr>
                      <w:spacing w:line="256" w:lineRule="auto"/>
                      <w:jc w:val="both"/>
                      <w:rPr>
                        <w:lang w:eastAsia="lt-LT"/>
                      </w:rPr>
                    </w:pPr>
                  </w:p>
                  <w:p>
                    <w:pPr>
                      <w:spacing w:line="256" w:lineRule="auto"/>
                      <w:jc w:val="both"/>
                      <w:rPr>
                        <w:lang w:eastAsia="lt-LT"/>
                      </w:rPr>
                    </w:pPr>
                    <w:r>
                      <w:rPr>
                        <w:lang w:eastAsia="lt-LT"/>
                      </w:rPr>
                      <w:t xml:space="preserve">Įmonė – ekonominę veiklą vykdantis juridinis asmuo (šaltinis: Smulkiojo ir vidutinio verslo plėtros įstatymas). </w:t>
                    </w:r>
                  </w:p>
                  <w:p>
                    <w:pPr>
                      <w:spacing w:line="256" w:lineRule="auto"/>
                      <w:jc w:val="both"/>
                      <w:rPr>
                        <w:lang w:eastAsia="lt-LT"/>
                      </w:rPr>
                    </w:pPr>
                  </w:p>
                  <w:p>
                    <w:pPr>
                      <w:spacing w:line="256" w:lineRule="auto"/>
                      <w:jc w:val="both"/>
                      <w:rPr>
                        <w:lang w:eastAsia="en-IE"/>
                      </w:rPr>
                    </w:pPr>
                    <w:r>
                      <w:rPr>
                        <w:lang w:eastAsia="en-IE"/>
                      </w:rPr>
                      <w:t xml:space="preserve">Skaičiuojant rodiklio reikšmę, prie įmonių skaičiaus pridedamas ir verslininkų skaičius. </w:t>
                    </w:r>
                  </w:p>
                  <w:p>
                    <w:pPr>
                      <w:spacing w:line="256" w:lineRule="auto"/>
                      <w:jc w:val="both"/>
                      <w:rPr>
                        <w:lang w:eastAsia="en-IE"/>
                      </w:rPr>
                    </w:pPr>
                  </w:p>
                  <w:p>
                    <w:pPr>
                      <w:spacing w:line="256" w:lineRule="auto"/>
                      <w:jc w:val="both"/>
                      <w:rPr>
                        <w:lang w:eastAsia="en-IE"/>
                      </w:rPr>
                    </w:pPr>
                    <w:r>
                      <w:rPr>
                        <w:lang w:eastAsia="en-IE"/>
                      </w:rPr>
                      <w:t>Verslininkas – fizinis asmuo, kuris verčiasi ekonomine veikla (šaltinis: Smulkiojo ir vidutinio verslo plėtros įstatymas).</w:t>
                    </w:r>
                  </w:p>
                  <w:p>
                    <w:pPr>
                      <w:spacing w:line="256" w:lineRule="auto"/>
                      <w:jc w:val="both"/>
                      <w:rPr>
                        <w:iCs/>
                        <w:szCs w:val="24"/>
                        <w:lang w:eastAsia="lt-LT"/>
                      </w:rPr>
                    </w:pPr>
                  </w:p>
                  <w:p>
                    <w:pPr>
                      <w:spacing w:line="256" w:lineRule="auto"/>
                      <w:jc w:val="both"/>
                      <w:rPr>
                        <w:iCs/>
                        <w:szCs w:val="24"/>
                        <w:lang w:eastAsia="lt-LT"/>
                      </w:rPr>
                    </w:pPr>
                    <w:r>
                      <w:rPr>
                        <w:iCs/>
                        <w:szCs w:val="24"/>
                        <w:lang w:eastAsia="lt-LT"/>
                      </w:rPr>
                      <w:t>Vertinant ar nustatant įmonių dydį, vadovaujamasi Smulkiojo ir vidutinio verslo plėtros įstatymu.</w:t>
                    </w:r>
                  </w:p>
                  <w:p>
                    <w:pPr>
                      <w:spacing w:line="256" w:lineRule="auto"/>
                      <w:jc w:val="both"/>
                      <w:rPr>
                        <w:iCs/>
                        <w:szCs w:val="24"/>
                        <w:lang w:eastAsia="lt-LT"/>
                      </w:rPr>
                    </w:pPr>
                  </w:p>
                  <w:p>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pPr>
                      <w:spacing w:line="256" w:lineRule="auto"/>
                      <w:jc w:val="both"/>
                      <w:rPr>
                        <w:iCs/>
                        <w:szCs w:val="24"/>
                        <w:lang w:eastAsia="lt-LT"/>
                      </w:rPr>
                    </w:pPr>
                  </w:p>
                  <w:p>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pPr>
                      <w:spacing w:line="256" w:lineRule="auto"/>
                      <w:jc w:val="both"/>
                      <w:rPr>
                        <w:iCs/>
                        <w:szCs w:val="24"/>
                        <w:lang w:eastAsia="lt-LT"/>
                      </w:rPr>
                    </w:pPr>
                  </w:p>
                  <w:p>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pPr>
                      <w:rPr>
                        <w:sz w:val="8"/>
                        <w:szCs w:val="8"/>
                      </w:rPr>
                    </w:pPr>
                  </w:p>
                  <w:p>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Dotacijų atveju:</w:t>
                    </w:r>
                  </w:p>
                  <w:p>
                    <w:pPr>
                      <w:spacing w:line="256" w:lineRule="auto"/>
                      <w:jc w:val="both"/>
                      <w:rPr>
                        <w:lang w:eastAsia="lt-LT"/>
                      </w:rPr>
                    </w:pPr>
                    <w:r>
                      <w:rPr>
                        <w:lang w:eastAsia="lt-LT"/>
                      </w:rPr>
                      <w:t>pirminiai ir antriniai duomenų šaltiniai:</w:t>
                    </w:r>
                  </w:p>
                  <w:p>
                    <w:pPr>
                      <w:spacing w:line="256" w:lineRule="auto"/>
                      <w:jc w:val="both"/>
                    </w:pPr>
                    <w:r>
                      <w:t xml:space="preserve">galutinė veiklos ataskaita. </w:t>
                    </w:r>
                  </w:p>
                  <w:p>
                    <w:pPr>
                      <w:spacing w:line="256" w:lineRule="auto"/>
                      <w:jc w:val="both"/>
                    </w:pPr>
                  </w:p>
                  <w:p>
                    <w:pPr>
                      <w:spacing w:line="256" w:lineRule="auto"/>
                      <w:jc w:val="both"/>
                      <w:rPr>
                        <w:lang w:eastAsia="lt-LT"/>
                      </w:rPr>
                    </w:pPr>
                    <w:r>
                      <w:rPr>
                        <w:lang w:eastAsia="lt-LT"/>
                      </w:rPr>
                      <w:t>Nefinansinės paramos atveju:</w:t>
                    </w:r>
                  </w:p>
                  <w:p>
                    <w:pPr>
                      <w:spacing w:line="256" w:lineRule="auto"/>
                      <w:jc w:val="both"/>
                      <w:rPr>
                        <w:lang w:eastAsia="lt-LT"/>
                      </w:rPr>
                    </w:pPr>
                    <w:r>
                      <w:rPr>
                        <w:lang w:eastAsia="lt-LT"/>
                      </w:rPr>
                      <w:t>pirminiai duomenų šaltiniai:</w:t>
                    </w:r>
                  </w:p>
                  <w:p>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rodiklio pasiekimą atsiskaitoma:</w:t>
                    </w:r>
                  </w:p>
                  <w:p>
                    <w:pPr>
                      <w:spacing w:line="256" w:lineRule="auto"/>
                      <w:ind w:left="720" w:hanging="360"/>
                      <w:jc w:val="both"/>
                      <w:rPr>
                        <w:lang w:eastAsia="lt-LT"/>
                      </w:rPr>
                    </w:pPr>
                    <w:r>
                      <w:rPr>
                        <w:rFonts w:ascii="Symbol" w:hAnsi="Symbol"/>
                        <w:lang w:eastAsia="lt-LT"/>
                      </w:rPr>
                      <w:t></w:t>
                      <w:tab/>
                    </w:r>
                    <w:r>
                      <w:rPr>
                        <w:bCs/>
                      </w:rPr>
                      <w:t xml:space="preserve">projekto veiklų įgyvendinimo </w:t>
                    </w:r>
                    <w:r>
                      <w:rPr>
                        <w:lang w:eastAsia="lt-LT"/>
                      </w:rPr>
                      <w:t xml:space="preserve">pabaigoje  (dotacijų atveju);</w:t>
                    </w:r>
                  </w:p>
                  <w:p>
                    <w:pPr>
                      <w:spacing w:line="256" w:lineRule="auto"/>
                      <w:ind w:left="720" w:hanging="360"/>
                      <w:jc w:val="both"/>
                      <w:rPr>
                        <w:i/>
                        <w:lang w:eastAsia="lt-LT"/>
                      </w:rPr>
                    </w:pPr>
                    <w:r>
                      <w:rPr>
                        <w:rFonts w:ascii="Symbol" w:hAnsi="Symbol"/>
                        <w:lang w:eastAsia="lt-LT"/>
                      </w:rPr>
                      <w:t></w:t>
                      <w:tab/>
                    </w:r>
                    <w:r>
                      <w:t>projekto veiklų įgyvendinimo metu (nefinansinių priemonių atveju), kai pirmą kartą suteikiama nefinansinė parama.</w:t>
                    </w:r>
                  </w:p>
                </w:tc>
              </w:tr>
              <w:tr>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bCs/>
                      </w:rPr>
                      <w:t>Kitas (projekto veiklų įgyvendinimo metu</w:t>
                    </w:r>
                    <w:r>
                      <w:rPr>
                        <w:lang w:eastAsia="lt-LT"/>
                      </w:rPr>
                      <w:t>;</w:t>
                    </w:r>
                    <w:r>
                      <w:rPr>
                        <w:bCs/>
                      </w:rPr>
                      <w:t xml:space="preserve"> projekto veiklų įgyvendinimo pabaigoje).</w:t>
                    </w:r>
                  </w:p>
                  <w:p>
                    <w:pPr>
                      <w:spacing w:line="256" w:lineRule="auto"/>
                      <w:jc w:val="both"/>
                    </w:pPr>
                  </w:p>
                  <w:p>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pPr>
                      <w:spacing w:line="256" w:lineRule="auto"/>
                      <w:jc w:val="both"/>
                      <w:rPr>
                        <w:lang w:eastAsia="lt-LT"/>
                      </w:rPr>
                    </w:pPr>
                  </w:p>
                  <w:p>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bCs/>
                        <w:iCs/>
                        <w:szCs w:val="24"/>
                      </w:rPr>
                      <w:t>Švietimo, mokslo ir sporto ministerija</w:t>
                    </w:r>
                  </w:p>
                </w:tc>
              </w:tr>
              <w:tr>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w:t>
                    </w:r>
                  </w:p>
                  <w:p>
                    <w:pPr>
                      <w:spacing w:line="256" w:lineRule="auto"/>
                      <w:jc w:val="both"/>
                      <w:rPr>
                        <w:rFonts w:eastAsia="Calibri"/>
                        <w:bCs/>
                        <w:iCs/>
                        <w:szCs w:val="24"/>
                        <w:lang w:eastAsia="lt-LT"/>
                      </w:rPr>
                    </w:pPr>
                    <w:r>
                      <w:rPr>
                        <w:rFonts w:eastAsia="Calibri"/>
                        <w:bCs/>
                        <w:iCs/>
                        <w:szCs w:val="24"/>
                        <w:lang w:eastAsia="lt-LT"/>
                      </w:rPr>
                      <w:t>Technologijų ir inovacijų skyrius,</w:t>
                    </w:r>
                  </w:p>
                  <w:p>
                    <w:pPr>
                      <w:spacing w:line="256" w:lineRule="auto"/>
                      <w:rPr>
                        <w:rFonts w:eastAsia="Calibri"/>
                        <w:bCs/>
                        <w:i/>
                        <w:iCs/>
                        <w:szCs w:val="24"/>
                        <w:lang w:eastAsia="lt-LT"/>
                      </w:rPr>
                    </w:pPr>
                    <w:r>
                      <w:rPr>
                        <w:rFonts w:eastAsia="Calibri"/>
                        <w:bCs/>
                        <w:iCs/>
                        <w:szCs w:val="24"/>
                        <w:lang w:eastAsia="lt-LT"/>
                      </w:rPr>
                      <w:t>tel. +370 666 44 315</w:t>
                    </w:r>
                  </w:p>
                </w:tc>
              </w:tr>
              <w:tr>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pPr>
                      <w:widowControl w:val="0"/>
                      <w:spacing w:line="256" w:lineRule="auto"/>
                      <w:jc w:val="both"/>
                      <w:rPr>
                        <w:lang w:eastAsia="lt-LT"/>
                      </w:rPr>
                    </w:pPr>
                  </w:p>
                  <w:p>
                    <w:pPr>
                      <w:widowControl w:val="0"/>
                      <w:spacing w:line="256" w:lineRule="auto"/>
                      <w:jc w:val="both"/>
                    </w:pPr>
                    <w:r>
                      <w:t>Rodiklis įskaitomas į R.B.1.2009 rodiklį.</w:t>
                    </w:r>
                  </w:p>
                  <w:p>
                    <w:pPr>
                      <w:widowControl w:val="0"/>
                      <w:spacing w:line="256" w:lineRule="auto"/>
                      <w:jc w:val="both"/>
                    </w:pPr>
                  </w:p>
                  <w:p>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sdtContent>
        </w:sdt>
        <w:sdt>
          <w:sdtPr>
            <w:alias w:val="skyrius"/>
            <w:tag w:val="part_5f2a9421d4124928b8b84f59a25284f4"/>
            <w:lock w:val="sdtLocked"/>
            <w:richText/>
          </w:sdtPr>
          <w:sdtContent>
            <w:p>
              <w:pPr>
                <w:keepNext/>
                <w:keepLines/>
                <w:spacing w:line="254" w:lineRule="auto"/>
                <w:jc w:val="center"/>
                <w:outlineLvl w:val="1"/>
                <w:rPr>
                  <w:rFonts w:eastAsia="SimSun"/>
                  <w:b/>
                  <w:caps/>
                  <w:szCs w:val="24"/>
                  <w:lang w:eastAsia="lt-LT"/>
                </w:rPr>
              </w:pPr>
              <w:sdt>
                <w:sdtPr>
                  <w:alias w:val="Numeris"/>
                  <w:tag w:val="nr_5f2a9421d4124928b8b84f59a25284f4"/>
                  <w:lock w:val="sdtLocked"/>
                  <w:richText/>
                </w:sdtPr>
                <w:sdtContent>
                  <w:r>
                    <w:rPr>
                      <w:rFonts w:eastAsia="SimSun"/>
                      <w:b/>
                      <w:caps/>
                      <w:szCs w:val="24"/>
                      <w:lang w:eastAsia="lt-LT"/>
                    </w:rPr>
                    <w:t>X</w:t>
                  </w:r>
                </w:sdtContent>
              </w:sdt>
              <w:r>
                <w:rPr>
                  <w:rFonts w:eastAsia="SimSun"/>
                  <w:b/>
                  <w:caps/>
                  <w:szCs w:val="24"/>
                  <w:lang w:eastAsia="lt-LT"/>
                </w:rPr>
                <w:t xml:space="preserve"> skyrius</w:t>
              </w:r>
            </w:p>
            <w:sdt>
              <w:sdtPr>
                <w:alias w:val="Pavadinimas"/>
                <w:tag w:val="title_5f2a9421d4124928b8b84f59a25284f4"/>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Įmonės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Rezultato rodiklis (bendrasis)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i/>
                        <w:iCs/>
                        <w:lang w:eastAsia="lt-LT"/>
                      </w:rPr>
                    </w:pPr>
                    <w:r>
                      <w:rPr>
                        <w:lang w:eastAsia="lt-LT"/>
                      </w:rPr>
                      <w:t>R-12-001-01-02-01-13</w:t>
                    </w:r>
                  </w:p>
                </w:tc>
              </w:tr>
              <w:tr>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Netaikoma.</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pPr>
                      <w:spacing w:line="256" w:lineRule="auto"/>
                      <w:jc w:val="both"/>
                      <w:rPr>
                        <w:lang w:eastAsia="lt-LT"/>
                      </w:rPr>
                    </w:pPr>
                  </w:p>
                  <w:p>
                    <w:pPr>
                      <w:spacing w:line="256" w:lineRule="auto"/>
                      <w:jc w:val="both"/>
                      <w:rPr>
                        <w:lang w:eastAsia="lt-LT"/>
                      </w:rPr>
                    </w:pPr>
                    <w:r>
                      <w:rPr>
                        <w:lang w:eastAsia="lt-LT"/>
                      </w:rPr>
                      <w:t xml:space="preserve">Rodikliu apskaičiuojamos visos įmonės,  gaunančios finansinę (dotacijas) ar nefinansinę (natūrinę) paramą.</w:t>
                    </w:r>
                  </w:p>
                  <w:p>
                    <w:pPr>
                      <w:spacing w:line="256" w:lineRule="auto"/>
                      <w:jc w:val="both"/>
                      <w:rPr>
                        <w:lang w:eastAsia="lt-LT"/>
                      </w:rPr>
                    </w:pPr>
                  </w:p>
                  <w:p>
                    <w:pPr>
                      <w:spacing w:line="256" w:lineRule="auto"/>
                      <w:jc w:val="both"/>
                      <w:rPr>
                        <w:lang w:eastAsia="lt-LT"/>
                      </w:rPr>
                    </w:pPr>
                    <w:r>
                      <w:rPr>
                        <w:lang w:eastAsia="lt-LT"/>
                      </w:rPr>
                      <w:t xml:space="preserve">Įmonė – ekonominę veiklą vykdantis juridinis asmuo (šaltinis: Smulkiojo ir vidutinio verslo plėtros įstatymas). </w:t>
                    </w:r>
                  </w:p>
                  <w:p>
                    <w:pPr>
                      <w:spacing w:line="256" w:lineRule="auto"/>
                      <w:jc w:val="both"/>
                      <w:rPr>
                        <w:lang w:eastAsia="lt-LT"/>
                      </w:rPr>
                    </w:pPr>
                  </w:p>
                  <w:p>
                    <w:pPr>
                      <w:spacing w:line="256" w:lineRule="auto"/>
                      <w:jc w:val="both"/>
                      <w:rPr>
                        <w:lang w:eastAsia="en-IE"/>
                      </w:rPr>
                    </w:pPr>
                    <w:r>
                      <w:rPr>
                        <w:lang w:eastAsia="en-IE"/>
                      </w:rPr>
                      <w:t xml:space="preserve">Skaičiuojant rodiklio reikšmę, prie įmonių skaičiaus pridedamas ir verslininkų skaičius. </w:t>
                    </w:r>
                  </w:p>
                  <w:p>
                    <w:pPr>
                      <w:spacing w:line="256" w:lineRule="auto"/>
                      <w:jc w:val="both"/>
                      <w:rPr>
                        <w:lang w:eastAsia="en-IE"/>
                      </w:rPr>
                    </w:pPr>
                  </w:p>
                  <w:p>
                    <w:pPr>
                      <w:spacing w:line="256" w:lineRule="auto"/>
                      <w:jc w:val="both"/>
                      <w:rPr>
                        <w:lang w:eastAsia="en-IE"/>
                      </w:rPr>
                    </w:pPr>
                    <w:r>
                      <w:rPr>
                        <w:lang w:eastAsia="en-IE"/>
                      </w:rPr>
                      <w:t>Verslininkas – fizinis asmuo, kuris verčiasi ekonomine veikla (šaltinis: Smulkiojo ir vidutinio verslo plėtros įstatymas).</w:t>
                    </w:r>
                  </w:p>
                  <w:p>
                    <w:pPr>
                      <w:spacing w:line="256" w:lineRule="auto"/>
                      <w:jc w:val="both"/>
                      <w:rPr>
                        <w:lang w:eastAsia="lt-LT"/>
                      </w:rPr>
                    </w:pPr>
                  </w:p>
                  <w:p>
                    <w:pPr>
                      <w:spacing w:line="256" w:lineRule="auto"/>
                      <w:jc w:val="both"/>
                      <w:rPr>
                        <w:lang w:eastAsia="lt-LT"/>
                      </w:rPr>
                    </w:pPr>
                    <w:r>
                      <w:rPr>
                        <w:lang w:eastAsia="lt-LT"/>
                      </w:rPr>
                      <w:t>Vertinant ar nustatant įmonių dydį, vadovaujamasi Smulkiojo ir vidutinio verslo plėtros įstatymu.</w:t>
                    </w:r>
                  </w:p>
                  <w:p>
                    <w:pPr>
                      <w:spacing w:line="256" w:lineRule="auto"/>
                      <w:jc w:val="both"/>
                      <w:rPr>
                        <w:lang w:eastAsia="lt-LT"/>
                      </w:rPr>
                    </w:pPr>
                  </w:p>
                  <w:p>
                    <w:pPr>
                      <w:spacing w:line="256" w:lineRule="auto"/>
                      <w:jc w:val="both"/>
                      <w:rPr>
                        <w:lang w:eastAsia="lt-LT"/>
                      </w:rPr>
                    </w:pPr>
                    <w:r>
                      <w:rPr>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43 000 000,00 Eur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pPr>
                      <w:spacing w:line="256" w:lineRule="auto"/>
                      <w:jc w:val="both"/>
                      <w:rPr>
                        <w:lang w:eastAsia="lt-LT"/>
                      </w:rPr>
                    </w:pPr>
                  </w:p>
                  <w:p>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pPr>
                      <w:spacing w:line="256" w:lineRule="auto"/>
                      <w:jc w:val="both"/>
                      <w:rPr>
                        <w:lang w:eastAsia="lt-LT"/>
                      </w:rPr>
                    </w:pPr>
                  </w:p>
                  <w:p>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pPr>
                      <w:spacing w:line="256" w:lineRule="auto"/>
                      <w:jc w:val="both"/>
                      <w:rPr>
                        <w:lang w:eastAsia="lt-LT"/>
                      </w:rPr>
                    </w:pPr>
                  </w:p>
                  <w:p>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pPr>
                      <w:rPr>
                        <w:sz w:val="8"/>
                        <w:szCs w:val="8"/>
                      </w:rPr>
                    </w:pPr>
                  </w:p>
                  <w:p>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Dotacijų atveju:</w:t>
                    </w:r>
                  </w:p>
                  <w:p>
                    <w:pPr>
                      <w:spacing w:line="256" w:lineRule="auto"/>
                      <w:jc w:val="both"/>
                      <w:rPr>
                        <w:lang w:eastAsia="lt-LT"/>
                      </w:rPr>
                    </w:pPr>
                    <w:r>
                      <w:rPr>
                        <w:lang w:eastAsia="lt-LT"/>
                      </w:rPr>
                      <w:t>pirminiai ir antriniai duomenų šaltiniai:</w:t>
                    </w:r>
                  </w:p>
                  <w:p>
                    <w:pPr>
                      <w:spacing w:line="256" w:lineRule="auto"/>
                      <w:jc w:val="both"/>
                    </w:pPr>
                    <w:r>
                      <w:t xml:space="preserve">galutinė veiklos ataskaita. </w:t>
                    </w:r>
                  </w:p>
                  <w:p>
                    <w:pPr>
                      <w:spacing w:line="256" w:lineRule="auto"/>
                      <w:jc w:val="both"/>
                    </w:pPr>
                  </w:p>
                  <w:p>
                    <w:pPr>
                      <w:spacing w:line="256" w:lineRule="auto"/>
                      <w:jc w:val="both"/>
                      <w:rPr>
                        <w:lang w:eastAsia="lt-LT"/>
                      </w:rPr>
                    </w:pPr>
                    <w:r>
                      <w:rPr>
                        <w:lang w:eastAsia="lt-LT"/>
                      </w:rPr>
                      <w:t>Nefinansinės paramos atveju:</w:t>
                    </w:r>
                  </w:p>
                  <w:p>
                    <w:pPr>
                      <w:spacing w:line="256" w:lineRule="auto"/>
                      <w:jc w:val="both"/>
                      <w:rPr>
                        <w:lang w:eastAsia="lt-LT"/>
                      </w:rPr>
                    </w:pPr>
                    <w:r>
                      <w:rPr>
                        <w:lang w:eastAsia="lt-LT"/>
                      </w:rPr>
                      <w:t>pirminiai duomenų šaltiniai:</w:t>
                    </w:r>
                  </w:p>
                  <w:p>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pPr>
                      <w:spacing w:line="256" w:lineRule="auto"/>
                      <w:jc w:val="both"/>
                      <w:rPr>
                        <w:rFonts w:eastAsia="Calibri"/>
                        <w:lang w:eastAsia="lt-LT"/>
                      </w:rPr>
                    </w:pPr>
                    <w:r>
                      <w:rPr>
                        <w:lang w:eastAsia="lt-LT"/>
                      </w:rPr>
                      <w:t>Antriniai duomenų šaltiniai: veiklos ataskaitos.</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rodiklio pasiekimą atsiskaitoma:</w:t>
                    </w:r>
                  </w:p>
                  <w:p>
                    <w:pPr>
                      <w:spacing w:line="256" w:lineRule="auto"/>
                      <w:ind w:left="778" w:hanging="360"/>
                      <w:jc w:val="both"/>
                      <w:rPr>
                        <w:lang w:eastAsia="lt-LT"/>
                      </w:rPr>
                    </w:pPr>
                    <w:r>
                      <w:rPr>
                        <w:rFonts w:ascii="Symbol" w:hAnsi="Symbol"/>
                        <w:lang w:eastAsia="lt-LT"/>
                      </w:rPr>
                      <w:t></w:t>
                      <w:tab/>
                    </w:r>
                    <w:r>
                      <w:rPr>
                        <w:bCs/>
                      </w:rPr>
                      <w:t xml:space="preserve">projekto veiklų įgyvendinimo </w:t>
                    </w:r>
                    <w:r>
                      <w:rPr>
                        <w:lang w:eastAsia="lt-LT"/>
                      </w:rPr>
                      <w:t xml:space="preserve">pabaigoje  (dotacijų atveju);</w:t>
                    </w:r>
                  </w:p>
                  <w:p>
                    <w:pPr>
                      <w:spacing w:line="256" w:lineRule="auto"/>
                      <w:ind w:left="778" w:hanging="360"/>
                      <w:jc w:val="both"/>
                      <w:rPr>
                        <w:i/>
                        <w:lang w:eastAsia="lt-LT"/>
                      </w:rPr>
                    </w:pPr>
                    <w:r>
                      <w:rPr>
                        <w:rFonts w:ascii="Symbol" w:hAnsi="Symbol"/>
                        <w:lang w:eastAsia="lt-LT"/>
                      </w:rPr>
                      <w:t></w:t>
                      <w:tab/>
                    </w:r>
                    <w:r>
                      <w:t>projekto veiklų įgyvendinimo metu (nefinansinių priemonių atveju), kai pirmą kartą suteikiama nefinansinė parama.</w:t>
                    </w:r>
                  </w:p>
                </w:tc>
              </w:tr>
              <w:tr>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bCs/>
                      </w:rPr>
                      <w:t>Kitas (projekto veiklų įgyvendinimo metu</w:t>
                    </w:r>
                    <w:r>
                      <w:rPr>
                        <w:lang w:eastAsia="lt-LT"/>
                      </w:rPr>
                      <w:t>;</w:t>
                    </w:r>
                    <w:r>
                      <w:rPr>
                        <w:bCs/>
                      </w:rPr>
                      <w:t xml:space="preserve"> projekto veiklų įgyvendinimo pabaigoje).</w:t>
                    </w:r>
                  </w:p>
                  <w:p>
                    <w:pPr>
                      <w:spacing w:line="256" w:lineRule="auto"/>
                      <w:jc w:val="both"/>
                    </w:pPr>
                  </w:p>
                  <w:p>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pPr>
                      <w:spacing w:line="256" w:lineRule="auto"/>
                      <w:jc w:val="both"/>
                      <w:rPr>
                        <w:lang w:eastAsia="lt-LT"/>
                      </w:rPr>
                    </w:pPr>
                  </w:p>
                  <w:p>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bCs/>
                        <w:iCs/>
                        <w:szCs w:val="24"/>
                      </w:rPr>
                      <w:t>Švietimo, mokslo ir sporto ministerija</w:t>
                    </w:r>
                  </w:p>
                </w:tc>
              </w:tr>
              <w:tr>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w:t>
                    </w:r>
                  </w:p>
                  <w:p>
                    <w:pPr>
                      <w:spacing w:line="256" w:lineRule="auto"/>
                      <w:jc w:val="both"/>
                      <w:rPr>
                        <w:rFonts w:eastAsia="Calibri"/>
                        <w:bCs/>
                        <w:iCs/>
                        <w:szCs w:val="24"/>
                        <w:lang w:eastAsia="lt-LT"/>
                      </w:rPr>
                    </w:pPr>
                    <w:r>
                      <w:rPr>
                        <w:rFonts w:eastAsia="Calibri"/>
                        <w:bCs/>
                        <w:iCs/>
                        <w:szCs w:val="24"/>
                        <w:lang w:eastAsia="lt-LT"/>
                      </w:rPr>
                      <w:t>Technologijų ir inovacijų skyrius,</w:t>
                    </w:r>
                  </w:p>
                  <w:p>
                    <w:pPr>
                      <w:spacing w:line="256" w:lineRule="auto"/>
                      <w:rPr>
                        <w:rFonts w:eastAsia="Calibri"/>
                        <w:bCs/>
                        <w:i/>
                        <w:iCs/>
                        <w:szCs w:val="24"/>
                        <w:lang w:eastAsia="lt-LT"/>
                      </w:rPr>
                    </w:pPr>
                    <w:r>
                      <w:rPr>
                        <w:rFonts w:eastAsia="Calibri"/>
                        <w:bCs/>
                        <w:iCs/>
                        <w:szCs w:val="24"/>
                        <w:lang w:eastAsia="lt-LT"/>
                      </w:rPr>
                      <w:t>tel. +370 666 44 315</w:t>
                    </w:r>
                  </w:p>
                </w:tc>
              </w:tr>
              <w:t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pPr>
                      <w:widowControl w:val="0"/>
                      <w:spacing w:line="256" w:lineRule="auto"/>
                      <w:jc w:val="both"/>
                      <w:rPr>
                        <w:lang w:eastAsia="lt-LT"/>
                      </w:rPr>
                    </w:pPr>
                  </w:p>
                  <w:p>
                    <w:pPr>
                      <w:widowControl w:val="0"/>
                      <w:spacing w:line="256" w:lineRule="auto"/>
                      <w:jc w:val="both"/>
                    </w:pPr>
                    <w:r>
                      <w:t>Rodiklis įskaitomas į R.B.1.2009 rodiklį.</w:t>
                    </w:r>
                  </w:p>
                  <w:p>
                    <w:pPr>
                      <w:widowControl w:val="0"/>
                      <w:spacing w:line="256" w:lineRule="auto"/>
                      <w:jc w:val="both"/>
                    </w:pPr>
                  </w:p>
                  <w:p>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pPr>
                <w:keepNext/>
                <w:keepLines/>
                <w:spacing w:line="254" w:lineRule="auto"/>
                <w:outlineLvl w:val="1"/>
                <w:rPr>
                  <w:rFonts w:eastAsia="SimSun"/>
                  <w:b/>
                  <w:caps/>
                  <w:szCs w:val="24"/>
                  <w:lang w:eastAsia="lt-LT"/>
                </w:rPr>
              </w:pPr>
            </w:p>
          </w:sdtContent>
        </w:sdt>
        <w:sdt>
          <w:sdtPr>
            <w:alias w:val="skyrius"/>
            <w:tag w:val="part_b98ba4bfaa1f459698c3395760121157"/>
            <w:lock w:val="sdtLocked"/>
            <w:richText/>
          </w:sdtPr>
          <w:sdtContent>
            <w:p>
              <w:pPr>
                <w:keepNext/>
                <w:keepLines/>
                <w:spacing w:line="254" w:lineRule="auto"/>
                <w:jc w:val="center"/>
                <w:outlineLvl w:val="1"/>
                <w:rPr>
                  <w:rFonts w:eastAsia="SimSun"/>
                  <w:b/>
                  <w:caps/>
                  <w:szCs w:val="24"/>
                  <w:lang w:eastAsia="lt-LT"/>
                </w:rPr>
              </w:pPr>
              <w:sdt>
                <w:sdtPr>
                  <w:alias w:val="Numeris"/>
                  <w:tag w:val="nr_b98ba4bfaa1f459698c3395760121157"/>
                  <w:lock w:val="sdtLocked"/>
                  <w:richText/>
                </w:sdtPr>
                <w:sdtContent>
                  <w:r>
                    <w:rPr>
                      <w:rFonts w:eastAsia="SimSun"/>
                      <w:b/>
                      <w:caps/>
                      <w:szCs w:val="24"/>
                      <w:lang w:eastAsia="lt-LT"/>
                    </w:rPr>
                    <w:t>XI</w:t>
                  </w:r>
                </w:sdtContent>
              </w:sdt>
              <w:r>
                <w:rPr>
                  <w:rFonts w:eastAsia="SimSun"/>
                  <w:b/>
                  <w:caps/>
                  <w:szCs w:val="24"/>
                  <w:lang w:eastAsia="lt-LT"/>
                </w:rPr>
                <w:t xml:space="preserve"> skyrius</w:t>
              </w:r>
            </w:p>
            <w:sdt>
              <w:sdtPr>
                <w:alias w:val="Pavadinimas"/>
                <w:tag w:val="title_b98ba4bfaa1f459698c3395760121157"/>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pPr>
                    <w:r>
                      <w:t>Paramą gavusiose mokslinių tyrimų įstaigose dirbantys mokslininkai</w:t>
                    </w:r>
                  </w:p>
                </w:tc>
              </w:tr>
              <w:tr>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szCs w:val="24"/>
                      </w:rPr>
                    </w:pPr>
                    <w:r>
                      <w:rPr>
                        <w:szCs w:val="24"/>
                      </w:rPr>
                      <w:t>Vienų metų etato ekvivalentai</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en-GB"/>
                      </w:rPr>
                      <w:t>Didėjimas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 reikšmė</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Produkto rodiklis (bendrasis)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szCs w:val="24"/>
                      </w:rPr>
                    </w:pPr>
                    <w:r>
                      <w:rPr>
                        <w:szCs w:val="24"/>
                      </w:rPr>
                      <w:t>P-12-001-01-02-01-01</w:t>
                    </w:r>
                  </w:p>
                </w:tc>
              </w:tr>
              <w:tr>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szCs w:val="24"/>
                      </w:rPr>
                      <w:t>RCO06</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9" w:lineRule="auto"/>
                      <w:jc w:val="both"/>
                    </w:pPr>
                    <w:r>
                      <w:rPr>
                        <w:lang w:eastAsia="lt-LT"/>
                      </w:rPr>
                      <w:t>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pPr>
                      <w:spacing w:line="259" w:lineRule="auto"/>
                      <w:jc w:val="both"/>
                    </w:pPr>
                  </w:p>
                  <w:p>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lang w:eastAsia="en-GB"/>
                      </w:rPr>
                      <w:t>Automatiškai apskaičiuojamasis.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hd w:val="clear" w:color="auto" w:fill="FFFFFF"/>
                      <w:spacing w:line="256" w:lineRule="auto"/>
                      <w:jc w:val="both"/>
                      <w:rPr>
                        <w:rFonts w:eastAsia="Segoe UI"/>
                        <w:szCs w:val="24"/>
                      </w:rPr>
                    </w:pPr>
                    <w:r>
                      <w:rPr>
                        <w:rFonts w:eastAsia="Segoe UI"/>
                        <w:szCs w:val="24"/>
                      </w:rPr>
                      <w:t>Pirminiai duomenų šaltiniai:</w:t>
                    </w:r>
                  </w:p>
                  <w:p>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pPr>
                      <w:shd w:val="clear" w:color="auto" w:fill="FFFFFF"/>
                      <w:spacing w:line="256" w:lineRule="auto"/>
                      <w:jc w:val="both"/>
                      <w:rPr>
                        <w:szCs w:val="24"/>
                      </w:rPr>
                    </w:pPr>
                  </w:p>
                  <w:p>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t xml:space="preserve">Projekto veiklų įgyvendinimo metu. </w:t>
                    </w:r>
                  </w:p>
                </w:tc>
              </w:tr>
              <w:tr>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lang w:eastAsia="en-GB"/>
                      </w:rPr>
                      <w:t>Švietimo, mokslo ir sporto ministerija</w:t>
                    </w:r>
                  </w:p>
                </w:tc>
              </w:tr>
              <w:tr>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+370 655 03 005;</w:t>
                    </w:r>
                  </w:p>
                  <w:p>
                    <w:pPr>
                      <w:spacing w:line="256" w:lineRule="auto"/>
                      <w:jc w:val="both"/>
                      <w:rPr>
                        <w:lang w:eastAsia="en-GB"/>
                      </w:rPr>
                    </w:pPr>
                    <w:r>
                      <w:rPr>
                        <w:lang w:eastAsia="en-GB"/>
                      </w:rPr>
                      <w:t>Tarptautinių investicijų įgyvendinimo skyrius,</w:t>
                    </w:r>
                  </w:p>
                  <w:p>
                    <w:pPr>
                      <w:spacing w:line="256" w:lineRule="auto"/>
                      <w:rPr>
                        <w:rFonts w:eastAsia="Calibri"/>
                        <w:i/>
                        <w:iCs/>
                        <w:lang w:eastAsia="lt-LT"/>
                      </w:rPr>
                    </w:pPr>
                    <w:r>
                      <w:rPr>
                        <w:lang w:eastAsia="en-GB"/>
                      </w:rPr>
                      <w:t>tel. +370 674 56 096</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lt-LT"/>
                      </w:rPr>
                      <w:t>2021–2027 m. IP</w:t>
                    </w:r>
                    <w:r>
                      <w:t xml:space="preserve"> rodiklio kodas P.B.2.0006.</w:t>
                    </w:r>
                  </w:p>
                </w:tc>
              </w:tr>
            </w:tbl>
            <w:p/>
          </w:sdtContent>
        </w:sdt>
        <w:sdt>
          <w:sdtPr>
            <w:alias w:val="skyrius"/>
            <w:tag w:val="part_3f2acff1c40241ad98c53b902ab9d820"/>
            <w:lock w:val="sdtLocked"/>
            <w:richText/>
          </w:sdtPr>
          <w:sdtContent>
            <w:p>
              <w:pPr>
                <w:keepNext/>
                <w:keepLines/>
                <w:spacing w:line="254" w:lineRule="auto"/>
                <w:jc w:val="center"/>
                <w:outlineLvl w:val="1"/>
                <w:rPr>
                  <w:rFonts w:eastAsia="SimSun"/>
                  <w:b/>
                  <w:caps/>
                  <w:szCs w:val="24"/>
                  <w:lang w:eastAsia="lt-LT"/>
                </w:rPr>
              </w:pPr>
              <w:sdt>
                <w:sdtPr>
                  <w:alias w:val="Numeris"/>
                  <w:tag w:val="nr_3f2acff1c40241ad98c53b902ab9d820"/>
                  <w:lock w:val="sdtLocked"/>
                  <w:richText/>
                </w:sdtPr>
                <w:sdtContent>
                  <w:r>
                    <w:rPr>
                      <w:rFonts w:eastAsia="SimSun"/>
                      <w:b/>
                      <w:caps/>
                      <w:szCs w:val="24"/>
                      <w:lang w:eastAsia="lt-LT"/>
                    </w:rPr>
                    <w:t>XII</w:t>
                  </w:r>
                </w:sdtContent>
              </w:sdt>
              <w:r>
                <w:rPr>
                  <w:rFonts w:eastAsia="SimSun"/>
                  <w:b/>
                  <w:caps/>
                  <w:szCs w:val="24"/>
                  <w:lang w:eastAsia="lt-LT"/>
                </w:rPr>
                <w:t xml:space="preserve"> skyrius</w:t>
              </w:r>
            </w:p>
            <w:sdt>
              <w:sdtPr>
                <w:alias w:val="Pavadinimas"/>
                <w:tag w:val="title_3f2acff1c40241ad98c53b902ab9d820"/>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szCs w:val="24"/>
                      </w:rPr>
                    </w:pPr>
                    <w:r>
                      <w:rPr>
                        <w:szCs w:val="24"/>
                      </w:rPr>
                      <w:t>Bendruose mokslinių tyrimų projektuose dalyvaujančios mokslinių tyrimų organizacijos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en-GB"/>
                      </w:rPr>
                      <w:t>Mokslinių tyrimų organizacijos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szCs w:val="24"/>
                      </w:rPr>
                      <w:t>P-12-001-01-02-01-02</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szCs w:val="24"/>
                      </w:rPr>
                      <w:t>RCO07</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szCs w:val="24"/>
                      </w:rPr>
                      <w:t>.</w:t>
                    </w:r>
                  </w:p>
                  <w:p>
                    <w:pPr>
                      <w:spacing w:line="256" w:lineRule="auto"/>
                      <w:jc w:val="both"/>
                      <w:rPr>
                        <w:szCs w:val="24"/>
                      </w:rPr>
                    </w:pPr>
                  </w:p>
                  <w:p>
                    <w:pPr>
                      <w:spacing w:line="256" w:lineRule="auto"/>
                      <w:jc w:val="both"/>
                      <w:rPr>
                        <w:szCs w:val="24"/>
                      </w:rPr>
                    </w:pPr>
                    <w:r>
                      <w:rPr>
                        <w:szCs w:val="24"/>
                      </w:rPr>
                      <w:t>Mokslinių tyrimų organizacija – universitetas, kolegija ar mokslinių tyrimų institutas.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lang w:eastAsia="en-GB"/>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lang w:eastAsia="lt-LT"/>
                      </w:rPr>
                    </w:pPr>
                    <w:r>
                      <w:rPr>
                        <w:rFonts w:eastAsia="Calibri"/>
                        <w:lang w:eastAsia="lt-LT"/>
                      </w:rPr>
                      <w:t>Finansuoti projektai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highlight w:val="yellow"/>
                        <w:lang w:eastAsia="lt-LT"/>
                      </w:rPr>
                    </w:pPr>
                    <w:r>
                      <w:rPr>
                        <w:lang w:eastAsia="lt-LT"/>
                      </w:rPr>
                      <w:t xml:space="preserve">Projektų veiklų įgyvendinimo metu. </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+370 655 03 005;</w:t>
                    </w:r>
                  </w:p>
                  <w:p>
                    <w:pPr>
                      <w:spacing w:line="256" w:lineRule="auto"/>
                      <w:jc w:val="both"/>
                      <w:rPr>
                        <w:lang w:eastAsia="en-GB"/>
                      </w:rPr>
                    </w:pPr>
                    <w:r>
                      <w:rPr>
                        <w:lang w:eastAsia="en-GB"/>
                      </w:rPr>
                      <w:t>Tarptautinių investicijų įgyvendinimo skyrius,</w:t>
                    </w:r>
                  </w:p>
                  <w:p>
                    <w:pPr>
                      <w:spacing w:line="256" w:lineRule="auto"/>
                      <w:rPr>
                        <w:rFonts w:eastAsia="Calibri"/>
                        <w:lang w:eastAsia="lt-LT"/>
                      </w:rPr>
                    </w:pPr>
                    <w:r>
                      <w:rPr>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lt-LT"/>
                      </w:rPr>
                      <w:t>2021–2027 m. IP</w:t>
                    </w:r>
                    <w:r>
                      <w:t xml:space="preserve"> rodiklio kodas P.B.2.0007</w:t>
                    </w:r>
                    <w:r>
                      <w:rPr>
                        <w:sz w:val="20"/>
                        <w:lang w:eastAsia="lt-LT"/>
                      </w:rPr>
                      <w:t>.</w:t>
                    </w:r>
                  </w:p>
                </w:tc>
              </w:tr>
            </w:tbl>
            <w:p/>
          </w:sdtContent>
        </w:sdt>
        <w:sdt>
          <w:sdtPr>
            <w:alias w:val="skyrius"/>
            <w:tag w:val="part_69e7a0ba80744bd3b088d87539526e63"/>
            <w:lock w:val="sdtLocked"/>
            <w:richText/>
          </w:sdtPr>
          <w:sdtContent>
            <w:p>
              <w:pPr>
                <w:keepNext/>
                <w:keepLines/>
                <w:spacing w:line="254" w:lineRule="auto"/>
                <w:jc w:val="center"/>
                <w:outlineLvl w:val="1"/>
                <w:rPr>
                  <w:rFonts w:eastAsia="SimSun"/>
                  <w:b/>
                  <w:caps/>
                  <w:szCs w:val="24"/>
                  <w:lang w:eastAsia="lt-LT"/>
                </w:rPr>
              </w:pPr>
              <w:sdt>
                <w:sdtPr>
                  <w:alias w:val="Numeris"/>
                  <w:tag w:val="nr_69e7a0ba80744bd3b088d87539526e63"/>
                  <w:lock w:val="sdtLocked"/>
                  <w:richText/>
                </w:sdtPr>
                <w:sdtContent>
                  <w:r>
                    <w:rPr>
                      <w:rFonts w:eastAsia="SimSun"/>
                      <w:b/>
                      <w:caps/>
                      <w:szCs w:val="24"/>
                      <w:lang w:eastAsia="lt-LT"/>
                    </w:rPr>
                    <w:t>XIII</w:t>
                  </w:r>
                </w:sdtContent>
              </w:sdt>
              <w:r>
                <w:rPr>
                  <w:rFonts w:eastAsia="SimSun"/>
                  <w:b/>
                  <w:caps/>
                  <w:szCs w:val="24"/>
                  <w:lang w:eastAsia="lt-LT"/>
                </w:rPr>
                <w:t xml:space="preserve"> skyrius</w:t>
              </w:r>
            </w:p>
            <w:sdt>
              <w:sdtPr>
                <w:alias w:val="Pavadinimas"/>
                <w:tag w:val="title_69e7a0ba80744bd3b088d87539526e63"/>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iCs/>
                        <w:szCs w:val="24"/>
                        <w:lang w:eastAsia="en-GB"/>
                      </w:rPr>
                      <w:t>Nominalioji mokslinių tyrimų ir inovacijų įrangos vertė</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iCs/>
                        <w:szCs w:val="24"/>
                        <w:lang w:eastAsia="en-GB"/>
                      </w:rPr>
                      <w:t>Eurai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iCs/>
                        <w:szCs w:val="24"/>
                        <w:lang w:eastAsia="en-GB"/>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iCs/>
                        <w:szCs w:val="24"/>
                        <w:lang w:eastAsia="en-GB"/>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Cs/>
                        <w:szCs w:val="24"/>
                        <w:lang w:eastAsia="lt-LT"/>
                      </w:rPr>
                    </w:pPr>
                    <w:r>
                      <w:rPr>
                        <w:iCs/>
                        <w:szCs w:val="24"/>
                        <w:lang w:eastAsia="en-GB"/>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spacing w:line="256" w:lineRule="auto"/>
                      <w:jc w:val="both"/>
                      <w:rPr>
                        <w:bCs/>
                        <w:i/>
                        <w:iCs/>
                        <w:szCs w:val="24"/>
                        <w:lang w:eastAsia="lt-LT"/>
                      </w:rPr>
                    </w:pPr>
                    <w:r>
                      <w:rPr>
                        <w:szCs w:val="24"/>
                        <w:lang w:eastAsia="en-GB"/>
                      </w:rPr>
                      <w:t>P-12-001-01-02-01-03</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pPr>
                      <w:widowControl w:val="0"/>
                      <w:spacing w:line="256" w:lineRule="auto"/>
                      <w:jc w:val="both"/>
                      <w:rPr>
                        <w:iCs/>
                        <w:szCs w:val="24"/>
                        <w:lang w:eastAsia="lt-LT"/>
                      </w:rPr>
                    </w:pPr>
                    <w:r>
                      <w:rPr>
                        <w:iCs/>
                        <w:szCs w:val="24"/>
                        <w:lang w:eastAsia="en-GB"/>
                      </w:rPr>
                      <w:t>RCO08</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rPr>
                        <w:bCs/>
                        <w:iCs/>
                        <w:szCs w:val="24"/>
                        <w:lang w:eastAsia="lt-LT"/>
                      </w:rPr>
                    </w:pPr>
                    <w:r>
                      <w:rPr>
                        <w:iCs/>
                        <w:szCs w:val="24"/>
                        <w:lang w:eastAsia="en-GB"/>
                      </w:rPr>
                      <w:t>Projekto veiklų įgyvendinimo metu.</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iCs/>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 +370 655 03 005;</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pPr>
                <w:ind w:left="4820"/>
              </w:pPr>
            </w:p>
          </w:sdtContent>
        </w:sdt>
        <w:sdt>
          <w:sdtPr>
            <w:alias w:val="skyrius"/>
            <w:tag w:val="part_118a20a6a4364a5bab1e122c8bf20871"/>
            <w:lock w:val="sdtLocked"/>
            <w:richText/>
          </w:sdtPr>
          <w:sdtContent>
            <w:p>
              <w:pPr>
                <w:keepNext/>
                <w:keepLines/>
                <w:spacing w:line="254" w:lineRule="auto"/>
                <w:jc w:val="center"/>
                <w:outlineLvl w:val="1"/>
                <w:rPr>
                  <w:rFonts w:eastAsia="SimSun"/>
                  <w:b/>
                  <w:caps/>
                  <w:szCs w:val="24"/>
                  <w:lang w:eastAsia="lt-LT"/>
                </w:rPr>
              </w:pPr>
              <w:sdt>
                <w:sdtPr>
                  <w:alias w:val="Numeris"/>
                  <w:tag w:val="nr_118a20a6a4364a5bab1e122c8bf20871"/>
                  <w:lock w:val="sdtLocked"/>
                  <w:richText/>
                </w:sdtPr>
                <w:sdtContent>
                  <w:r>
                    <w:rPr>
                      <w:rFonts w:eastAsia="SimSun"/>
                      <w:b/>
                      <w:caps/>
                      <w:szCs w:val="24"/>
                      <w:lang w:eastAsia="lt-LT"/>
                    </w:rPr>
                    <w:t>XIV</w:t>
                  </w:r>
                </w:sdtContent>
              </w:sdt>
              <w:r>
                <w:rPr>
                  <w:rFonts w:eastAsia="SimSun"/>
                  <w:b/>
                  <w:caps/>
                  <w:szCs w:val="24"/>
                  <w:lang w:eastAsia="lt-LT"/>
                </w:rPr>
                <w:t xml:space="preserve"> skyrius</w:t>
              </w:r>
            </w:p>
            <w:sdt>
              <w:sdtPr>
                <w:alias w:val="Pavadinimas"/>
                <w:tag w:val="title_118a20a6a4364a5bab1e122c8bf20871"/>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Įmonės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jc w:val="both"/>
                      <w:rPr>
                        <w:szCs w:val="24"/>
                      </w:rPr>
                    </w:pPr>
                    <w:r>
                      <w:rPr>
                        <w:szCs w:val="24"/>
                      </w:rPr>
                      <w:t>P-12-001-01-02-01-04</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szCs w:val="24"/>
                      </w:rPr>
                      <w:t>RCO10</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color w:val="000000"/>
                        <w:szCs w:val="24"/>
                      </w:rPr>
                      <w:t>.</w:t>
                    </w:r>
                  </w:p>
                  <w:p>
                    <w:pPr>
                      <w:spacing w:line="256" w:lineRule="auto"/>
                      <w:jc w:val="both"/>
                      <w:rPr>
                        <w:lang w:eastAsia="lt-LT"/>
                      </w:rPr>
                    </w:pPr>
                  </w:p>
                  <w:p>
                    <w:pPr>
                      <w:spacing w:line="256" w:lineRule="auto"/>
                      <w:jc w:val="both"/>
                      <w:rPr>
                        <w:szCs w:val="24"/>
                      </w:rPr>
                    </w:pPr>
                    <w:r>
                      <w:rPr>
                        <w:lang w:eastAsia="lt-LT"/>
                      </w:rPr>
                      <w:t xml:space="preserve">Įmonė – ekonominę veiklą vykdantis juridinis asmuo (šaltinis: Smulkiojo ir vidutinio verslo plėtros įstatymas).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lang w:eastAsia="lt-LT"/>
                      </w:rPr>
                    </w:pPr>
                    <w:r>
                      <w:rPr>
                        <w:rFonts w:eastAsia="Calibri"/>
                        <w:lang w:eastAsia="lt-LT"/>
                      </w:rPr>
                      <w:t>Projektų sutartys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lang w:eastAsia="lt-LT"/>
                      </w:rPr>
                    </w:pPr>
                    <w:r>
                      <w:rPr>
                        <w:lang w:eastAsia="lt-LT"/>
                      </w:rPr>
                      <w:t>Projekto veiklų įgyvendinimo pabaigoje.</w:t>
                    </w:r>
                  </w:p>
                  <w:p>
                    <w:pPr>
                      <w:spacing w:line="256" w:lineRule="auto"/>
                      <w:rPr>
                        <w:lang w:eastAsia="lt-LT"/>
                      </w:rPr>
                    </w:pP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+370 655 03 005;</w:t>
                    </w:r>
                  </w:p>
                  <w:p>
                    <w:pPr>
                      <w:spacing w:line="256" w:lineRule="auto"/>
                      <w:jc w:val="both"/>
                      <w:rPr>
                        <w:lang w:eastAsia="en-GB"/>
                      </w:rPr>
                    </w:pPr>
                    <w:r>
                      <w:rPr>
                        <w:lang w:eastAsia="en-GB"/>
                      </w:rPr>
                      <w:t>Tarptautinių investicijų įgyvendinimo skyrius,</w:t>
                    </w:r>
                  </w:p>
                  <w:p>
                    <w:pPr>
                      <w:spacing w:line="256" w:lineRule="auto"/>
                      <w:rPr>
                        <w:rFonts w:eastAsia="Calibri"/>
                        <w:i/>
                        <w:iCs/>
                        <w:lang w:eastAsia="lt-LT"/>
                      </w:rPr>
                    </w:pPr>
                    <w:r>
                      <w:rPr>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en-GB"/>
                      </w:rPr>
                      <w:t xml:space="preserve">2021–2027 m. IP </w:t>
                    </w:r>
                    <w:r>
                      <w:t>rodiklio kodas P.B.2.0010</w:t>
                    </w:r>
                    <w:r>
                      <w:rPr>
                        <w:color w:val="000000"/>
                        <w:sz w:val="20"/>
                        <w:lang w:eastAsia="lt-LT"/>
                      </w:rPr>
                      <w:t>.</w:t>
                    </w:r>
                  </w:p>
                </w:tc>
              </w:tr>
            </w:tbl>
            <w:p/>
          </w:sdtContent>
        </w:sdt>
        <w:sdt>
          <w:sdtPr>
            <w:alias w:val="skyrius"/>
            <w:tag w:val="part_978338f672c04a6daae321f53c21f8d6"/>
            <w:lock w:val="sdtLocked"/>
            <w:richText/>
          </w:sdtPr>
          <w:sdtContent>
            <w:p>
              <w:pPr>
                <w:keepNext/>
                <w:keepLines/>
                <w:spacing w:line="254" w:lineRule="auto"/>
                <w:jc w:val="center"/>
                <w:outlineLvl w:val="1"/>
                <w:rPr>
                  <w:rFonts w:eastAsia="SimSun"/>
                  <w:b/>
                  <w:caps/>
                  <w:szCs w:val="24"/>
                  <w:lang w:eastAsia="lt-LT"/>
                </w:rPr>
              </w:pPr>
              <w:sdt>
                <w:sdtPr>
                  <w:alias w:val="Numeris"/>
                  <w:tag w:val="nr_978338f672c04a6daae321f53c21f8d6"/>
                  <w:lock w:val="sdtLocked"/>
                  <w:richText/>
                </w:sdtPr>
                <w:sdtContent>
                  <w:r>
                    <w:rPr>
                      <w:rFonts w:eastAsia="SimSun"/>
                      <w:b/>
                      <w:caps/>
                      <w:szCs w:val="24"/>
                      <w:lang w:eastAsia="lt-LT"/>
                    </w:rPr>
                    <w:t>XV</w:t>
                  </w:r>
                </w:sdtContent>
              </w:sdt>
              <w:r>
                <w:rPr>
                  <w:rFonts w:eastAsia="SimSun"/>
                  <w:b/>
                  <w:caps/>
                  <w:szCs w:val="24"/>
                  <w:lang w:eastAsia="lt-LT"/>
                </w:rPr>
                <w:t xml:space="preserve"> skyrius</w:t>
              </w:r>
            </w:p>
            <w:sdt>
              <w:sdtPr>
                <w:alias w:val="Pavadinimas"/>
                <w:tag w:val="title_978338f672c04a6daae321f53c21f8d6"/>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Investicijas gavusių mokslo ir studijų institucijų skaičius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en-GB"/>
                      </w:rPr>
                      <w:t>Produkto rodiklis (specialusis)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
                        <w:iCs/>
                        <w:szCs w:val="24"/>
                        <w:lang w:eastAsia="lt-LT"/>
                      </w:rPr>
                    </w:pPr>
                    <w:r>
                      <w:rPr>
                        <w:szCs w:val="24"/>
                        <w:lang w:eastAsia="en-GB"/>
                      </w:rPr>
                      <w:t>P-12-001-01-02-01-05</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szCs w:val="24"/>
                        <w:lang w:eastAsia="en-GB"/>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pPr>
                      <w:spacing w:line="256" w:lineRule="auto"/>
                      <w:jc w:val="both"/>
                      <w:rPr>
                        <w:szCs w:val="24"/>
                        <w:lang w:eastAsia="en-GB"/>
                      </w:rPr>
                    </w:pPr>
                  </w:p>
                  <w:p>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szCs w:val="24"/>
                        <w:lang w:eastAsia="en-GB"/>
                      </w:rPr>
                      <w:t>Sumuojamos investicijas gavusios mokslo ir studijų institucijos.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Pirminiai duomenų šaltiniai: projekto sutartis.</w:t>
                    </w:r>
                  </w:p>
                  <w:p>
                    <w:pPr>
                      <w:jc w:val="both"/>
                      <w:rPr>
                        <w:szCs w:val="24"/>
                        <w:lang w:eastAsia="en-GB"/>
                      </w:rPr>
                    </w:pPr>
                  </w:p>
                  <w:p>
                    <w:pPr>
                      <w:spacing w:line="256" w:lineRule="auto"/>
                      <w:jc w:val="both"/>
                      <w:rPr>
                        <w:rFonts w:eastAsia="Calibri"/>
                        <w:i/>
                        <w:iCs/>
                        <w:lang w:eastAsia="lt-LT"/>
                      </w:rPr>
                    </w:pPr>
                    <w:r>
                      <w:rPr>
                        <w:lang w:eastAsia="en-GB"/>
                      </w:rPr>
                      <w:t>Antriniai duomenų šaltiniai: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lang w:eastAsia="lt-LT"/>
                      </w:rPr>
                    </w:pPr>
                    <w:r>
                      <w:rPr>
                        <w:szCs w:val="24"/>
                        <w:lang w:eastAsia="en-GB"/>
                      </w:rPr>
                      <w:t>Vienkartinis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szCs w:val="24"/>
                        <w:lang w:eastAsia="en-GB"/>
                      </w:rPr>
                      <w:t>Rodiklis laikomas pasiektu pasirašius projekto sutartį.</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lang w:eastAsia="en-GB"/>
                      </w:rPr>
                    </w:pPr>
                    <w:r>
                      <w:rPr>
                        <w:lang w:eastAsia="en-GB"/>
                      </w:rPr>
                      <w:t>2021–2027 m. IP</w:t>
                    </w:r>
                    <w:r>
                      <w:rPr>
                        <w:szCs w:val="24"/>
                        <w:lang w:eastAsia="en-GB"/>
                      </w:rPr>
                      <w:t xml:space="preserve"> rodiklio kodas P.S.2.1001.</w:t>
                    </w:r>
                  </w:p>
                  <w:p>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pPr>
                <w:keepNext/>
                <w:keepLines/>
                <w:spacing w:line="254" w:lineRule="auto"/>
                <w:outlineLvl w:val="1"/>
                <w:rPr>
                  <w:rFonts w:eastAsia="SimSun"/>
                  <w:b/>
                  <w:caps/>
                  <w:szCs w:val="24"/>
                  <w:lang w:eastAsia="lt-LT"/>
                </w:rPr>
              </w:pPr>
            </w:p>
          </w:sdtContent>
        </w:sdt>
        <w:sdt>
          <w:sdtPr>
            <w:alias w:val="skyrius"/>
            <w:tag w:val="part_a6d236227aee41809f8c7076dd459a1f"/>
            <w:lock w:val="sdtLocked"/>
            <w:richText/>
          </w:sdtPr>
          <w:sdtContent>
            <w:p>
              <w:pPr>
                <w:keepNext/>
                <w:keepLines/>
                <w:spacing w:line="254" w:lineRule="auto"/>
                <w:jc w:val="center"/>
                <w:outlineLvl w:val="1"/>
                <w:rPr>
                  <w:rFonts w:eastAsia="SimSun"/>
                  <w:b/>
                  <w:caps/>
                  <w:szCs w:val="24"/>
                  <w:lang w:eastAsia="lt-LT"/>
                </w:rPr>
              </w:pPr>
              <w:sdt>
                <w:sdtPr>
                  <w:alias w:val="Numeris"/>
                  <w:tag w:val="nr_a6d236227aee41809f8c7076dd459a1f"/>
                  <w:lock w:val="sdtLocked"/>
                  <w:richText/>
                </w:sdtPr>
                <w:sdtContent>
                  <w:r>
                    <w:rPr>
                      <w:rFonts w:eastAsia="SimSun"/>
                      <w:b/>
                      <w:caps/>
                      <w:szCs w:val="24"/>
                      <w:lang w:eastAsia="lt-LT"/>
                    </w:rPr>
                    <w:t>XVI</w:t>
                  </w:r>
                </w:sdtContent>
              </w:sdt>
              <w:r>
                <w:rPr>
                  <w:rFonts w:eastAsia="SimSun"/>
                  <w:b/>
                  <w:caps/>
                  <w:szCs w:val="24"/>
                  <w:lang w:eastAsia="lt-LT"/>
                </w:rPr>
                <w:t xml:space="preserve"> skyrius</w:t>
              </w:r>
            </w:p>
            <w:sdt>
              <w:sdtPr>
                <w:alias w:val="Pavadinimas"/>
                <w:tag w:val="title_a6d236227aee41809f8c7076dd459a1f"/>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
                        <w:bCs/>
                        <w:iCs/>
                        <w:szCs w:val="24"/>
                        <w:lang w:eastAsia="lt-LT"/>
                      </w:rPr>
                    </w:pPr>
                    <w:r>
                      <w:rPr>
                        <w:szCs w:val="24"/>
                        <w:lang w:eastAsia="lt-LT"/>
                      </w:rPr>
                      <w:t>Paramą gavusios įmonės, iš kurių labai mažos, mažos, vidutinės ir didelės įmonės</w:t>
                    </w:r>
                  </w:p>
                </w:tc>
              </w:tr>
              <w:tr>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P-12-001-01-02-01-06</w:t>
                    </w:r>
                  </w:p>
                </w:tc>
              </w:tr>
              <w:tr>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RCO01</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pPr>
                      <w:jc w:val="both"/>
                      <w:rPr>
                        <w:szCs w:val="24"/>
                        <w:lang w:eastAsia="lt-LT"/>
                      </w:rPr>
                    </w:pPr>
                  </w:p>
                  <w:p>
                    <w:pPr>
                      <w:jc w:val="both"/>
                      <w:rPr>
                        <w:szCs w:val="24"/>
                        <w:lang w:eastAsia="lt-LT"/>
                      </w:rPr>
                    </w:pPr>
                    <w:r>
                      <w:rPr>
                        <w:szCs w:val="24"/>
                        <w:lang w:eastAsia="lt-LT"/>
                      </w:rPr>
                      <w:t>Rodikliu apskaičiuojamos visos įmonės, gaunančios finansinę (dotacijas) ar nefinansinę (natūrinę) paramą.</w:t>
                    </w:r>
                  </w:p>
                  <w:p>
                    <w:pPr>
                      <w:jc w:val="both"/>
                      <w:rPr>
                        <w:szCs w:val="24"/>
                        <w:lang w:eastAsia="lt-LT"/>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lt-LT"/>
                      </w:rPr>
                    </w:pPr>
                    <w:r>
                      <w:rPr>
                        <w:szCs w:val="24"/>
                        <w:lang w:eastAsia="en-IE"/>
                      </w:rPr>
                      <w:t>Verslininkas – fizinis asmuo, kuris verčiasi ekonomine veikla (šaltinis: Smulkiojo ir vidutinio verslo plėtros įstatymas).</w:t>
                    </w:r>
                  </w:p>
                  <w:p>
                    <w:pPr>
                      <w:jc w:val="both"/>
                      <w:rPr>
                        <w:szCs w:val="24"/>
                        <w:lang w:eastAsia="lt-LT"/>
                      </w:rPr>
                    </w:pPr>
                  </w:p>
                  <w:p>
                    <w:pPr>
                      <w:jc w:val="both"/>
                      <w:rPr>
                        <w:szCs w:val="24"/>
                        <w:lang w:eastAsia="lt-LT"/>
                      </w:rPr>
                    </w:pPr>
                    <w:r>
                      <w:rPr>
                        <w:szCs w:val="24"/>
                        <w:lang w:eastAsia="lt-LT"/>
                      </w:rPr>
                      <w:t xml:space="preserve">Įmonė – ekonominę veiklą vykdantis juridinis asmuo (šaltinis: Smulkiojo ir vidutinio verslo plėtros įstatymas). </w:t>
                    </w:r>
                  </w:p>
                  <w:p>
                    <w:pPr>
                      <w:jc w:val="both"/>
                      <w:rPr>
                        <w:szCs w:val="24"/>
                        <w:lang w:eastAsia="lt-LT"/>
                      </w:rPr>
                    </w:pPr>
                  </w:p>
                  <w:p>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pPr>
                      <w:jc w:val="both"/>
                      <w:rPr>
                        <w:szCs w:val="24"/>
                        <w:lang w:eastAsia="en-IE"/>
                      </w:rPr>
                    </w:pPr>
                  </w:p>
                  <w:p>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pPr>
                      <w:jc w:val="both"/>
                      <w:rPr>
                        <w:szCs w:val="24"/>
                        <w:lang w:eastAsia="lt-LT"/>
                      </w:rPr>
                    </w:pPr>
                  </w:p>
                  <w:p>
                    <w:pPr>
                      <w:jc w:val="both"/>
                      <w:rPr>
                        <w:szCs w:val="24"/>
                        <w:lang w:eastAsia="lt-LT"/>
                      </w:rPr>
                    </w:pPr>
                    <w:r>
                      <w:rPr>
                        <w:szCs w:val="24"/>
                        <w:lang w:eastAsia="lt-LT"/>
                      </w:rPr>
                      <w:t>Paramą gaunančios įmonės dydis nustatomas PĮP vertinimo metu pagal PĮP pateikimo dieną galiojančią informaciją.</w:t>
                    </w:r>
                  </w:p>
                  <w:p>
                    <w:pPr>
                      <w:jc w:val="both"/>
                      <w:rPr>
                        <w:szCs w:val="24"/>
                      </w:rPr>
                    </w:pPr>
                    <w:r>
                      <w:rPr>
                        <w:szCs w:val="24"/>
                      </w:rPr>
                      <w:t>Jei PĮP vertinimo metu arba iki sutarties pasirašymo paaiškėja informacija, dėl kurios gali pasikeisti įmonės dydis, įmonės dydis nustatomas vertinimo metu arba iki sutarties pasirašymo įvertinus šią informaciją.</w:t>
                    </w:r>
                  </w:p>
                  <w:p>
                    <w:pPr>
                      <w:jc w:val="both"/>
                      <w:rPr>
                        <w:szCs w:val="24"/>
                        <w:lang w:eastAsia="lt-LT"/>
                      </w:rPr>
                    </w:pPr>
                    <w:r>
                      <w:rPr>
                        <w:szCs w:val="24"/>
                      </w:rPr>
                      <w:t>Paramą gaunančio galutinio gavėjo, kurio negalima identifikuoti PĮP pateikimo metu, dydis nustatomas projekto įgyvendinimo metu.</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bCs/>
                        <w:szCs w:val="24"/>
                        <w:lang w:eastAsia="lt-LT"/>
                      </w:rPr>
                      <w:t>Automatiškai apskaičiuojamasi</w:t>
                    </w:r>
                    <w:r>
                      <w:rPr>
                        <w:bCs/>
                        <w:lang w:eastAsia="lt-LT"/>
                      </w:rPr>
                      <w:t>s</w:t>
                    </w:r>
                    <w:r>
                      <w:rPr>
                        <w:bCs/>
                        <w:szCs w:val="24"/>
                        <w:lang w:eastAsia="lt-LT"/>
                      </w:rPr>
                      <w:t>.</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Dotacijų atveju:</w:t>
                    </w:r>
                  </w:p>
                  <w:p>
                    <w:pPr>
                      <w:jc w:val="both"/>
                      <w:rPr>
                        <w:szCs w:val="24"/>
                        <w:lang w:eastAsia="lt-LT"/>
                      </w:rPr>
                    </w:pPr>
                    <w:r>
                      <w:rPr>
                        <w:szCs w:val="24"/>
                        <w:lang w:eastAsia="lt-LT"/>
                      </w:rPr>
                      <w:t>pirminiai ir antriniai duomenų šaltiniai:</w:t>
                    </w:r>
                  </w:p>
                  <w:p>
                    <w:pPr>
                      <w:jc w:val="both"/>
                    </w:pPr>
                    <w:r>
                      <w:t>galutinė veiklos ataskaita.</w:t>
                    </w:r>
                  </w:p>
                  <w:p>
                    <w:pPr>
                      <w:keepLines/>
                      <w:tabs>
                        <w:tab w:val="left" w:pos="2655"/>
                      </w:tabs>
                      <w:jc w:val="both"/>
                      <w:rPr>
                        <w:szCs w:val="24"/>
                        <w:lang w:eastAsia="lt-LT"/>
                      </w:rPr>
                    </w:pPr>
                  </w:p>
                  <w:p>
                    <w:pPr>
                      <w:jc w:val="both"/>
                      <w:rPr>
                        <w:szCs w:val="24"/>
                        <w:lang w:eastAsia="lt-LT"/>
                      </w:rPr>
                    </w:pPr>
                    <w:r>
                      <w:rPr>
                        <w:szCs w:val="24"/>
                        <w:lang w:eastAsia="lt-LT"/>
                      </w:rPr>
                      <w:t>Nefinansinės paramos atveju:</w:t>
                    </w:r>
                  </w:p>
                  <w:p>
                    <w:pPr>
                      <w:jc w:val="both"/>
                      <w:rPr>
                        <w:szCs w:val="24"/>
                        <w:lang w:eastAsia="lt-LT"/>
                      </w:rPr>
                    </w:pPr>
                    <w:r>
                      <w:rPr>
                        <w:szCs w:val="24"/>
                        <w:lang w:eastAsia="lt-LT"/>
                      </w:rPr>
                      <w:t>pirminiai duomenų šaltiniai:</w:t>
                    </w:r>
                  </w:p>
                  <w:p>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pPr>
                      <w:jc w:val="both"/>
                      <w:rPr>
                        <w:szCs w:val="24"/>
                        <w:lang w:eastAsia="lt-LT"/>
                      </w:rPr>
                    </w:pPr>
                    <w:r>
                      <w:rPr>
                        <w:szCs w:val="24"/>
                        <w:lang w:eastAsia="lt-LT"/>
                      </w:rPr>
                      <w:t>Antriniai duomenų šaltiniai: veiklos ataskaitos.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ind w:left="778" w:hanging="360"/>
                      <w:jc w:val="both"/>
                      <w:rPr>
                        <w:szCs w:val="24"/>
                        <w:lang w:eastAsia="lt-LT"/>
                      </w:rPr>
                    </w:pPr>
                    <w:r>
                      <w:rPr>
                        <w:rFonts w:ascii="Symbol" w:hAnsi="Symbol"/>
                        <w:szCs w:val="24"/>
                        <w:lang w:eastAsia="lt-LT"/>
                      </w:rPr>
                      <w:t></w:t>
                      <w:tab/>
                    </w:r>
                    <w:r>
                      <w:t>projekto veiklų įgyvendinimo metu, kai pirmą kartą suteikiama nefinansinė parama (nefinansinių priemonių atveju).</w:t>
                    </w:r>
                  </w:p>
                </w:tc>
              </w:tr>
              <w:tr>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spacing w:val="2"/>
                        <w:shd w:val="clear" w:color="auto" w:fill="FFFFFF"/>
                      </w:rPr>
                      <w:t>Projekto veiklų įgyvendinimo metu.</w:t>
                    </w:r>
                  </w:p>
                  <w:p>
                    <w:pPr>
                      <w:jc w:val="both"/>
                      <w:rPr>
                        <w:bCs/>
                        <w:szCs w:val="24"/>
                        <w:lang w:eastAsia="lt-LT"/>
                      </w:rPr>
                    </w:pPr>
                  </w:p>
                  <w:p>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 xml:space="preserve">2021–2027 IP rodiklio kodas P.B.2.0001. Rodiklis skaidomas į parodiklius pagal įmonės dydį: P.B.2.0001.1; P.B.2.0001.2; P.B.2.0001.3; P.B.2.0001.4. </w:t>
                    </w:r>
                  </w:p>
                  <w:p>
                    <w:pPr>
                      <w:jc w:val="both"/>
                      <w:rPr>
                        <w:szCs w:val="24"/>
                        <w:lang w:eastAsia="lt-LT"/>
                      </w:rPr>
                    </w:pPr>
                  </w:p>
                  <w:p>
                    <w:pPr>
                      <w:jc w:val="both"/>
                      <w:rPr>
                        <w:lang w:eastAsia="lt-LT"/>
                      </w:rPr>
                    </w:pPr>
                    <w:r>
                      <w:rPr>
                        <w:lang w:eastAsia="lt-LT"/>
                      </w:rPr>
                      <w:t>Rodiklis apskaičiuojamas remiantis RCO04 rodikliu. RCO01 = RCO04.</w:t>
                    </w:r>
                  </w:p>
                  <w:p>
                    <w:pPr>
                      <w:jc w:val="both"/>
                      <w:rPr>
                        <w:szCs w:val="24"/>
                        <w:lang w:eastAsia="lt-LT"/>
                      </w:rPr>
                    </w:pPr>
                    <w:r>
                      <w:rPr>
                        <w:szCs w:val="24"/>
                        <w:lang w:eastAsia="lt-LT"/>
                      </w:rPr>
                      <w:t xml:space="preserve">Patikrinama: </w:t>
                    </w:r>
                  </w:p>
                  <w:p>
                    <w:pPr>
                      <w:jc w:val="both"/>
                      <w:rPr>
                        <w:lang w:eastAsia="lt-LT"/>
                      </w:rPr>
                    </w:pPr>
                    <w:r>
                      <w:rPr>
                        <w:lang w:eastAsia="lt-LT"/>
                      </w:rPr>
                      <w:t>RCO01 &lt; = RCO04.</w:t>
                    </w:r>
                  </w:p>
                  <w:p>
                    <w:pPr>
                      <w:jc w:val="both"/>
                      <w:rPr>
                        <w:szCs w:val="24"/>
                        <w:lang w:eastAsia="lt-LT"/>
                      </w:rPr>
                    </w:pPr>
                  </w:p>
                  <w:p>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pPr>
                      <w:jc w:val="both"/>
                      <w:rPr>
                        <w:szCs w:val="24"/>
                        <w:lang w:eastAsia="lt-LT"/>
                      </w:rPr>
                    </w:pPr>
                  </w:p>
                  <w:p>
                    <w:pPr>
                      <w:widowControl w:val="0"/>
                      <w:spacing w:line="256" w:lineRule="auto"/>
                      <w:jc w:val="both"/>
                      <w:rPr>
                        <w:lang w:eastAsia="lt-LT"/>
                      </w:rPr>
                    </w:pPr>
                    <w:r>
                      <w:rPr>
                        <w:lang w:eastAsia="lt-LT"/>
                      </w:rPr>
                      <w:t xml:space="preserve">Siekiant išvengti dvigubo skaičiavimo, vertinama, kad IP programos  prioriteto lygmeniu dalyvauja tik ta pati viena įmonė, neatsižvelgiant į tai, kiek paramos rūšių jį gauna.</w:t>
                    </w:r>
                  </w:p>
                  <w:p>
                    <w:pPr>
                      <w:widowControl w:val="0"/>
                      <w:spacing w:line="256" w:lineRule="auto"/>
                      <w:jc w:val="both"/>
                      <w:rPr>
                        <w:lang w:eastAsia="lt-LT"/>
                      </w:rPr>
                    </w:pPr>
                  </w:p>
                  <w:p>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8186f5fc0f2843d0b80d4a281e0f644b"/>
            <w:lock w:val="sdtLocked"/>
            <w:richText/>
          </w:sdtPr>
          <w:sdtContent>
            <w:p>
              <w:pPr>
                <w:keepNext/>
                <w:keepLines/>
                <w:spacing w:line="254" w:lineRule="auto"/>
                <w:jc w:val="center"/>
                <w:outlineLvl w:val="1"/>
                <w:rPr>
                  <w:rFonts w:eastAsia="SimSun"/>
                  <w:b/>
                  <w:caps/>
                  <w:szCs w:val="24"/>
                  <w:lang w:eastAsia="lt-LT"/>
                </w:rPr>
              </w:pPr>
              <w:sdt>
                <w:sdtPr>
                  <w:alias w:val="Numeris"/>
                  <w:tag w:val="nr_8186f5fc0f2843d0b80d4a281e0f644b"/>
                  <w:lock w:val="sdtLocked"/>
                  <w:richText/>
                </w:sdtPr>
                <w:sdtContent>
                  <w:r>
                    <w:rPr>
                      <w:rFonts w:eastAsia="SimSun"/>
                      <w:b/>
                      <w:caps/>
                      <w:szCs w:val="24"/>
                      <w:lang w:eastAsia="lt-LT"/>
                    </w:rPr>
                    <w:t>XVII</w:t>
                  </w:r>
                </w:sdtContent>
              </w:sdt>
              <w:r>
                <w:rPr>
                  <w:rFonts w:eastAsia="SimSun"/>
                  <w:b/>
                  <w:caps/>
                  <w:szCs w:val="24"/>
                  <w:lang w:eastAsia="lt-LT"/>
                </w:rPr>
                <w:t xml:space="preserve"> skyrius</w:t>
              </w:r>
            </w:p>
            <w:sdt>
              <w:sdtPr>
                <w:alias w:val="Pavadinimas"/>
                <w:tag w:val="title_8186f5fc0f2843d0b80d4a281e0f644b"/>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Paramą gavusios įmonės, iš kurių labai mažos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P-12-001-01-02-01-07</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RCO01a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pPr>
                      <w:jc w:val="both"/>
                      <w:rPr>
                        <w:szCs w:val="24"/>
                        <w:lang w:eastAsia="lt-LT"/>
                      </w:rPr>
                    </w:pPr>
                  </w:p>
                  <w:p>
                    <w:pPr>
                      <w:jc w:val="both"/>
                      <w:rPr>
                        <w:lang w:eastAsia="lt-LT"/>
                      </w:rPr>
                    </w:pPr>
                    <w:r>
                      <w:rPr>
                        <w:lang w:eastAsia="lt-LT"/>
                      </w:rPr>
                      <w:t>Rodikliu apskaičiuojamos visos įmonės, gaunančios nefinansinę (natūrinę) paramą.</w:t>
                    </w:r>
                  </w:p>
                  <w:p>
                    <w:pPr>
                      <w:jc w:val="both"/>
                      <w:rPr>
                        <w:szCs w:val="24"/>
                        <w:lang w:eastAsia="lt-LT"/>
                      </w:rPr>
                    </w:pPr>
                  </w:p>
                  <w:p>
                    <w:pPr>
                      <w:jc w:val="both"/>
                      <w:rPr>
                        <w:szCs w:val="24"/>
                        <w:lang w:eastAsia="lt-LT"/>
                      </w:rPr>
                    </w:pPr>
                    <w:r>
                      <w:rPr>
                        <w:szCs w:val="24"/>
                        <w:lang w:eastAsia="lt-LT"/>
                      </w:rPr>
                      <w:t xml:space="preserve">Įmonė – ekonominę veiklą vykdantis juridinis asmuo (šaltinis: Smulkiojo ir vidutinio verslo plėtros įstatymas). </w:t>
                    </w:r>
                  </w:p>
                  <w:p>
                    <w:pPr>
                      <w:jc w:val="both"/>
                      <w:rPr>
                        <w:szCs w:val="24"/>
                        <w:lang w:eastAsia="lt-LT"/>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p>
                    <w:pPr>
                      <w:jc w:val="both"/>
                      <w:rPr>
                        <w:szCs w:val="24"/>
                        <w:lang w:eastAsia="lt-LT"/>
                      </w:rPr>
                    </w:pPr>
                  </w:p>
                  <w:p>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Eur, arba įmonės balanse nurodyta turto vertė neviršija 2 mln. Eur.</w:t>
                    </w:r>
                  </w:p>
                  <w:p>
                    <w:pPr>
                      <w:jc w:val="both"/>
                      <w:rPr>
                        <w:szCs w:val="24"/>
                        <w:lang w:eastAsia="lt-LT"/>
                      </w:rPr>
                    </w:pPr>
                  </w:p>
                  <w:p>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pPr>
                      <w:jc w:val="both"/>
                      <w:rPr>
                        <w:szCs w:val="24"/>
                        <w:lang w:eastAsia="lt-LT"/>
                      </w:rPr>
                    </w:pPr>
                  </w:p>
                  <w:p>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Nefinansinės paramos atveju:</w:t>
                    </w:r>
                  </w:p>
                  <w:p>
                    <w:pPr>
                      <w:jc w:val="both"/>
                      <w:rPr>
                        <w:szCs w:val="24"/>
                        <w:lang w:eastAsia="lt-LT"/>
                      </w:rPr>
                    </w:pPr>
                    <w:r>
                      <w:rPr>
                        <w:lang w:eastAsia="lt-LT"/>
                      </w:rPr>
                      <w:t>pirminiai duomenų šaltiniai:</w:t>
                    </w:r>
                  </w:p>
                  <w:p>
                    <w:pPr>
                      <w:jc w:val="both"/>
                      <w:rPr>
                        <w:lang w:eastAsia="lt-LT"/>
                      </w:rPr>
                    </w:pPr>
                    <w:r>
                      <w:rPr>
                        <w:szCs w:val="24"/>
                      </w:rPr>
                      <w:t>pirminių dokumentų sąrašą konkrečiam projektui suderina Įgyvendinančioji institucija su projekto vykdytoju.</w:t>
                    </w:r>
                    <w:r>
                      <w:rPr>
                        <w:lang w:eastAsia="lt-LT"/>
                      </w:rPr>
                      <w:t xml:space="preserve"> </w:t>
                    </w:r>
                  </w:p>
                  <w:p>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pPr>
                      <w:spacing w:line="256" w:lineRule="auto"/>
                      <w:jc w:val="both"/>
                      <w:rPr>
                        <w:rFonts w:eastAsia="Calibri"/>
                        <w:bCs/>
                        <w:szCs w:val="24"/>
                        <w:lang w:eastAsia="lt-LT"/>
                      </w:rPr>
                    </w:pPr>
                    <w:r>
                      <w:rPr>
                        <w:szCs w:val="24"/>
                        <w:lang w:eastAsia="lt-LT"/>
                      </w:rPr>
                      <w:t>Antriniai duomenų šaltiniai: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ind w:left="778" w:hanging="360"/>
                      <w:jc w:val="both"/>
                      <w:rPr>
                        <w:szCs w:val="24"/>
                        <w:lang w:eastAsia="lt-LT"/>
                      </w:rPr>
                    </w:pPr>
                    <w:r>
                      <w:rPr>
                        <w:rFonts w:ascii="Symbol" w:hAnsi="Symbol"/>
                        <w:szCs w:val="24"/>
                        <w:lang w:eastAsia="lt-LT"/>
                      </w:rPr>
                      <w:t></w:t>
                      <w:tab/>
                    </w:r>
                    <w:r>
                      <w:t>projekto veiklų įgyvendinimo metu, kai pirmą kartą suteikiama nefinansinė parama (nefinansinių priemonių atveju).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spacing w:val="2"/>
                        <w:shd w:val="clear" w:color="auto" w:fill="FFFFFF"/>
                      </w:rPr>
                      <w:t>Projekto veiklų įgyvendinimo metu.</w:t>
                    </w:r>
                  </w:p>
                  <w:p>
                    <w:pPr>
                      <w:jc w:val="both"/>
                      <w:rPr>
                        <w:bCs/>
                        <w:spacing w:val="2"/>
                        <w:shd w:val="clear" w:color="auto" w:fill="FFFFFF"/>
                      </w:rPr>
                    </w:pPr>
                  </w:p>
                  <w:p>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2021–2027 IP rodiklio kodas P.B.2.0001.1. Rodiklis įskaitomas į P.B.2.0001 rodiklį.</w:t>
                    </w:r>
                  </w:p>
                  <w:p>
                    <w:pPr>
                      <w:jc w:val="both"/>
                      <w:rPr>
                        <w:szCs w:val="24"/>
                        <w:lang w:eastAsia="lt-LT"/>
                      </w:rPr>
                    </w:pPr>
                  </w:p>
                  <w:p>
                    <w:pPr>
                      <w:jc w:val="both"/>
                      <w:rPr>
                        <w:lang w:eastAsia="lt-LT"/>
                      </w:rPr>
                    </w:pPr>
                    <w:r>
                      <w:rPr>
                        <w:lang w:eastAsia="lt-LT"/>
                      </w:rPr>
                      <w:t xml:space="preserve">Rodiklis apskaičiuojamas remiantis RCO04 rodikliu. </w:t>
                    </w:r>
                  </w:p>
                  <w:p>
                    <w:pPr>
                      <w:jc w:val="both"/>
                      <w:rPr>
                        <w:szCs w:val="24"/>
                        <w:lang w:eastAsia="lt-LT"/>
                      </w:rPr>
                    </w:pPr>
                  </w:p>
                  <w:p>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pPr>
                      <w:jc w:val="both"/>
                      <w:rPr>
                        <w:szCs w:val="24"/>
                        <w:lang w:eastAsia="lt-LT"/>
                      </w:rPr>
                    </w:pPr>
                  </w:p>
                  <w:p>
                    <w:pPr>
                      <w:widowControl w:val="0"/>
                      <w:spacing w:line="256" w:lineRule="auto"/>
                      <w:jc w:val="both"/>
                      <w:rPr>
                        <w:lang w:eastAsia="lt-LT"/>
                      </w:rPr>
                    </w:pPr>
                    <w:r>
                      <w:rPr>
                        <w:lang w:eastAsia="lt-LT"/>
                      </w:rPr>
                      <w:t xml:space="preserve">Siekiant išvengti dvigubo skaičiavimo, vertinama, kad IP programos  prioriteto lygmeniu dalyvauja tik ta pati viena įmonė, neatsižvelgiant į tai, kiek paramos rūšių jį gauna.</w:t>
                    </w:r>
                  </w:p>
                  <w:p>
                    <w:pPr>
                      <w:widowControl w:val="0"/>
                      <w:spacing w:line="256" w:lineRule="auto"/>
                      <w:jc w:val="both"/>
                      <w:rPr>
                        <w:lang w:eastAsia="lt-LT"/>
                      </w:rPr>
                    </w:pPr>
                  </w:p>
                  <w:p>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84aa017b7b774638a361557258341d61"/>
            <w:lock w:val="sdtLocked"/>
            <w:richText/>
          </w:sdtPr>
          <w:sdtContent>
            <w:p>
              <w:pPr>
                <w:keepNext/>
                <w:keepLines/>
                <w:spacing w:line="254" w:lineRule="auto"/>
                <w:jc w:val="center"/>
                <w:outlineLvl w:val="1"/>
                <w:rPr>
                  <w:rFonts w:eastAsia="SimSun"/>
                  <w:b/>
                  <w:caps/>
                  <w:szCs w:val="24"/>
                  <w:lang w:eastAsia="lt-LT"/>
                </w:rPr>
              </w:pPr>
              <w:sdt>
                <w:sdtPr>
                  <w:alias w:val="Numeris"/>
                  <w:tag w:val="nr_84aa017b7b774638a361557258341d61"/>
                  <w:lock w:val="sdtLocked"/>
                  <w:richText/>
                </w:sdtPr>
                <w:sdtContent>
                  <w:r>
                    <w:rPr>
                      <w:rFonts w:eastAsia="SimSun"/>
                      <w:b/>
                      <w:caps/>
                      <w:szCs w:val="24"/>
                      <w:lang w:eastAsia="lt-LT"/>
                    </w:rPr>
                    <w:t>XVIII</w:t>
                  </w:r>
                </w:sdtContent>
              </w:sdt>
              <w:r>
                <w:rPr>
                  <w:rFonts w:eastAsia="SimSun"/>
                  <w:b/>
                  <w:caps/>
                  <w:szCs w:val="24"/>
                  <w:lang w:eastAsia="lt-LT"/>
                </w:rPr>
                <w:t xml:space="preserve"> skyrius</w:t>
              </w:r>
            </w:p>
            <w:sdt>
              <w:sdtPr>
                <w:alias w:val="Pavadinimas"/>
                <w:tag w:val="title_84aa017b7b774638a361557258341d61"/>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highlight w:val="yellow"/>
                        <w:lang w:eastAsia="lt-LT"/>
                      </w:rPr>
                    </w:pPr>
                    <w:r>
                      <w:rPr>
                        <w:szCs w:val="24"/>
                        <w:lang w:eastAsia="lt-LT"/>
                      </w:rPr>
                      <w:t>Paramą gavusios įmonės, iš kurių mažos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P-12-001-01-02-01-08</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RCO01b</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pPr>
                      <w:jc w:val="both"/>
                      <w:rPr>
                        <w:szCs w:val="24"/>
                        <w:lang w:eastAsia="lt-LT"/>
                      </w:rPr>
                    </w:pPr>
                  </w:p>
                  <w:p>
                    <w:pPr>
                      <w:jc w:val="both"/>
                      <w:rPr>
                        <w:lang w:eastAsia="lt-LT"/>
                      </w:rPr>
                    </w:pPr>
                    <w:r>
                      <w:rPr>
                        <w:lang w:eastAsia="lt-LT"/>
                      </w:rPr>
                      <w:t>Rodikliu apskaičiuojamos visos įmonės, gaunančios finansinę ar nefinansinę (natūrinę) paramą.</w:t>
                    </w:r>
                  </w:p>
                  <w:p>
                    <w:pPr>
                      <w:jc w:val="both"/>
                      <w:rPr>
                        <w:szCs w:val="24"/>
                        <w:lang w:eastAsia="lt-LT"/>
                      </w:rPr>
                    </w:pPr>
                  </w:p>
                  <w:p>
                    <w:pPr>
                      <w:jc w:val="both"/>
                      <w:rPr>
                        <w:szCs w:val="24"/>
                        <w:lang w:eastAsia="lt-LT"/>
                      </w:rPr>
                    </w:pPr>
                    <w:r>
                      <w:rPr>
                        <w:szCs w:val="24"/>
                        <w:lang w:eastAsia="lt-LT"/>
                      </w:rPr>
                      <w:t xml:space="preserve">Įmonė – ekonominę veiklą vykdantis juridinis asmuo (šaltinis: Smulkiojo ir vidutinio verslo plėtros įstatymas). </w:t>
                    </w:r>
                  </w:p>
                  <w:p>
                    <w:pPr>
                      <w:jc w:val="both"/>
                      <w:rPr>
                        <w:szCs w:val="24"/>
                        <w:lang w:eastAsia="en-IE"/>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p>
                    <w:pPr>
                      <w:jc w:val="both"/>
                      <w:rPr>
                        <w:szCs w:val="24"/>
                        <w:lang w:eastAsia="lt-LT"/>
                      </w:rPr>
                    </w:pPr>
                  </w:p>
                  <w:p>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Eur, arba įmonės balanse nurodyta turto vertė  neviršija 10 mln. Eur.</w:t>
                    </w:r>
                  </w:p>
                  <w:p>
                    <w:pPr>
                      <w:jc w:val="both"/>
                      <w:rPr>
                        <w:szCs w:val="24"/>
                        <w:lang w:eastAsia="lt-LT"/>
                      </w:rPr>
                    </w:pPr>
                  </w:p>
                  <w:p>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pPr>
                      <w:jc w:val="both"/>
                      <w:rPr>
                        <w:szCs w:val="24"/>
                        <w:lang w:eastAsia="lt-LT"/>
                      </w:rPr>
                    </w:pPr>
                  </w:p>
                  <w:p>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bCs/>
                        <w:szCs w:val="24"/>
                        <w:lang w:eastAsia="lt-LT"/>
                      </w:rPr>
                      <w:t>Automatiškai apskaičiuojamasi</w:t>
                    </w:r>
                    <w:r>
                      <w:rPr>
                        <w:bCs/>
                        <w:lang w:eastAsia="lt-LT"/>
                      </w:rPr>
                      <w:t>s</w:t>
                    </w:r>
                    <w:r>
                      <w:rPr>
                        <w:b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 xml:space="preserve">Rodiklis apskaičiuojamas atsižvelgiant į gautą paramą: nefinansinė parama  (žr. RCO04).</w:t>
                    </w:r>
                  </w:p>
                  <w:p>
                    <w:pPr>
                      <w:rPr>
                        <w:sz w:val="22"/>
                        <w:szCs w:val="22"/>
                      </w:rPr>
                    </w:pPr>
                    <w:r>
                      <w:rPr>
                        <w:szCs w:val="24"/>
                      </w:rPr>
                      <w:t>Į rodiklį skaičiuojami (verslo / ekonominę veiklą vykdantys) subjektai, atitinkantys „įmonės“ arba „verslininko“ sąvoką.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Nefinansinės paramos atveju:</w:t>
                    </w:r>
                  </w:p>
                  <w:p>
                    <w:pPr>
                      <w:jc w:val="both"/>
                      <w:rPr>
                        <w:szCs w:val="24"/>
                        <w:lang w:eastAsia="lt-LT"/>
                      </w:rPr>
                    </w:pPr>
                    <w:r>
                      <w:rPr>
                        <w:lang w:eastAsia="lt-LT"/>
                      </w:rPr>
                      <w:t>pirminiai duomenų šaltiniai:</w:t>
                    </w:r>
                  </w:p>
                  <w:p>
                    <w:pPr>
                      <w:jc w:val="both"/>
                      <w:rPr>
                        <w:lang w:eastAsia="lt-LT"/>
                      </w:rPr>
                    </w:pPr>
                    <w:r>
                      <w:rPr>
                        <w:szCs w:val="24"/>
                      </w:rPr>
                      <w:t>pirminių dokumentų sąrašą konkrečiam projektui suderina įgyvendinančioji institucija su projekto vykdytoju.</w:t>
                    </w:r>
                    <w:r>
                      <w:rPr>
                        <w:lang w:eastAsia="lt-LT"/>
                      </w:rPr>
                      <w:t xml:space="preserve"> </w:t>
                    </w:r>
                  </w:p>
                  <w:p>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pPr>
                      <w:spacing w:line="256" w:lineRule="auto"/>
                      <w:jc w:val="both"/>
                      <w:rPr>
                        <w:rFonts w:eastAsia="Calibri"/>
                        <w:bCs/>
                        <w:i/>
                        <w:iCs/>
                        <w:szCs w:val="24"/>
                        <w:lang w:eastAsia="lt-LT"/>
                      </w:rPr>
                    </w:pPr>
                    <w:r>
                      <w:rPr>
                        <w:szCs w:val="24"/>
                        <w:lang w:eastAsia="lt-LT"/>
                      </w:rPr>
                      <w:t>Antriniai duomenų šaltiniai: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ind w:left="778" w:hanging="360"/>
                      <w:jc w:val="both"/>
                      <w:rPr>
                        <w:szCs w:val="24"/>
                        <w:lang w:eastAsia="lt-LT"/>
                      </w:rPr>
                    </w:pPr>
                    <w:r>
                      <w:rPr>
                        <w:rFonts w:ascii="Symbol" w:hAnsi="Symbol"/>
                        <w:szCs w:val="24"/>
                        <w:lang w:eastAsia="lt-LT"/>
                      </w:rPr>
                      <w:t></w:t>
                      <w:tab/>
                    </w:r>
                    <w:r>
                      <w:t>projekto veiklų įgyvendinimo metu, kai pirmą kartą suteikiama nefinansinė parama (nefinansinių priemonių atveju).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spacing w:val="2"/>
                        <w:shd w:val="clear" w:color="auto" w:fill="FFFFFF"/>
                      </w:rPr>
                      <w:t>Projekto veiklų įgyvendinimo metu.</w:t>
                    </w:r>
                  </w:p>
                  <w:p>
                    <w:pPr>
                      <w:jc w:val="both"/>
                      <w:rPr>
                        <w:bCs/>
                        <w:spacing w:val="2"/>
                        <w:shd w:val="clear" w:color="auto" w:fill="FFFFFF"/>
                      </w:rPr>
                    </w:pPr>
                  </w:p>
                  <w:p>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2021–2027 IP rodiklio kodas P.B.2.0001.2. Rodiklis įskaitomas į P.B.2.0001 rodiklį.</w:t>
                    </w:r>
                  </w:p>
                  <w:p>
                    <w:pPr>
                      <w:jc w:val="both"/>
                      <w:rPr>
                        <w:szCs w:val="24"/>
                        <w:lang w:eastAsia="lt-LT"/>
                      </w:rPr>
                    </w:pPr>
                  </w:p>
                  <w:p>
                    <w:pPr>
                      <w:jc w:val="both"/>
                      <w:rPr>
                        <w:lang w:eastAsia="lt-LT"/>
                      </w:rPr>
                    </w:pPr>
                    <w:r>
                      <w:rPr>
                        <w:lang w:eastAsia="lt-LT"/>
                      </w:rPr>
                      <w:t>Rodiklis apskaičiuojamas remiantis RCO04 rodikliu.</w:t>
                    </w:r>
                  </w:p>
                  <w:p>
                    <w:pPr>
                      <w:jc w:val="both"/>
                      <w:rPr>
                        <w:szCs w:val="24"/>
                        <w:lang w:eastAsia="lt-LT"/>
                      </w:rPr>
                    </w:pPr>
                  </w:p>
                  <w:p>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pPr>
                      <w:jc w:val="both"/>
                      <w:rPr>
                        <w:szCs w:val="24"/>
                        <w:lang w:eastAsia="lt-LT"/>
                      </w:rPr>
                    </w:pPr>
                  </w:p>
                  <w:p>
                    <w:pPr>
                      <w:widowControl w:val="0"/>
                      <w:spacing w:line="256" w:lineRule="auto"/>
                      <w:jc w:val="both"/>
                      <w:rPr>
                        <w:lang w:eastAsia="lt-LT"/>
                      </w:rPr>
                    </w:pPr>
                    <w:r>
                      <w:rPr>
                        <w:lang w:eastAsia="lt-LT"/>
                      </w:rPr>
                      <w:t xml:space="preserve">Siekiant išvengti dvigubo skaičiavimo, vertinama, kad IP programos  prioriteto lygmeniu dalyvauja tik ta pati viena įmonė, neatsižvelgiant į tai, kiek paramos rūšių jį gauna.</w:t>
                    </w:r>
                  </w:p>
                  <w:p>
                    <w:pPr>
                      <w:widowControl w:val="0"/>
                      <w:spacing w:line="256" w:lineRule="auto"/>
                      <w:jc w:val="both"/>
                      <w:rPr>
                        <w:lang w:eastAsia="lt-LT"/>
                      </w:rPr>
                    </w:pPr>
                  </w:p>
                  <w:p>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db4872eb05a946e99155397a475a0a16"/>
            <w:lock w:val="sdtLocked"/>
            <w:richText/>
          </w:sdtPr>
          <w:sdtContent>
            <w:p>
              <w:pPr>
                <w:keepNext/>
                <w:keepLines/>
                <w:spacing w:line="254" w:lineRule="auto"/>
                <w:jc w:val="center"/>
                <w:outlineLvl w:val="1"/>
                <w:rPr>
                  <w:rFonts w:eastAsia="SimSun"/>
                  <w:b/>
                  <w:caps/>
                  <w:szCs w:val="24"/>
                  <w:lang w:eastAsia="lt-LT"/>
                </w:rPr>
              </w:pPr>
              <w:sdt>
                <w:sdtPr>
                  <w:alias w:val="Numeris"/>
                  <w:tag w:val="nr_db4872eb05a946e99155397a475a0a16"/>
                  <w:lock w:val="sdtLocked"/>
                  <w:richText/>
                </w:sdtPr>
                <w:sdtContent>
                  <w:r>
                    <w:rPr>
                      <w:rFonts w:eastAsia="SimSun"/>
                      <w:b/>
                      <w:caps/>
                      <w:szCs w:val="24"/>
                      <w:lang w:eastAsia="lt-LT"/>
                    </w:rPr>
                    <w:t>XIX</w:t>
                  </w:r>
                </w:sdtContent>
              </w:sdt>
              <w:r>
                <w:rPr>
                  <w:rFonts w:eastAsia="SimSun"/>
                  <w:b/>
                  <w:caps/>
                  <w:szCs w:val="24"/>
                  <w:lang w:eastAsia="lt-LT"/>
                </w:rPr>
                <w:t xml:space="preserve"> skyrius</w:t>
              </w:r>
            </w:p>
            <w:sdt>
              <w:sdtPr>
                <w:alias w:val="Pavadinimas"/>
                <w:tag w:val="title_db4872eb05a946e99155397a475a0a16"/>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highlight w:val="yellow"/>
                        <w:lang w:eastAsia="lt-LT"/>
                      </w:rPr>
                    </w:pPr>
                    <w:r>
                      <w:rPr>
                        <w:szCs w:val="24"/>
                        <w:lang w:eastAsia="lt-LT"/>
                      </w:rPr>
                      <w:t>Paramą gavusios įmonės, iš kurių vidutinės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P-12-001-01-02-01-09</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RCO01c</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pPr>
                      <w:jc w:val="both"/>
                      <w:rPr>
                        <w:szCs w:val="24"/>
                        <w:lang w:eastAsia="lt-LT"/>
                      </w:rPr>
                    </w:pPr>
                  </w:p>
                  <w:p>
                    <w:pPr>
                      <w:jc w:val="both"/>
                      <w:rPr>
                        <w:lang w:eastAsia="lt-LT"/>
                      </w:rPr>
                    </w:pPr>
                    <w:r>
                      <w:rPr>
                        <w:lang w:eastAsia="lt-LT"/>
                      </w:rPr>
                      <w:t>Rodikliu apskaičiuojamos visos įmonės, gaunančios finansinę (dotacijas ir finansines priemones) ar nefinansinę (natūrinę) paramą.</w:t>
                    </w:r>
                  </w:p>
                  <w:p>
                    <w:pPr>
                      <w:jc w:val="both"/>
                      <w:rPr>
                        <w:szCs w:val="24"/>
                        <w:lang w:eastAsia="lt-LT"/>
                      </w:rPr>
                    </w:pPr>
                  </w:p>
                  <w:p>
                    <w:pPr>
                      <w:jc w:val="both"/>
                      <w:rPr>
                        <w:szCs w:val="24"/>
                        <w:lang w:eastAsia="lt-LT"/>
                      </w:rPr>
                    </w:pPr>
                    <w:r>
                      <w:rPr>
                        <w:szCs w:val="24"/>
                        <w:lang w:eastAsia="lt-LT"/>
                      </w:rPr>
                      <w:t>Įmonė – ekonominę veiklą vykdantis juridinis asmuo (šaltinis: Smulkiojo ir vidutinio verslo plėtros įstatymas).</w:t>
                    </w:r>
                  </w:p>
                  <w:p>
                    <w:pPr>
                      <w:jc w:val="both"/>
                      <w:rPr>
                        <w:szCs w:val="24"/>
                        <w:lang w:eastAsia="lt-LT"/>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p>
                    <w:pPr>
                      <w:jc w:val="both"/>
                      <w:rPr>
                        <w:szCs w:val="24"/>
                        <w:lang w:eastAsia="lt-LT"/>
                      </w:rPr>
                    </w:pPr>
                  </w:p>
                  <w:p>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Eur, arba įmonės balanse nurodyta turto vertė neviršija 43 mln. Eur.</w:t>
                    </w:r>
                  </w:p>
                  <w:p>
                    <w:pPr>
                      <w:jc w:val="both"/>
                      <w:rPr>
                        <w:szCs w:val="24"/>
                        <w:lang w:eastAsia="lt-LT"/>
                      </w:rPr>
                    </w:pPr>
                  </w:p>
                  <w:p>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pPr>
                      <w:jc w:val="both"/>
                      <w:rPr>
                        <w:szCs w:val="24"/>
                        <w:lang w:eastAsia="lt-LT"/>
                      </w:rPr>
                    </w:pPr>
                  </w:p>
                  <w:p>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bCs/>
                        <w:szCs w:val="24"/>
                        <w:lang w:eastAsia="lt-LT"/>
                      </w:rPr>
                      <w:t>Automatiškai apskaičiuojamasi</w:t>
                    </w:r>
                    <w:r>
                      <w:rPr>
                        <w:bCs/>
                        <w:lang w:eastAsia="lt-LT"/>
                      </w:rPr>
                      <w:t>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Nefinansinės paramos atveju:</w:t>
                    </w:r>
                  </w:p>
                  <w:p>
                    <w:pPr>
                      <w:jc w:val="both"/>
                      <w:rPr>
                        <w:szCs w:val="24"/>
                        <w:lang w:eastAsia="lt-LT"/>
                      </w:rPr>
                    </w:pPr>
                    <w:r>
                      <w:rPr>
                        <w:lang w:eastAsia="lt-LT"/>
                      </w:rPr>
                      <w:t>pirminiai duomenų šaltiniai:</w:t>
                    </w:r>
                  </w:p>
                  <w:p>
                    <w:pPr>
                      <w:jc w:val="both"/>
                      <w:rPr>
                        <w:lang w:eastAsia="lt-LT"/>
                      </w:rPr>
                    </w:pPr>
                    <w:r>
                      <w:rPr>
                        <w:szCs w:val="24"/>
                      </w:rPr>
                      <w:t>pirminių dokumentų sąrašą konkrečiam projektui suderina įgyvendinančioji institucija su projekto vykdytoju.</w:t>
                    </w:r>
                    <w:r>
                      <w:rPr>
                        <w:lang w:eastAsia="lt-LT"/>
                      </w:rPr>
                      <w:t xml:space="preserve"> </w:t>
                    </w:r>
                  </w:p>
                  <w:p>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pPr>
                      <w:jc w:val="both"/>
                      <w:rPr>
                        <w:szCs w:val="24"/>
                        <w:lang w:eastAsia="lt-LT"/>
                      </w:rPr>
                    </w:pPr>
                    <w:r>
                      <w:rPr>
                        <w:szCs w:val="24"/>
                        <w:lang w:eastAsia="lt-LT"/>
                      </w:rPr>
                      <w:t>Antriniai duomenų šaltiniai: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ind w:left="778" w:hanging="360"/>
                      <w:jc w:val="both"/>
                      <w:rPr>
                        <w:szCs w:val="24"/>
                        <w:lang w:eastAsia="lt-LT"/>
                      </w:rPr>
                    </w:pPr>
                    <w:r>
                      <w:rPr>
                        <w:rFonts w:ascii="Symbol" w:hAnsi="Symbol"/>
                        <w:szCs w:val="24"/>
                        <w:lang w:eastAsia="lt-LT"/>
                      </w:rPr>
                      <w:t></w:t>
                      <w:tab/>
                    </w:r>
                    <w:r>
                      <w:t>projekto veiklų įgyvendinimo metu, kai pirmą kartą suteikiama nefinansinė parama (nefinansinių priemonių atveju).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spacing w:val="2"/>
                        <w:shd w:val="clear" w:color="auto" w:fill="FFFFFF"/>
                      </w:rPr>
                      <w:t>Projekto veiklų įgyvendinimo metu.</w:t>
                    </w:r>
                  </w:p>
                  <w:p>
                    <w:pPr>
                      <w:jc w:val="both"/>
                      <w:rPr>
                        <w:bCs/>
                        <w:spacing w:val="2"/>
                        <w:shd w:val="clear" w:color="auto" w:fill="FFFFFF"/>
                      </w:rPr>
                    </w:pPr>
                  </w:p>
                  <w:p>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2021–2027 IP rodiklio kodas P.B.2.0001.3. Rodiklis įskaitomas į P.B.2.0001 rodiklį.</w:t>
                    </w:r>
                  </w:p>
                  <w:p>
                    <w:pPr>
                      <w:jc w:val="both"/>
                      <w:rPr>
                        <w:szCs w:val="24"/>
                        <w:lang w:eastAsia="lt-LT"/>
                      </w:rPr>
                    </w:pPr>
                  </w:p>
                  <w:p>
                    <w:pPr>
                      <w:jc w:val="both"/>
                      <w:rPr>
                        <w:lang w:eastAsia="lt-LT"/>
                      </w:rPr>
                    </w:pPr>
                    <w:r>
                      <w:rPr>
                        <w:lang w:eastAsia="lt-LT"/>
                      </w:rPr>
                      <w:t>Rodiklis apskaičiuojamas remiantis RCO04 rodikliu.</w:t>
                    </w:r>
                  </w:p>
                  <w:p>
                    <w:pPr>
                      <w:jc w:val="both"/>
                      <w:rPr>
                        <w:szCs w:val="24"/>
                        <w:lang w:eastAsia="lt-LT"/>
                      </w:rPr>
                    </w:pPr>
                  </w:p>
                  <w:p>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pPr>
                      <w:jc w:val="both"/>
                      <w:rPr>
                        <w:szCs w:val="24"/>
                        <w:lang w:eastAsia="lt-LT"/>
                      </w:rPr>
                    </w:pPr>
                  </w:p>
                  <w:p>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į tai, kiek paramos rūšių jį gauna.</w:t>
                    </w:r>
                  </w:p>
                  <w:p>
                    <w:pPr>
                      <w:widowControl w:val="0"/>
                      <w:spacing w:line="256" w:lineRule="auto"/>
                      <w:jc w:val="both"/>
                      <w:rPr>
                        <w:szCs w:val="24"/>
                        <w:lang w:eastAsia="lt-LT"/>
                      </w:rPr>
                    </w:pPr>
                  </w:p>
                  <w:p>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3ec93a70b21f461e8accf4f77511bc17"/>
            <w:lock w:val="sdtLocked"/>
            <w:richText/>
          </w:sdtPr>
          <w:sdtContent>
            <w:p>
              <w:pPr>
                <w:keepNext/>
                <w:keepLines/>
                <w:spacing w:line="254" w:lineRule="auto"/>
                <w:jc w:val="center"/>
                <w:outlineLvl w:val="1"/>
                <w:rPr>
                  <w:rFonts w:eastAsia="SimSun"/>
                  <w:b/>
                  <w:caps/>
                  <w:szCs w:val="24"/>
                  <w:lang w:eastAsia="lt-LT"/>
                </w:rPr>
              </w:pPr>
              <w:sdt>
                <w:sdtPr>
                  <w:alias w:val="Numeris"/>
                  <w:tag w:val="nr_3ec93a70b21f461e8accf4f77511bc17"/>
                  <w:lock w:val="sdtLocked"/>
                  <w:richText/>
                </w:sdtPr>
                <w:sdtContent>
                  <w:r>
                    <w:rPr>
                      <w:rFonts w:eastAsia="SimSun"/>
                      <w:b/>
                      <w:caps/>
                      <w:szCs w:val="24"/>
                      <w:lang w:eastAsia="lt-LT"/>
                    </w:rPr>
                    <w:t>XX</w:t>
                  </w:r>
                </w:sdtContent>
              </w:sdt>
              <w:r>
                <w:rPr>
                  <w:rFonts w:eastAsia="SimSun"/>
                  <w:b/>
                  <w:caps/>
                  <w:szCs w:val="24"/>
                  <w:lang w:eastAsia="lt-LT"/>
                </w:rPr>
                <w:t xml:space="preserve"> skyrius</w:t>
              </w:r>
            </w:p>
            <w:sdt>
              <w:sdtPr>
                <w:alias w:val="Pavadinimas"/>
                <w:tag w:val="title_3ec93a70b21f461e8accf4f77511bc17"/>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highlight w:val="yellow"/>
                        <w:lang w:eastAsia="lt-LT"/>
                      </w:rPr>
                    </w:pPr>
                    <w:r>
                      <w:rPr>
                        <w:szCs w:val="24"/>
                        <w:lang w:eastAsia="lt-LT"/>
                      </w:rPr>
                      <w:t>Paramą gavusios įmonės, iš kurių didelės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P-12-001-01-02-01-10</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RCO01d</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pPr>
                      <w:jc w:val="both"/>
                      <w:rPr>
                        <w:szCs w:val="24"/>
                        <w:lang w:eastAsia="lt-LT"/>
                      </w:rPr>
                    </w:pPr>
                  </w:p>
                  <w:p>
                    <w:pPr>
                      <w:jc w:val="both"/>
                      <w:rPr>
                        <w:lang w:eastAsia="lt-LT"/>
                      </w:rPr>
                    </w:pPr>
                    <w:r>
                      <w:rPr>
                        <w:lang w:eastAsia="lt-LT"/>
                      </w:rPr>
                      <w:t>Rodikliu apskaičiuojamos visos įmonės, gaunančios nefinansinę (natūrinę) paramą.</w:t>
                    </w:r>
                  </w:p>
                  <w:p>
                    <w:pPr>
                      <w:jc w:val="both"/>
                      <w:rPr>
                        <w:szCs w:val="24"/>
                        <w:lang w:eastAsia="lt-LT"/>
                      </w:rPr>
                    </w:pPr>
                  </w:p>
                  <w:p>
                    <w:pPr>
                      <w:jc w:val="both"/>
                      <w:rPr>
                        <w:szCs w:val="24"/>
                        <w:lang w:eastAsia="lt-LT"/>
                      </w:rPr>
                    </w:pPr>
                    <w:r>
                      <w:rPr>
                        <w:szCs w:val="24"/>
                        <w:lang w:eastAsia="lt-LT"/>
                      </w:rPr>
                      <w:t>Įmonė – ekonominę veiklą vykdantis juridinis asmuo (šaltinis: Smulkiojo ir vidutinio verslo plėtros įstatymas).</w:t>
                    </w:r>
                  </w:p>
                  <w:p>
                    <w:pPr>
                      <w:jc w:val="both"/>
                      <w:rPr>
                        <w:szCs w:val="24"/>
                        <w:lang w:eastAsia="lt-LT"/>
                      </w:rPr>
                    </w:pPr>
                  </w:p>
                  <w:p>
                    <w:pPr>
                      <w:jc w:val="both"/>
                      <w:rPr>
                        <w:szCs w:val="24"/>
                        <w:lang w:eastAsia="en-IE"/>
                      </w:rPr>
                    </w:pPr>
                    <w:r>
                      <w:rPr>
                        <w:szCs w:val="24"/>
                        <w:lang w:eastAsia="en-IE"/>
                      </w:rPr>
                      <w:t>Skaičiuojant rodiklio reikšmę, prie įmonių skaičiaus pridedamas ir verslininkų skaičius.</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p>
                    <w:pPr>
                      <w:jc w:val="both"/>
                      <w:rPr>
                        <w:szCs w:val="24"/>
                        <w:lang w:eastAsia="en-IE"/>
                      </w:rPr>
                    </w:pPr>
                  </w:p>
                  <w:p>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Eur, arba įmonės balanse nurodyta turto vertė yra ne mažesnė kaip 43 mln. Eur.</w:t>
                    </w:r>
                  </w:p>
                  <w:p>
                    <w:pPr>
                      <w:jc w:val="both"/>
                      <w:rPr>
                        <w:szCs w:val="24"/>
                        <w:lang w:eastAsia="lt-LT"/>
                      </w:rPr>
                    </w:pPr>
                  </w:p>
                  <w:p>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pPr>
                      <w:jc w:val="both"/>
                      <w:rPr>
                        <w:szCs w:val="24"/>
                        <w:lang w:eastAsia="lt-LT"/>
                      </w:rPr>
                    </w:pPr>
                  </w:p>
                  <w:p>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bCs/>
                        <w:szCs w:val="24"/>
                        <w:lang w:eastAsia="lt-LT"/>
                      </w:rPr>
                      <w:t>Automatiškai apskaičiuojamasi</w:t>
                    </w:r>
                    <w:r>
                      <w:rPr>
                        <w:bCs/>
                        <w:lang w:eastAsia="lt-LT"/>
                      </w:rPr>
                      <w:t>s</w:t>
                    </w:r>
                    <w:r>
                      <w:rPr>
                        <w:b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Nefinansinės paramos atveju:</w:t>
                    </w:r>
                  </w:p>
                  <w:p>
                    <w:pPr>
                      <w:jc w:val="both"/>
                      <w:rPr>
                        <w:szCs w:val="24"/>
                        <w:lang w:eastAsia="lt-LT"/>
                      </w:rPr>
                    </w:pPr>
                    <w:r>
                      <w:rPr>
                        <w:lang w:eastAsia="lt-LT"/>
                      </w:rPr>
                      <w:t>pirminiai duomenų šaltiniai:</w:t>
                    </w:r>
                  </w:p>
                  <w:p>
                    <w:pPr>
                      <w:jc w:val="both"/>
                      <w:rPr>
                        <w:lang w:eastAsia="lt-LT"/>
                      </w:rPr>
                    </w:pPr>
                    <w:r>
                      <w:rPr>
                        <w:szCs w:val="24"/>
                      </w:rPr>
                      <w:t>pirminių dokumentų sąrašą konkrečiam projektui suderina įgyvendinančioji institucija su projekto vykdytoju.</w:t>
                    </w:r>
                    <w:r>
                      <w:rPr>
                        <w:lang w:eastAsia="lt-LT"/>
                      </w:rPr>
                      <w:t xml:space="preserve"> </w:t>
                    </w:r>
                  </w:p>
                  <w:p>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pPr>
                      <w:jc w:val="both"/>
                      <w:rPr>
                        <w:szCs w:val="24"/>
                        <w:lang w:eastAsia="lt-LT"/>
                      </w:rPr>
                    </w:pPr>
                    <w:r>
                      <w:rPr>
                        <w:szCs w:val="24"/>
                        <w:lang w:eastAsia="lt-LT"/>
                      </w:rPr>
                      <w:t>Antriniai duomenų šaltiniai: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ind w:left="778" w:hanging="360"/>
                      <w:jc w:val="both"/>
                      <w:rPr>
                        <w:szCs w:val="24"/>
                        <w:lang w:eastAsia="lt-LT"/>
                      </w:rPr>
                    </w:pPr>
                    <w:r>
                      <w:rPr>
                        <w:rFonts w:ascii="Symbol" w:hAnsi="Symbol"/>
                        <w:szCs w:val="24"/>
                        <w:lang w:eastAsia="lt-LT"/>
                      </w:rPr>
                      <w:t></w:t>
                      <w:tab/>
                    </w:r>
                    <w:r>
                      <w:t>projekto veiklų įgyvendinimo metu, kai pirmą kartą suteikiama nefinansinė parama (nefinansinių priemonių atveju).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spacing w:val="2"/>
                        <w:shd w:val="clear" w:color="auto" w:fill="FFFFFF"/>
                      </w:rPr>
                      <w:t>Projekto veiklų įgyvendinimo metu.</w:t>
                    </w:r>
                  </w:p>
                  <w:p>
                    <w:pPr>
                      <w:jc w:val="both"/>
                      <w:rPr>
                        <w:bCs/>
                        <w:spacing w:val="2"/>
                        <w:shd w:val="clear" w:color="auto" w:fill="FFFFFF"/>
                      </w:rPr>
                    </w:pPr>
                  </w:p>
                  <w:p>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2021–2027 IP rodiklio kodas P.B.2.0001.4. Rodiklis įskaitomas į P.B.2.0001 rodiklį.</w:t>
                    </w:r>
                  </w:p>
                  <w:p>
                    <w:pPr>
                      <w:jc w:val="both"/>
                      <w:rPr>
                        <w:szCs w:val="24"/>
                        <w:lang w:eastAsia="lt-LT"/>
                      </w:rPr>
                    </w:pPr>
                  </w:p>
                  <w:p>
                    <w:pPr>
                      <w:jc w:val="both"/>
                      <w:rPr>
                        <w:lang w:eastAsia="lt-LT"/>
                      </w:rPr>
                    </w:pPr>
                    <w:r>
                      <w:rPr>
                        <w:lang w:eastAsia="lt-LT"/>
                      </w:rPr>
                      <w:t>Rodiklis apskaičiuojamas remiantis RCO04 rodikliu.</w:t>
                    </w:r>
                  </w:p>
                  <w:p>
                    <w:pPr>
                      <w:jc w:val="both"/>
                      <w:rPr>
                        <w:szCs w:val="24"/>
                        <w:lang w:eastAsia="lt-LT"/>
                      </w:rPr>
                    </w:pPr>
                  </w:p>
                  <w:p>
                    <w:pPr>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pPr>
                      <w:jc w:val="both"/>
                      <w:rPr>
                        <w:szCs w:val="24"/>
                        <w:lang w:eastAsia="lt-LT"/>
                      </w:rPr>
                    </w:pPr>
                  </w:p>
                  <w:p>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į tai, kiek paramos rūšių jį gauna.</w:t>
                    </w:r>
                  </w:p>
                  <w:p>
                    <w:pPr>
                      <w:widowControl w:val="0"/>
                      <w:spacing w:line="256" w:lineRule="auto"/>
                      <w:jc w:val="both"/>
                      <w:rPr>
                        <w:szCs w:val="24"/>
                        <w:lang w:eastAsia="lt-LT"/>
                      </w:rPr>
                    </w:pPr>
                  </w:p>
                  <w:p>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2b1584ba1f5443da8d01856737101b70"/>
            <w:lock w:val="sdtLocked"/>
            <w:richText/>
          </w:sdtPr>
          <w:sdtContent>
            <w:p>
              <w:pPr>
                <w:keepNext/>
                <w:keepLines/>
                <w:spacing w:line="254" w:lineRule="auto"/>
                <w:jc w:val="center"/>
                <w:outlineLvl w:val="1"/>
                <w:rPr>
                  <w:rFonts w:eastAsia="SimSun"/>
                  <w:b/>
                  <w:caps/>
                  <w:szCs w:val="24"/>
                  <w:lang w:eastAsia="lt-LT"/>
                </w:rPr>
              </w:pPr>
              <w:sdt>
                <w:sdtPr>
                  <w:alias w:val="Numeris"/>
                  <w:tag w:val="nr_2b1584ba1f5443da8d01856737101b70"/>
                  <w:lock w:val="sdtLocked"/>
                  <w:richText/>
                </w:sdtPr>
                <w:sdtContent>
                  <w:r>
                    <w:rPr>
                      <w:rFonts w:eastAsia="SimSun"/>
                      <w:b/>
                      <w:caps/>
                      <w:szCs w:val="24"/>
                      <w:lang w:eastAsia="lt-LT"/>
                    </w:rPr>
                    <w:t>XXI</w:t>
                  </w:r>
                </w:sdtContent>
              </w:sdt>
              <w:r>
                <w:rPr>
                  <w:rFonts w:eastAsia="SimSun"/>
                  <w:b/>
                  <w:caps/>
                  <w:szCs w:val="24"/>
                  <w:lang w:eastAsia="lt-LT"/>
                </w:rPr>
                <w:t xml:space="preserve"> skyrius</w:t>
              </w:r>
            </w:p>
            <w:sdt>
              <w:sdtPr>
                <w:alias w:val="Pavadinimas"/>
                <w:tag w:val="title_2b1584ba1f5443da8d01856737101b70"/>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Nefinansinę paramą gavusios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P-12-001-01-02-01-11</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pPr>
                      <w:widowControl w:val="0"/>
                      <w:jc w:val="both"/>
                      <w:rPr>
                        <w:szCs w:val="24"/>
                      </w:rPr>
                    </w:pPr>
                  </w:p>
                  <w:p>
                    <w:pPr>
                      <w:widowControl w:val="0"/>
                      <w:jc w:val="both"/>
                    </w:pPr>
                    <w:r>
                      <w:t>Nefinansinę paramą gaunančių įmonių ir verslininkų skaičius.</w:t>
                    </w:r>
                  </w:p>
                  <w:p>
                    <w:pPr>
                      <w:widowControl w:val="0"/>
                      <w:jc w:val="both"/>
                      <w:rPr>
                        <w:szCs w:val="24"/>
                      </w:rPr>
                    </w:pPr>
                  </w:p>
                  <w:p>
                    <w:pPr>
                      <w:jc w:val="both"/>
                      <w:rPr>
                        <w:szCs w:val="24"/>
                        <w:lang w:eastAsia="lt-LT"/>
                      </w:rPr>
                    </w:pPr>
                    <w:r>
                      <w:rPr>
                        <w:szCs w:val="24"/>
                        <w:lang w:eastAsia="lt-LT"/>
                      </w:rPr>
                      <w:t xml:space="preserve">Įmonė – ekonominę veiklą vykdantis juridinis asmuo (šaltinis: Smulkiojo ir vidutinio verslo plėtros įstatymas). </w:t>
                    </w:r>
                  </w:p>
                  <w:p>
                    <w:pPr>
                      <w:jc w:val="both"/>
                      <w:rPr>
                        <w:szCs w:val="24"/>
                        <w:lang w:eastAsia="lt-LT"/>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p>
                    <w:pPr>
                      <w:widowControl w:val="0"/>
                      <w:jc w:val="both"/>
                      <w:rPr>
                        <w:szCs w:val="24"/>
                      </w:rPr>
                    </w:pPr>
                  </w:p>
                  <w:p>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pPr>
                      <w:widowControl w:val="0"/>
                      <w:jc w:val="both"/>
                      <w:rPr>
                        <w:szCs w:val="24"/>
                      </w:rPr>
                    </w:pPr>
                  </w:p>
                  <w:p>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bCs/>
                        <w:szCs w:val="24"/>
                        <w:lang w:eastAsia="lt-LT"/>
                      </w:rPr>
                      <w:t>Automatiškai apskaičiuojamasi</w:t>
                    </w:r>
                    <w:r>
                      <w:rPr>
                        <w:bCs/>
                        <w:lang w:eastAsia="lt-LT"/>
                      </w:rPr>
                      <w:t>s</w:t>
                    </w:r>
                    <w:r>
                      <w:rPr>
                        <w:b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en-IE"/>
                      </w:rPr>
                    </w:pPr>
                    <w:r>
                      <w:rPr>
                        <w:lang w:eastAsia="en-IE"/>
                      </w:rPr>
                      <w:t>Sumuojamos įmonės, pirmą kartą gavusios nefinansinę paramą.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lang w:eastAsia="lt-LT"/>
                      </w:rPr>
                      <w:t>Pirminiai duomenų šaltiniai:</w:t>
                    </w:r>
                  </w:p>
                  <w:p>
                    <w:pPr>
                      <w:jc w:val="both"/>
                      <w:rPr>
                        <w:lang w:eastAsia="lt-LT"/>
                      </w:rPr>
                    </w:pPr>
                    <w:r>
                      <w:rPr>
                        <w:szCs w:val="24"/>
                      </w:rPr>
                      <w:t>pirminių dokumentų sąrašą konkrečiam projektui suderina įgyvendinančioji institucija su projekto vykdytoju.</w:t>
                    </w:r>
                    <w:r>
                      <w:rPr>
                        <w:lang w:eastAsia="lt-LT"/>
                      </w:rPr>
                      <w:t xml:space="preserve"> </w:t>
                    </w:r>
                  </w:p>
                  <w:p>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pPr>
                      <w:jc w:val="both"/>
                      <w:rPr>
                        <w:szCs w:val="24"/>
                        <w:lang w:eastAsia="lt-LT"/>
                      </w:rPr>
                    </w:pPr>
                    <w:r>
                      <w:rPr>
                        <w:szCs w:val="24"/>
                        <w:lang w:eastAsia="lt-LT"/>
                      </w:rPr>
                      <w:t>Antriniai duomenų šaltiniai: veiklos ataskaitos, galutinė veiklos ataskaita.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jc w:val="both"/>
                    </w:pPr>
                    <w:r>
                      <w:rPr>
                        <w:szCs w:val="24"/>
                        <w:lang w:eastAsia="lt-LT"/>
                      </w:rPr>
                      <w:t xml:space="preserve">projekto veiklų įgyvendinimo metu, </w:t>
                    </w:r>
                    <w:r>
                      <w:t>kai pirmą kartą suteikiama nefinansinė parama.</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bCs/>
                        <w:spacing w:val="2"/>
                        <w:shd w:val="clear" w:color="auto" w:fill="FFFFFF"/>
                      </w:rPr>
                      <w:t xml:space="preserve">Kitas (projekto veiklų įgyvendinimo metu; projekto veiklų įgyvendinimo pabaigoje). </w:t>
                    </w:r>
                  </w:p>
                  <w:p>
                    <w:pPr>
                      <w:jc w:val="both"/>
                      <w:rPr>
                        <w:bCs/>
                        <w:spacing w:val="2"/>
                        <w:shd w:val="clear" w:color="auto" w:fill="FFFFFF"/>
                      </w:rPr>
                    </w:pPr>
                  </w:p>
                  <w:p>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lang w:eastAsia="en-IE"/>
                      </w:rPr>
                    </w:pPr>
                    <w:r>
                      <w:rPr>
                        <w:lang w:eastAsia="en-IE"/>
                      </w:rPr>
                      <w:t xml:space="preserve">2021–2027 m. IP rodiklio kodas </w:t>
                    </w:r>
                    <w:r>
                      <w:t>P.B.2.0004</w:t>
                    </w:r>
                    <w:r>
                      <w:rPr>
                        <w:lang w:eastAsia="en-IE"/>
                      </w:rPr>
                      <w:t>.</w:t>
                    </w:r>
                  </w:p>
                  <w:p>
                    <w:pPr>
                      <w:jc w:val="both"/>
                      <w:rPr>
                        <w:szCs w:val="24"/>
                        <w:lang w:eastAsia="lt-LT"/>
                      </w:rPr>
                    </w:pPr>
                    <w:r>
                      <w:rPr>
                        <w:szCs w:val="24"/>
                        <w:lang w:eastAsia="en-IE"/>
                      </w:rPr>
                      <w:t>Rodiklis įskaičiuojamas į P.B.2.0001 rodiklį ir atitinkamai į parodiklius pagal įmonės dydį (</w:t>
                    </w:r>
                    <w:r>
                      <w:rPr>
                        <w:szCs w:val="24"/>
                        <w:lang w:eastAsia="lt-LT"/>
                      </w:rPr>
                      <w:t>P.B.2.0001.1; P.B.2.0001.2; P.B.2.0001.3; P.B.2.0001.4).</w:t>
                    </w:r>
                  </w:p>
                  <w:p>
                    <w:pPr>
                      <w:rPr>
                        <w:szCs w:val="24"/>
                        <w:lang w:eastAsia="lt-LT"/>
                      </w:rPr>
                    </w:pPr>
                  </w:p>
                  <w:p>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pPr>
                      <w:widowControl w:val="0"/>
                      <w:spacing w:line="256" w:lineRule="auto"/>
                      <w:jc w:val="both"/>
                      <w:rPr>
                        <w:lang w:eastAsia="lt-LT"/>
                      </w:rPr>
                    </w:pPr>
                  </w:p>
                  <w:p>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fe38bb2ac4284c3c8fe337c0bacca5f5"/>
            <w:lock w:val="sdtLocked"/>
            <w:richText/>
          </w:sdtPr>
          <w:sdtContent>
            <w:p>
              <w:pPr>
                <w:keepNext/>
                <w:keepLines/>
                <w:spacing w:line="254" w:lineRule="auto"/>
                <w:jc w:val="center"/>
                <w:outlineLvl w:val="1"/>
                <w:rPr>
                  <w:rFonts w:eastAsia="SimSun"/>
                  <w:b/>
                  <w:caps/>
                  <w:szCs w:val="24"/>
                  <w:lang w:eastAsia="lt-LT"/>
                </w:rPr>
              </w:pPr>
              <w:sdt>
                <w:sdtPr>
                  <w:alias w:val="Numeris"/>
                  <w:tag w:val="nr_fe38bb2ac4284c3c8fe337c0bacca5f5"/>
                  <w:lock w:val="sdtLocked"/>
                  <w:richText/>
                </w:sdtPr>
                <w:sdtContent>
                  <w:r>
                    <w:rPr>
                      <w:rFonts w:eastAsia="SimSun"/>
                      <w:b/>
                      <w:caps/>
                      <w:szCs w:val="24"/>
                      <w:lang w:eastAsia="lt-LT"/>
                    </w:rPr>
                    <w:t>XXII</w:t>
                  </w:r>
                </w:sdtContent>
              </w:sdt>
              <w:r>
                <w:rPr>
                  <w:rFonts w:eastAsia="SimSun"/>
                  <w:b/>
                  <w:caps/>
                  <w:szCs w:val="24"/>
                  <w:lang w:eastAsia="lt-LT"/>
                </w:rPr>
                <w:t xml:space="preserve"> skyrius</w:t>
              </w:r>
            </w:p>
            <w:sdt>
              <w:sdtPr>
                <w:alias w:val="Pavadinimas"/>
                <w:tag w:val="title_fe38bb2ac4284c3c8fe337c0bacca5f5"/>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Paramą gavusios naujos įmonės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Įmonės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Produkto rodiklis (bendrasis)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P-12-001-01-02-01-12</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RCO05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pPr>
                      <w:jc w:val="both"/>
                      <w:rPr>
                        <w:szCs w:val="24"/>
                        <w:lang w:eastAsia="lt-LT"/>
                      </w:rPr>
                    </w:pPr>
                  </w:p>
                  <w:p>
                    <w:pPr>
                      <w:jc w:val="both"/>
                      <w:rPr>
                        <w:lang w:eastAsia="lt-LT"/>
                      </w:rPr>
                    </w:pPr>
                    <w:r>
                      <w:rPr>
                        <w:lang w:eastAsia="lt-LT"/>
                      </w:rPr>
                      <w:t>Rodikliu apskaičiuojamos visos naujos įmonės, gaunančios finansinę (dotacijas) ar nefinansinę (natūrinę) paramą.</w:t>
                    </w:r>
                  </w:p>
                  <w:p>
                    <w:pPr>
                      <w:jc w:val="both"/>
                      <w:rPr>
                        <w:szCs w:val="24"/>
                        <w:lang w:eastAsia="lt-LT"/>
                      </w:rPr>
                    </w:pPr>
                  </w:p>
                  <w:p>
                    <w:pPr>
                      <w:jc w:val="both"/>
                      <w:rPr>
                        <w:szCs w:val="24"/>
                        <w:lang w:eastAsia="lt-LT"/>
                      </w:rPr>
                    </w:pPr>
                    <w:r>
                      <w:rPr>
                        <w:szCs w:val="24"/>
                        <w:lang w:eastAsia="lt-LT"/>
                      </w:rPr>
                      <w:t>Įmonė laikoma nauja, jei ji įsteigta mažiau nei prieš trejus metus iki įmonės kreipimosi dėl paramos gavimo; taip pat jei įmonė atskyrė savo veiklas (pvz., atžalinės įmonės).</w:t>
                    </w:r>
                  </w:p>
                  <w:p>
                    <w:pPr>
                      <w:jc w:val="both"/>
                      <w:rPr>
                        <w:szCs w:val="24"/>
                        <w:lang w:eastAsia="lt-LT"/>
                      </w:rPr>
                    </w:pPr>
                  </w:p>
                  <w:p>
                    <w:pPr>
                      <w:jc w:val="both"/>
                      <w:rPr>
                        <w:szCs w:val="24"/>
                        <w:lang w:eastAsia="lt-LT"/>
                      </w:rPr>
                    </w:pPr>
                    <w:r>
                      <w:t>Atžalinė įmonė – nauja įmonė, kurios steigėjas arba vienas iš steigėjų yra mokslo ir studijų institucija arba įmonė, kurios tikslas – komercinti mokslo ir studijų institucijoje (-ose) arba įmonėje (-ėse) sukurtus mokslinių tyrimų ir eksperimentinės (socialinės, kultūrinės) plėtros rezultatus.</w:t>
                    </w:r>
                  </w:p>
                  <w:p>
                    <w:pPr>
                      <w:jc w:val="both"/>
                      <w:rPr>
                        <w:szCs w:val="24"/>
                        <w:lang w:eastAsia="lt-LT"/>
                      </w:rPr>
                    </w:pPr>
                  </w:p>
                  <w:p>
                    <w:pPr>
                      <w:jc w:val="both"/>
                      <w:rPr>
                        <w:strike/>
                        <w:szCs w:val="24"/>
                        <w:lang w:eastAsia="lt-LT"/>
                      </w:rPr>
                    </w:pPr>
                    <w:r>
                      <w:rPr>
                        <w:szCs w:val="24"/>
                        <w:lang w:eastAsia="lt-LT"/>
                      </w:rPr>
                      <w:t>Įmonė nelaikoma nauja, jei pasikeitė tik jos teisinė forma.</w:t>
                    </w:r>
                  </w:p>
                  <w:p>
                    <w:pPr>
                      <w:jc w:val="both"/>
                      <w:rPr>
                        <w:strike/>
                        <w:szCs w:val="24"/>
                        <w:lang w:eastAsia="lt-LT"/>
                      </w:rPr>
                    </w:pPr>
                  </w:p>
                  <w:p>
                    <w:pPr>
                      <w:jc w:val="both"/>
                      <w:rPr>
                        <w:szCs w:val="24"/>
                        <w:lang w:eastAsia="lt-LT"/>
                      </w:rPr>
                    </w:pPr>
                    <w:r>
                      <w:rPr>
                        <w:szCs w:val="24"/>
                        <w:lang w:eastAsia="lt-LT"/>
                      </w:rPr>
                      <w:t xml:space="preserve">Įmonė – ekonominę veiklą vykdantis juridinis asmuo (šaltinis: Smulkiojo ir vidutinio verslo plėtros įstatymas). </w:t>
                    </w:r>
                  </w:p>
                  <w:p>
                    <w:pPr>
                      <w:jc w:val="both"/>
                      <w:rPr>
                        <w:szCs w:val="24"/>
                        <w:lang w:eastAsia="lt-LT"/>
                      </w:rPr>
                    </w:pPr>
                  </w:p>
                  <w:p>
                    <w:pPr>
                      <w:jc w:val="both"/>
                      <w:rPr>
                        <w:szCs w:val="24"/>
                        <w:lang w:eastAsia="en-IE"/>
                      </w:rPr>
                    </w:pPr>
                    <w:r>
                      <w:rPr>
                        <w:szCs w:val="24"/>
                        <w:lang w:eastAsia="en-IE"/>
                      </w:rPr>
                      <w:t xml:space="preserve">Skaičiuojant rodiklio reikšmę, prie įmonių skaičiaus pridedamas ir verslininkų skaičius. </w:t>
                    </w:r>
                  </w:p>
                  <w:p>
                    <w:pPr>
                      <w:jc w:val="both"/>
                      <w:rPr>
                        <w:szCs w:val="24"/>
                        <w:lang w:eastAsia="en-IE"/>
                      </w:rPr>
                    </w:pPr>
                  </w:p>
                  <w:p>
                    <w:pPr>
                      <w:jc w:val="both"/>
                      <w:rPr>
                        <w:szCs w:val="24"/>
                        <w:lang w:eastAsia="en-IE"/>
                      </w:rPr>
                    </w:pPr>
                    <w:r>
                      <w:rPr>
                        <w:szCs w:val="24"/>
                        <w:lang w:eastAsia="en-IE"/>
                      </w:rPr>
                      <w:t>Verslininkas – fizinis asmuo, kuris verčiasi ekonomine veikla (šaltinis: Smulkiojo ir vidutinio verslo plėtros įstatymas).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bCs/>
                        <w:szCs w:val="24"/>
                        <w:lang w:eastAsia="lt-LT"/>
                      </w:rPr>
                      <w:t>Automatiškai apskaičiuojamasi</w:t>
                    </w:r>
                    <w:r>
                      <w:rPr>
                        <w:bCs/>
                        <w:lang w:eastAsia="lt-LT"/>
                      </w:rPr>
                      <w:t>s</w:t>
                    </w:r>
                    <w:r>
                      <w:rPr>
                        <w:bCs/>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lt-LT"/>
                      </w:rPr>
                    </w:pPr>
                    <w:r>
                      <w:rPr>
                        <w:lang w:eastAsia="lt-LT"/>
                      </w:rPr>
                      <w:t>Rodiklis apskaičiuojamas atsižvelgiant į gautą paramą: nefinansinė parama (žr. RCO04).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Nefinansinės paramos atveju:</w:t>
                    </w:r>
                  </w:p>
                  <w:p>
                    <w:pPr>
                      <w:jc w:val="both"/>
                      <w:rPr>
                        <w:szCs w:val="24"/>
                        <w:lang w:eastAsia="lt-LT"/>
                      </w:rPr>
                    </w:pPr>
                    <w:r>
                      <w:rPr>
                        <w:lang w:eastAsia="lt-LT"/>
                      </w:rPr>
                      <w:t>pirminiai duomenų šaltiniai:</w:t>
                    </w:r>
                  </w:p>
                  <w:p>
                    <w:pPr>
                      <w:jc w:val="both"/>
                      <w:rPr>
                        <w:lang w:eastAsia="lt-LT"/>
                      </w:rPr>
                    </w:pPr>
                    <w:r>
                      <w:rPr>
                        <w:szCs w:val="24"/>
                      </w:rPr>
                      <w:t>pirminių dokumentų sąrašą konkrečiam projektui suderina įgyvendinančioji institucija su projekto vykdytoju.</w:t>
                    </w:r>
                    <w:r>
                      <w:rPr>
                        <w:lang w:eastAsia="lt-LT"/>
                      </w:rPr>
                      <w:t xml:space="preserve"> </w:t>
                    </w:r>
                  </w:p>
                  <w:p>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pPr>
                      <w:jc w:val="both"/>
                      <w:rPr>
                        <w:szCs w:val="24"/>
                        <w:lang w:eastAsia="lt-LT"/>
                      </w:rPr>
                    </w:pPr>
                    <w:r>
                      <w:rPr>
                        <w:szCs w:val="24"/>
                        <w:lang w:eastAsia="lt-LT"/>
                      </w:rPr>
                      <w:t>Antriniai duomenų šaltiniai: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 rodiklio pasiekimą atsiskaitoma:</w:t>
                    </w:r>
                  </w:p>
                  <w:p>
                    <w:pPr>
                      <w:ind w:left="778" w:hanging="360"/>
                      <w:jc w:val="both"/>
                      <w:rPr>
                        <w:szCs w:val="24"/>
                        <w:lang w:eastAsia="lt-LT"/>
                      </w:rPr>
                    </w:pPr>
                    <w:r>
                      <w:rPr>
                        <w:rFonts w:ascii="Symbol" w:hAnsi="Symbol"/>
                        <w:szCs w:val="24"/>
                        <w:lang w:eastAsia="lt-LT"/>
                      </w:rPr>
                      <w:t></w:t>
                      <w:tab/>
                    </w:r>
                    <w:r>
                      <w:t>projekto veiklų įgyvendinimo metu, kai pirmą kartą suteikiama nefinansinė parama (nefinansinių priemonių atveju).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hd w:val="clear" w:color="auto" w:fill="FFFFFF"/>
                      </w:rPr>
                    </w:pPr>
                    <w:r>
                      <w:rPr>
                        <w:spacing w:val="2"/>
                        <w:shd w:val="clear" w:color="auto" w:fill="FFFFFF"/>
                      </w:rPr>
                      <w:t>Projekto veiklų įgyvendinimo metu; projekto veiklų įgyvendinimo pabaigoje.</w:t>
                    </w:r>
                  </w:p>
                  <w:p>
                    <w:pPr>
                      <w:jc w:val="both"/>
                      <w:rPr>
                        <w:bCs/>
                        <w:szCs w:val="24"/>
                        <w:lang w:eastAsia="lt-LT"/>
                      </w:rPr>
                    </w:pPr>
                  </w:p>
                  <w:p>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Cs w:val="24"/>
                        <w:lang w:eastAsia="en-GB"/>
                      </w:rPr>
                    </w:pPr>
                    <w:r>
                      <w:rPr>
                        <w:szCs w:val="24"/>
                        <w:lang w:eastAsia="en-GB"/>
                      </w:rPr>
                      <w:t>Tarptautinių investicijų koordinavimo departamentas:</w:t>
                    </w:r>
                  </w:p>
                  <w:p>
                    <w:pPr>
                      <w:jc w:val="both"/>
                      <w:rPr>
                        <w:szCs w:val="24"/>
                        <w:lang w:eastAsia="en-GB"/>
                      </w:rPr>
                    </w:pPr>
                    <w:r>
                      <w:rPr>
                        <w:szCs w:val="24"/>
                        <w:lang w:eastAsia="en-GB"/>
                      </w:rPr>
                      <w:t>Tarptautinių investicijų planavimo skyrius,</w:t>
                    </w:r>
                  </w:p>
                  <w:p>
                    <w:pPr>
                      <w:jc w:val="both"/>
                      <w:rPr>
                        <w:szCs w:val="24"/>
                        <w:lang w:eastAsia="en-GB"/>
                      </w:rPr>
                    </w:pPr>
                    <w:r>
                      <w:rPr>
                        <w:szCs w:val="24"/>
                        <w:lang w:eastAsia="en-GB"/>
                      </w:rPr>
                      <w:t>tel. +370 620 43 529;</w:t>
                    </w:r>
                  </w:p>
                  <w:p>
                    <w:pPr>
                      <w:jc w:val="both"/>
                      <w:rPr>
                        <w:szCs w:val="24"/>
                        <w:lang w:eastAsia="en-GB"/>
                      </w:rPr>
                    </w:pPr>
                    <w:r>
                      <w:rPr>
                        <w:szCs w:val="24"/>
                        <w:lang w:eastAsia="en-GB"/>
                      </w:rPr>
                      <w:t>Tarptautinių investicijų įgyvendinimo skyrius,</w:t>
                    </w:r>
                  </w:p>
                  <w:p>
                    <w:pPr>
                      <w:spacing w:line="256" w:lineRule="auto"/>
                      <w:rPr>
                        <w:rFonts w:eastAsia="Calibri"/>
                        <w:bCs/>
                        <w:i/>
                        <w:iCs/>
                        <w:szCs w:val="24"/>
                        <w:lang w:eastAsia="lt-LT"/>
                      </w:rPr>
                    </w:pPr>
                    <w:r>
                      <w:rPr>
                        <w:szCs w:val="24"/>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2021–2027 m. IP rodiklio kodas P.B.2.0005.</w:t>
                    </w:r>
                  </w:p>
                  <w:p>
                    <w:pPr>
                      <w:jc w:val="both"/>
                      <w:rPr>
                        <w:lang w:eastAsia="lt-LT"/>
                      </w:rPr>
                    </w:pPr>
                    <w:r>
                      <w:rPr>
                        <w:lang w:eastAsia="lt-LT"/>
                      </w:rPr>
                      <w:t xml:space="preserve">Rodiklis apskaičiuojamas remiantis RCO04 rodikliu. </w:t>
                    </w:r>
                  </w:p>
                  <w:p>
                    <w:pPr>
                      <w:jc w:val="both"/>
                      <w:rPr>
                        <w:szCs w:val="24"/>
                        <w:lang w:eastAsia="lt-LT"/>
                      </w:rPr>
                    </w:pPr>
                  </w:p>
                  <w:p>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pPr>
                      <w:jc w:val="both"/>
                      <w:rPr>
                        <w:szCs w:val="24"/>
                        <w:lang w:eastAsia="lt-LT"/>
                      </w:rPr>
                    </w:pPr>
                  </w:p>
                  <w:p>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sdtContent>
        </w:sdt>
        <w:sdt>
          <w:sdtPr>
            <w:alias w:val="skyrius"/>
            <w:tag w:val="part_d3b209234e884fa09ef75c0838eea18d"/>
            <w:lock w:val="sdtLocked"/>
            <w:richText/>
          </w:sdtPr>
          <w:sdtContent>
            <w:p>
              <w:pPr>
                <w:keepNext/>
                <w:keepLines/>
                <w:spacing w:line="254" w:lineRule="auto"/>
                <w:jc w:val="center"/>
                <w:outlineLvl w:val="1"/>
                <w:rPr>
                  <w:rFonts w:eastAsia="SimSun"/>
                  <w:b/>
                  <w:caps/>
                  <w:szCs w:val="24"/>
                  <w:lang w:eastAsia="lt-LT"/>
                </w:rPr>
              </w:pPr>
              <w:sdt>
                <w:sdtPr>
                  <w:alias w:val="Numeris"/>
                  <w:tag w:val="nr_d3b209234e884fa09ef75c0838eea18d"/>
                  <w:lock w:val="sdtLocked"/>
                  <w:richText/>
                </w:sdtPr>
                <w:sdtContent>
                  <w:r>
                    <w:rPr>
                      <w:rFonts w:eastAsia="SimSun"/>
                      <w:b/>
                      <w:caps/>
                      <w:szCs w:val="24"/>
                      <w:lang w:eastAsia="lt-LT"/>
                    </w:rPr>
                    <w:t>XXIII</w:t>
                  </w:r>
                </w:sdtContent>
              </w:sdt>
              <w:r>
                <w:rPr>
                  <w:rFonts w:eastAsia="SimSun"/>
                  <w:b/>
                  <w:caps/>
                  <w:szCs w:val="24"/>
                  <w:lang w:eastAsia="lt-LT"/>
                </w:rPr>
                <w:t xml:space="preserve"> skyrius</w:t>
              </w:r>
            </w:p>
            <w:sdt>
              <w:sdtPr>
                <w:alias w:val="Pavadinimas"/>
                <w:tag w:val="title_d3b209234e884fa09ef75c0838eea18d"/>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Vienetai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Produkto rodiklis (specialusis)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P-12-001-01-02-01-13</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EK LT-C[C5]-R[E-1-3-.E-1-3-]-MON[135.1]</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iCs/>
                        <w:szCs w:val="24"/>
                        <w:lang w:eastAsia="lt-LT"/>
                      </w:rPr>
                      <w:t>Lietuvos Respublikos švietimo, mokslo ir sporto ministro įsakymu turi būti patvirtintas Europos Sąjungos mokslinių tyrimų ir inovacijų programos „Europos horizontas“ akceleravimo veiklų planas, nustatantis remiamas veiklas, tikslines grupes, planuojamas finansavimo lėšas ir veiklų įgyvendinimo rodiklius bei jų skaitines reikšmes.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Teisės aktų registras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bCs/>
                        <w:iCs/>
                        <w:szCs w:val="24"/>
                        <w:lang w:eastAsia="lt-LT"/>
                      </w:rPr>
                      <w:t>-</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akceleravimo veiklų planą (nuo </w:t>
                    </w:r>
                    <w:r>
                      <w:rPr>
                        <w:szCs w:val="24"/>
                      </w:rPr>
                      <w:t>įsigaliojimo dienos).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textAlignment w:val="baseline"/>
                      <w:rPr>
                        <w:szCs w:val="24"/>
                        <w:lang w:eastAsia="en-GB"/>
                      </w:rPr>
                    </w:pPr>
                    <w:r>
                      <w:rPr>
                        <w:szCs w:val="24"/>
                        <w:lang w:eastAsia="en-GB"/>
                      </w:rPr>
                      <w:t>Studijų, mokslo ir technologijų departamento</w:t>
                    </w:r>
                  </w:p>
                  <w:p>
                    <w:pPr>
                      <w:jc w:val="both"/>
                      <w:textAlignment w:val="baseline"/>
                      <w:rPr>
                        <w:szCs w:val="24"/>
                        <w:lang w:eastAsia="en-GB"/>
                      </w:rPr>
                    </w:pPr>
                    <w:r>
                      <w:rPr>
                        <w:szCs w:val="24"/>
                        <w:lang w:eastAsia="en-GB"/>
                      </w:rPr>
                      <w:t>Technologijų ir inovacijų skyrius,</w:t>
                    </w:r>
                  </w:p>
                  <w:p>
                    <w:pPr>
                      <w:jc w:val="both"/>
                      <w:textAlignment w:val="baseline"/>
                      <w:rPr>
                        <w:szCs w:val="24"/>
                        <w:lang w:eastAsia="en-GB"/>
                      </w:rPr>
                    </w:pPr>
                    <w:r>
                      <w:rPr>
                        <w:szCs w:val="24"/>
                        <w:lang w:eastAsia="en-GB"/>
                      </w:rPr>
                      <w:t>tel. +370 666 44 315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iCs/>
                        <w:szCs w:val="24"/>
                      </w:rPr>
                      <w:t>Plano „Naujos kartos Lietuva“ P.S. 1.1136 rodiklio tarpinis rodiklis, kurio kodas P.S.1.1135.1.</w:t>
                    </w:r>
                  </w:p>
                </w:tc>
              </w:tr>
            </w:tbl>
            <w:p/>
          </w:sdtContent>
        </w:sdt>
        <w:sdt>
          <w:sdtPr>
            <w:alias w:val="skyrius"/>
            <w:tag w:val="part_dc2805bfde494b8da71bd17a7351832a"/>
            <w:lock w:val="sdtLocked"/>
            <w:richText/>
          </w:sdtPr>
          <w:sdtContent>
            <w:p>
              <w:pPr>
                <w:keepNext/>
                <w:keepLines/>
                <w:spacing w:line="254" w:lineRule="auto"/>
                <w:jc w:val="center"/>
                <w:outlineLvl w:val="1"/>
                <w:rPr>
                  <w:rFonts w:eastAsia="SimSun"/>
                  <w:b/>
                  <w:caps/>
                  <w:szCs w:val="24"/>
                  <w:lang w:eastAsia="lt-LT"/>
                </w:rPr>
              </w:pPr>
              <w:sdt>
                <w:sdtPr>
                  <w:alias w:val="Numeris"/>
                  <w:tag w:val="nr_dc2805bfde494b8da71bd17a7351832a"/>
                  <w:lock w:val="sdtLocked"/>
                  <w:richText/>
                </w:sdtPr>
                <w:sdtContent>
                  <w:r>
                    <w:rPr>
                      <w:rFonts w:eastAsia="SimSun"/>
                      <w:b/>
                      <w:caps/>
                      <w:szCs w:val="24"/>
                      <w:lang w:eastAsia="lt-LT"/>
                    </w:rPr>
                    <w:t>XXIV</w:t>
                  </w:r>
                </w:sdtContent>
              </w:sdt>
              <w:r>
                <w:rPr>
                  <w:rFonts w:eastAsia="SimSun"/>
                  <w:b/>
                  <w:caps/>
                  <w:szCs w:val="24"/>
                  <w:lang w:eastAsia="lt-LT"/>
                </w:rPr>
                <w:t xml:space="preserve"> skyrius</w:t>
              </w:r>
            </w:p>
            <w:sdt>
              <w:sdtPr>
                <w:alias w:val="Pavadinimas"/>
                <w:tag w:val="title_dc2805bfde494b8da71bd17a7351832a"/>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„FINANSUOTI PROJEKTAI IR KONSULTAVIMO PASLAUGOS MOKSLO IR STUDIJŲ INSTITUCIJŲ IR MAŽŲ IR VIDUTINIŲ ĮMONIŲ POTENCIALIEMS PROGRAMOS „EUROPOS HORIZONTAS“ PAREIŠKĖJAMS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Finansuoti projektai ir konsultavimo paslaugos mokslo ir studijų institucijų ir mažų ir vidutinių įmonių potencialiems programos „Europos horizontas“ pareiškėjams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Vienetai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Produkto rodiklis (specialusis)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szCs w:val="24"/>
                      </w:rPr>
                      <w:t>P-12-001-01-02-01-14</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LT-C[C5]-R[E-1-3-.E-1-3-]-T[135];</w:t>
                    </w:r>
                  </w:p>
                  <w:p>
                    <w:pPr>
                      <w:widowControl w:val="0"/>
                      <w:spacing w:line="256" w:lineRule="auto"/>
                      <w:jc w:val="both"/>
                      <w:rPr>
                        <w:iCs/>
                        <w:szCs w:val="24"/>
                        <w:lang w:eastAsia="lt-LT"/>
                      </w:rPr>
                    </w:pPr>
                    <w:r>
                      <w:rPr>
                        <w:iCs/>
                        <w:szCs w:val="24"/>
                        <w:lang w:eastAsia="lt-LT"/>
                      </w:rPr>
                      <w:t>LT-C[C5]-R[E-1-3-.E-1-3-]-T[136]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Cs/>
                        <w:szCs w:val="24"/>
                        <w:lang w:eastAsia="lt-LT"/>
                      </w:rPr>
                    </w:pPr>
                    <w:r>
                      <w:rPr>
                        <w:iCs/>
                        <w:szCs w:val="24"/>
                        <w:lang w:eastAsia="lt-LT"/>
                      </w:rPr>
                      <w:t>Skaičiuojami pagal šias pažangos priemonės veiklos programos „Europos horizontas“ akceleravimo poveikles finansuoti projektai ir / ar suteiktos kosnultacijos, finansuotos narystės tarptautiniuose tinkluose:</w:t>
                    </w:r>
                  </w:p>
                  <w:p>
                    <w:pPr>
                      <w:spacing w:line="256" w:lineRule="auto"/>
                      <w:jc w:val="both"/>
                      <w:rPr>
                        <w:iCs/>
                        <w:szCs w:val="24"/>
                        <w:lang w:eastAsia="lt-LT"/>
                      </w:rPr>
                    </w:pPr>
                  </w:p>
                  <w:p>
                    <w:pPr>
                      <w:tabs>
                        <w:tab w:val="left" w:pos="395"/>
                      </w:tabs>
                      <w:spacing w:line="257" w:lineRule="auto"/>
                      <w:jc w:val="both"/>
                      <w:rPr>
                        <w:szCs w:val="24"/>
                        <w:lang w:eastAsia="lt-LT"/>
                      </w:rPr>
                    </w:pPr>
                    <w:r>
                      <w:rPr>
                        <w:lang w:eastAsia="lt-LT"/>
                      </w:rPr>
                      <w:t>1.</w:t>
                    </w:r>
                    <w:r>
                      <w:tab/>
                    </w:r>
                    <w:r>
                      <w:rPr>
                        <w:lang w:eastAsia="lt-LT"/>
                      </w:rPr>
                      <w:t xml:space="preserve">Parama Lietuvos dalyvavimui tarptautiniuose Europos Sąjungos koordinavimo iniciatyvų projektuose kofinansuoti – </w:t>
                    </w:r>
                    <w:r>
                      <w:rPr>
                        <w:szCs w:val="24"/>
                      </w:rPr>
                      <w:t>tarpvalstybinių ES koordinavimo iniciatyvų projektai</w:t>
                    </w:r>
                    <w:r>
                      <w:rPr>
                        <w:szCs w:val="24"/>
                        <w:lang w:eastAsia="lt-LT"/>
                      </w:rPr>
                      <w:t>.</w:t>
                    </w:r>
                  </w:p>
                  <w:p>
                    <w:pPr>
                      <w:rPr>
                        <w:sz w:val="14"/>
                        <w:szCs w:val="14"/>
                      </w:rPr>
                    </w:pPr>
                  </w:p>
                  <w:p>
                    <w:pPr>
                      <w:tabs>
                        <w:tab w:val="left" w:pos="253"/>
                      </w:tabs>
                      <w:spacing w:line="257" w:lineRule="auto"/>
                      <w:jc w:val="both"/>
                      <w:rPr>
                        <w:szCs w:val="24"/>
                        <w:lang w:eastAsia="lt-LT"/>
                      </w:rPr>
                    </w:pPr>
                    <w:r>
                      <w:rPr>
                        <w:lang w:eastAsia="lt-LT"/>
                      </w:rPr>
                      <w:t>2.</w:t>
                    </w:r>
                    <w:r>
                      <w:tab/>
                    </w:r>
                    <w:r>
                      <w:rPr>
                        <w:lang w:eastAsia="lt-LT"/>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r>
                      <w:rPr>
                        <w:szCs w:val="24"/>
                        <w:lang w:eastAsia="lt-LT"/>
                      </w:rPr>
                      <w:t xml:space="preserve">– </w:t>
                    </w:r>
                    <w:r>
                      <w:rPr>
                        <w:szCs w:val="24"/>
                      </w:rPr>
                      <w:t>mokslo ir studijų institucijų ir MVĮ projektai, teigiamai įvertinti pagal programą „Europos Horizontas“, bet dėl biudžeto trūkumo negavę finansavimo (įskaitant projektus, kuriems suteiktas pažangumo ženklas)</w:t>
                    </w:r>
                    <w:r>
                      <w:rPr>
                        <w:szCs w:val="24"/>
                        <w:lang w:eastAsia="lt-LT"/>
                      </w:rPr>
                      <w:t>.</w:t>
                    </w:r>
                  </w:p>
                  <w:p>
                    <w:pPr>
                      <w:rPr>
                        <w:sz w:val="14"/>
                        <w:szCs w:val="14"/>
                      </w:rPr>
                    </w:pPr>
                  </w:p>
                  <w:p>
                    <w:pPr>
                      <w:tabs>
                        <w:tab w:val="left" w:pos="253"/>
                      </w:tabs>
                      <w:spacing w:line="256" w:lineRule="auto"/>
                      <w:jc w:val="both"/>
                      <w:rPr>
                        <w:lang w:eastAsia="lt-LT"/>
                      </w:rPr>
                    </w:pPr>
                    <w:r>
                      <w:rPr>
                        <w:lang w:eastAsia="lt-LT"/>
                      </w:rPr>
                      <w:t>3.</w:t>
                    </w:r>
                    <w:r>
                      <w:tab/>
                    </w:r>
                    <w:r>
                      <w:rPr>
                        <w:lang w:eastAsia="lt-LT"/>
                      </w:rPr>
                      <w:t>Parama identifikuotiems startiniams MTEP projektams ir galimybių studijoms su institucijų kelrodžiais sėkmingam dalyvavimui Europos Sąjungos mokslinių tyrimų ir inovacijų programos „Europos horizontas“ kvietimuose skatinti:</w:t>
                    </w:r>
                  </w:p>
                  <w:p>
                    <w:pPr>
                      <w:spacing w:line="257" w:lineRule="auto"/>
                      <w:jc w:val="both"/>
                      <w:rPr>
                        <w:szCs w:val="24"/>
                      </w:rPr>
                    </w:pPr>
                    <w:r>
                      <w:rPr>
                        <w:szCs w:val="24"/>
                        <w:lang w:eastAsia="lt-LT"/>
                      </w:rPr>
                      <w:t xml:space="preserve">- </w:t>
                    </w:r>
                    <w:r>
                      <w:rPr>
                        <w:szCs w:val="24"/>
                      </w:rPr>
                      <w:t>galimybių studijų, skirtų potencialiems paramos gavėjams, siekiantiems dalyvauti programos „Europos horizontas“ veiklose, rengimui remti, projektai;</w:t>
                    </w:r>
                  </w:p>
                  <w:p>
                    <w:pPr>
                      <w:rPr>
                        <w:sz w:val="14"/>
                        <w:szCs w:val="14"/>
                      </w:rPr>
                    </w:pPr>
                  </w:p>
                  <w:p>
                    <w:pPr>
                      <w:spacing w:line="257" w:lineRule="auto"/>
                      <w:jc w:val="both"/>
                      <w:rPr>
                        <w:szCs w:val="24"/>
                        <w:lang w:eastAsia="lt-LT"/>
                      </w:rPr>
                    </w:pPr>
                    <w:r>
                      <w:rPr>
                        <w:szCs w:val="24"/>
                      </w:rPr>
                      <w:t>- konsultavimo / ekspertų paslaugos, siekiant ugdyti kompetencijas dalyvauti tarptautinėse MTEPI programose</w:t>
                    </w:r>
                    <w:r>
                      <w:rPr>
                        <w:szCs w:val="24"/>
                        <w:lang w:eastAsia="lt-LT"/>
                      </w:rPr>
                      <w:t>.</w:t>
                    </w:r>
                  </w:p>
                  <w:p>
                    <w:pPr>
                      <w:rPr>
                        <w:sz w:val="14"/>
                        <w:szCs w:val="14"/>
                      </w:rPr>
                    </w:pPr>
                  </w:p>
                  <w:p>
                    <w:pPr>
                      <w:tabs>
                        <w:tab w:val="left" w:pos="253"/>
                      </w:tabs>
                      <w:spacing w:line="257" w:lineRule="auto"/>
                      <w:jc w:val="both"/>
                      <w:rPr>
                        <w:szCs w:val="24"/>
                      </w:rPr>
                    </w:pPr>
                    <w:r>
                      <w:rPr>
                        <w:lang w:eastAsia="lt-LT"/>
                      </w:rPr>
                      <w:t>4.</w:t>
                    </w:r>
                    <w:r>
                      <w:tab/>
                    </w:r>
                    <w:r>
                      <w:rPr>
                        <w:lang w:eastAsia="lt-LT"/>
                      </w:rPr>
                      <w:t xml:space="preserve">Parama mokslo, asocijuotų verslo struktūrų narystei ir veiklai tarptautiniuose tinkluose, generuojančiuose iniciatyvas ir ES mokslinių tyrimų ir inovacijų programos „Europos horizontas“ tematikas </w:t>
                    </w:r>
                    <w:r>
                      <w:rPr>
                        <w:szCs w:val="24"/>
                        <w:lang w:eastAsia="lt-LT"/>
                      </w:rPr>
                      <w:t xml:space="preserve">– </w:t>
                    </w:r>
                    <w:r>
                      <w:rPr>
                        <w:szCs w:val="24"/>
                      </w:rPr>
                      <w:t>narystės tarptautiniuose tinkluose.</w:t>
                    </w:r>
                  </w:p>
                  <w:p>
                    <w:pPr>
                      <w:rPr>
                        <w:sz w:val="14"/>
                        <w:szCs w:val="14"/>
                      </w:rPr>
                    </w:pPr>
                  </w:p>
                  <w:p>
                    <w:pPr>
                      <w:tabs>
                        <w:tab w:val="left" w:pos="253"/>
                      </w:tabs>
                      <w:spacing w:line="257" w:lineRule="auto"/>
                      <w:jc w:val="both"/>
                      <w:rPr>
                        <w:szCs w:val="24"/>
                        <w:lang w:eastAsia="lt-LT"/>
                      </w:rPr>
                    </w:pPr>
                    <w:r>
                      <w:rPr>
                        <w:lang w:eastAsia="lt-LT"/>
                      </w:rPr>
                      <w:t>5.</w:t>
                    </w:r>
                    <w:r>
                      <w:tab/>
                    </w:r>
                    <w:r>
                      <w:rPr>
                        <w:lang w:eastAsia="lt-LT"/>
                      </w:rPr>
                      <w:t xml:space="preserve">Parama veikloms, skirtoms Europos mokslinių tyrimų erdvės prioritetams įgyvendinti, siekiant institucinių pokyčių </w:t>
                    </w:r>
                    <w:r>
                      <w:rPr>
                        <w:szCs w:val="24"/>
                        <w:lang w:eastAsia="lt-LT"/>
                      </w:rPr>
                      <w:t xml:space="preserve">– projektai skirti </w:t>
                    </w:r>
                    <w:r>
                      <w:rPr>
                        <w:szCs w:val="24"/>
                      </w:rPr>
                      <w:t>Europos mokslinių tyrimų erdvės ir programos „Europos horizontas“ projektų įgyvendinimo pajėgumams remti</w:t>
                    </w:r>
                    <w:r>
                      <w:rPr>
                        <w:szCs w:val="24"/>
                        <w:lang w:eastAsia="lt-LT"/>
                      </w:rPr>
                      <w:t>.</w:t>
                    </w:r>
                  </w:p>
                  <w:p>
                    <w:pPr>
                      <w:rPr>
                        <w:sz w:val="14"/>
                        <w:szCs w:val="14"/>
                      </w:rPr>
                    </w:pPr>
                  </w:p>
                  <w:p>
                    <w:pPr>
                      <w:tabs>
                        <w:tab w:val="left" w:pos="395"/>
                      </w:tabs>
                      <w:spacing w:line="256" w:lineRule="auto"/>
                      <w:jc w:val="both"/>
                      <w:rPr>
                        <w:iCs/>
                        <w:szCs w:val="24"/>
                        <w:lang w:eastAsia="lt-LT"/>
                      </w:rPr>
                    </w:pPr>
                    <w:r>
                      <w:rPr>
                        <w:lang w:eastAsia="lt-LT"/>
                      </w:rPr>
                      <w:t>6.</w:t>
                    </w:r>
                    <w:r>
                      <w:tab/>
                    </w:r>
                    <w:r>
                      <w:rPr>
                        <w:lang w:eastAsia="lt-LT"/>
                      </w:rPr>
                      <w:t xml:space="preserve">Parama mokslo ir verslo kompetencijų stiprinimui rengti tarptautines projektų paraiškas MTEPI veikloms finansuoti </w:t>
                    </w:r>
                    <w:r>
                      <w:rPr>
                        <w:szCs w:val="24"/>
                        <w:lang w:eastAsia="lt-LT"/>
                      </w:rPr>
                      <w:t xml:space="preserve">– </w:t>
                    </w:r>
                    <w:r>
                      <w:rPr>
                        <w:szCs w:val="24"/>
                      </w:rPr>
                      <w:t>grupinės konsultacijos, siekiant ugdyti kompetencijas dalyvauti tarptautinėse MTEPI programose</w:t>
                    </w:r>
                    <w:r>
                      <w:rPr>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Sumuojant pagal pažangos priemonės veiklos Programos „Europos horizontas“ akceleravimo poveikles pasirašytos Projektų sutartys ir / ar suteiktos konsultacijos, finansuotos narystės tarptautinėse organizacijose.</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Pirminiai duomenų šaltiniai: pasirašytos projektų sutartys, sąskaitos faktūros (kopijos), dalyvių sąrašai, dalyvių suvestinės, darbo sutartys (kopijos), tikslinę grupę pagrindžiantys dokumentai.</w:t>
                    </w:r>
                  </w:p>
                  <w:p>
                    <w:pPr>
                      <w:spacing w:line="256" w:lineRule="auto"/>
                      <w:jc w:val="both"/>
                      <w:rPr>
                        <w:lang w:eastAsia="lt-LT"/>
                      </w:rPr>
                    </w:pPr>
                    <w:r>
                      <w:rPr>
                        <w:lang w:eastAsia="lt-LT"/>
                      </w:rPr>
                      <w:t>Antriniai duomenų šaltiniai: veiklos ataskaita / kitos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bCs/>
                        <w:iCs/>
                        <w:szCs w:val="24"/>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rPr>
                    </w:pPr>
                    <w:r>
                      <w:rPr>
                        <w:szCs w:val="24"/>
                        <w:lang w:eastAsia="en-GB"/>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textAlignment w:val="baseline"/>
                      <w:rPr>
                        <w:szCs w:val="24"/>
                        <w:lang w:eastAsia="en-GB"/>
                      </w:rPr>
                    </w:pPr>
                    <w:r>
                      <w:rPr>
                        <w:szCs w:val="24"/>
                        <w:lang w:eastAsia="en-GB"/>
                      </w:rPr>
                      <w:t>Studijų, mokslo ir technologijų departamento</w:t>
                    </w:r>
                  </w:p>
                  <w:p>
                    <w:pPr>
                      <w:jc w:val="both"/>
                      <w:textAlignment w:val="baseline"/>
                      <w:rPr>
                        <w:szCs w:val="24"/>
                        <w:lang w:eastAsia="en-GB"/>
                      </w:rPr>
                    </w:pPr>
                    <w:r>
                      <w:rPr>
                        <w:szCs w:val="24"/>
                        <w:lang w:eastAsia="en-GB"/>
                      </w:rPr>
                      <w:t>Technologijų ir inovacijų skyrius,</w:t>
                    </w:r>
                  </w:p>
                  <w:p>
                    <w:pPr>
                      <w:spacing w:line="256" w:lineRule="auto"/>
                      <w:rPr>
                        <w:rFonts w:eastAsia="Calibri"/>
                        <w:bCs/>
                        <w:i/>
                        <w:iCs/>
                        <w:szCs w:val="24"/>
                        <w:lang w:eastAsia="lt-LT"/>
                      </w:rPr>
                    </w:pPr>
                    <w:r>
                      <w:rPr>
                        <w:szCs w:val="24"/>
                        <w:lang w:eastAsia="en-GB"/>
                      </w:rPr>
                      <w:t>tel. +370 666 44 315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t>Plano „Naujos kartos Lietuva“ rodiklio kodas P.S.1.1136.</w:t>
                    </w:r>
                  </w:p>
                </w:tc>
              </w:tr>
            </w:tbl>
            <w:p/>
          </w:sdtContent>
        </w:sdt>
        <w:sdt>
          <w:sdtPr>
            <w:alias w:val="skyrius"/>
            <w:tag w:val="part_cf119cc6c8f044b79eeb08979326737b"/>
            <w:lock w:val="sdtLocked"/>
            <w:richText/>
          </w:sdtPr>
          <w:sdtContent>
            <w:p>
              <w:pPr>
                <w:keepNext/>
                <w:keepLines/>
                <w:spacing w:line="254" w:lineRule="auto"/>
                <w:jc w:val="center"/>
                <w:outlineLvl w:val="1"/>
                <w:rPr>
                  <w:rFonts w:eastAsia="SimSun"/>
                  <w:b/>
                  <w:caps/>
                  <w:szCs w:val="24"/>
                  <w:lang w:eastAsia="lt-LT"/>
                </w:rPr>
              </w:pPr>
              <w:sdt>
                <w:sdtPr>
                  <w:alias w:val="Numeris"/>
                  <w:tag w:val="nr_cf119cc6c8f044b79eeb08979326737b"/>
                  <w:lock w:val="sdtLocked"/>
                  <w:richText/>
                </w:sdtPr>
                <w:sdtContent>
                  <w:r>
                    <w:rPr>
                      <w:rFonts w:eastAsia="SimSun"/>
                      <w:b/>
                      <w:caps/>
                      <w:szCs w:val="24"/>
                      <w:lang w:eastAsia="lt-LT"/>
                    </w:rPr>
                    <w:t>XXV</w:t>
                  </w:r>
                </w:sdtContent>
              </w:sdt>
              <w:r>
                <w:rPr>
                  <w:rFonts w:eastAsia="SimSun"/>
                  <w:b/>
                  <w:caps/>
                  <w:szCs w:val="24"/>
                  <w:lang w:eastAsia="lt-LT"/>
                </w:rPr>
                <w:t xml:space="preserve"> skyrius</w:t>
              </w:r>
            </w:p>
            <w:sdt>
              <w:sdtPr>
                <w:alias w:val="Pavadinimas"/>
                <w:tag w:val="title_cf119cc6c8f044b79eeb08979326737b"/>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Sukurtas mokslo ir inovacijų srities pareigūnų veiklos modelis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Vienetai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Produkto rodiklis (specialusis)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P-12-001-01-02-01-15</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LT-C[C5]-R[E-1-3-.E-1-3-]-T[137.1]</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pPr>
                      <w:spacing w:line="256" w:lineRule="auto"/>
                      <w:jc w:val="both"/>
                      <w:rPr>
                        <w:iCs/>
                        <w:szCs w:val="24"/>
                        <w:lang w:eastAsia="lt-LT"/>
                      </w:rPr>
                    </w:pPr>
                    <w:r>
                      <w:rPr>
                        <w:iCs/>
                        <w:szCs w:val="24"/>
                        <w:lang w:eastAsia="lt-LT"/>
                      </w:rPr>
                      <w:t>Modelis turi būti sukurtas bendradarbiaujant Švietimo, mokslo ir sporto ministerijai bei Vyriausybės strateginiam analizės centrui (toliau – STRATA).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bCs/>
                        <w:iCs/>
                        <w:szCs w:val="24"/>
                        <w:lang w:eastAsia="lt-LT"/>
                      </w:rPr>
                      <w:t>Vienkartinis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rPr>
                    </w:pPr>
                    <w:r>
                      <w:rPr>
                        <w:bCs/>
                        <w:i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w:t>
                    </w:r>
                  </w:p>
                  <w:p>
                    <w:pPr>
                      <w:spacing w:line="256" w:lineRule="auto"/>
                      <w:rPr>
                        <w:rFonts w:eastAsia="Calibri"/>
                        <w:bCs/>
                        <w:iCs/>
                        <w:szCs w:val="24"/>
                        <w:lang w:eastAsia="lt-LT"/>
                      </w:rPr>
                    </w:pPr>
                    <w:r>
                      <w:rPr>
                        <w:rFonts w:eastAsia="Calibri"/>
                        <w:bCs/>
                        <w:iCs/>
                        <w:szCs w:val="24"/>
                        <w:lang w:eastAsia="lt-LT"/>
                      </w:rPr>
                      <w:t>Mokslo skyrius,</w:t>
                    </w:r>
                  </w:p>
                  <w:p>
                    <w:pPr>
                      <w:spacing w:line="256" w:lineRule="auto"/>
                      <w:rPr>
                        <w:rFonts w:eastAsia="Calibri"/>
                        <w:bCs/>
                        <w:iCs/>
                        <w:szCs w:val="24"/>
                        <w:lang w:eastAsia="lt-LT"/>
                      </w:rPr>
                    </w:pPr>
                    <w:r>
                      <w:rPr>
                        <w:rFonts w:eastAsia="Calibri"/>
                        <w:bCs/>
                        <w:iCs/>
                        <w:szCs w:val="24"/>
                        <w:lang w:eastAsia="lt-LT"/>
                      </w:rPr>
                      <w:t>tel. +370 661 09 263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t>Plano „Naujos kartos Lietuva“ rodiklio kodas P.S.1.1137.1.</w:t>
                    </w:r>
                  </w:p>
                </w:tc>
              </w:tr>
            </w:tbl>
            <w:p/>
          </w:sdtContent>
        </w:sdt>
        <w:sdt>
          <w:sdtPr>
            <w:alias w:val="skyrius"/>
            <w:tag w:val="part_947464248ae042f080a450c10c47f800"/>
            <w:lock w:val="sdtLocked"/>
            <w:richText/>
          </w:sdtPr>
          <w:sdtContent>
            <w:p>
              <w:pPr>
                <w:keepNext/>
                <w:keepLines/>
                <w:spacing w:line="254" w:lineRule="auto"/>
                <w:jc w:val="center"/>
                <w:outlineLvl w:val="1"/>
                <w:rPr>
                  <w:rFonts w:eastAsia="SimSun"/>
                  <w:b/>
                  <w:caps/>
                  <w:szCs w:val="24"/>
                  <w:lang w:eastAsia="lt-LT"/>
                </w:rPr>
              </w:pPr>
              <w:sdt>
                <w:sdtPr>
                  <w:alias w:val="Numeris"/>
                  <w:tag w:val="nr_947464248ae042f080a450c10c47f800"/>
                  <w:lock w:val="sdtLocked"/>
                  <w:richText/>
                </w:sdtPr>
                <w:sdtContent>
                  <w:r>
                    <w:rPr>
                      <w:rFonts w:eastAsia="SimSun"/>
                      <w:b/>
                      <w:caps/>
                      <w:szCs w:val="24"/>
                      <w:lang w:eastAsia="lt-LT"/>
                    </w:rPr>
                    <w:t>XXVI</w:t>
                  </w:r>
                </w:sdtContent>
              </w:sdt>
              <w:r>
                <w:rPr>
                  <w:rFonts w:eastAsia="SimSun"/>
                  <w:b/>
                  <w:caps/>
                  <w:szCs w:val="24"/>
                  <w:lang w:eastAsia="lt-LT"/>
                </w:rPr>
                <w:t xml:space="preserve"> skyrius</w:t>
              </w:r>
            </w:p>
            <w:sdt>
              <w:sdtPr>
                <w:alias w:val="Pavadinimas"/>
                <w:tag w:val="title_947464248ae042f080a450c10c47f800"/>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Įsteigtos mokslo pareigūnų ir nacionalinių kontaktinių asmenų pareigybės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Vienetai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Produkto rodiklis (specialusis)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P-12-001-01-02-01-16</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LT-C[C5]-R[E-1-3-.E-1-3-]-T[137]</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iCs/>
                        <w:szCs w:val="24"/>
                        <w:lang w:eastAsia="lt-LT"/>
                      </w:rPr>
                    </w:pPr>
                    <w:r>
                      <w:rPr>
                        <w:iCs/>
                        <w:szCs w:val="24"/>
                        <w:lang w:eastAsia="lt-LT"/>
                      </w:rPr>
                      <w:t>Skaičiuojamos įsteigtos ir išlaikytos pareigybės pagal pažangos priemonės veiklas:</w:t>
                    </w:r>
                  </w:p>
                  <w:p>
                    <w:pPr>
                      <w:tabs>
                        <w:tab w:val="left" w:pos="253"/>
                      </w:tabs>
                      <w:spacing w:line="256" w:lineRule="auto"/>
                      <w:jc w:val="both"/>
                      <w:rPr>
                        <w:iCs/>
                        <w:szCs w:val="24"/>
                        <w:lang w:eastAsia="lt-LT"/>
                      </w:rPr>
                    </w:pPr>
                    <w:r>
                      <w:rPr>
                        <w:iCs/>
                        <w:szCs w:val="24"/>
                        <w:lang w:eastAsia="lt-LT"/>
                      </w:rPr>
                      <w:t>1.</w:t>
                      <w:tab/>
                      <w:t xml:space="preserve"> „Mokslo ir inovacijų pareigūnų tinklo Vyriausybės institucijose sukūrimas ir įveiklinimas“.</w:t>
                    </w:r>
                  </w:p>
                  <w:p>
                    <w:pPr>
                      <w:tabs>
                        <w:tab w:val="left" w:pos="253"/>
                      </w:tabs>
                      <w:spacing w:line="256" w:lineRule="auto"/>
                      <w:jc w:val="both"/>
                      <w:rPr>
                        <w:iCs/>
                        <w:szCs w:val="24"/>
                        <w:lang w:eastAsia="lt-LT"/>
                      </w:rPr>
                    </w:pPr>
                    <w:r>
                      <w:rPr>
                        <w:iCs/>
                        <w:szCs w:val="24"/>
                        <w:lang w:eastAsia="lt-LT"/>
                      </w:rPr>
                      <w:t>2.</w:t>
                      <w:tab/>
                      <w:t>„EH programos nacionalinių kontaktinių asmenų tinklo plėtra ir veiklos stiprinimas“.</w:t>
                    </w:r>
                  </w:p>
                  <w:p>
                    <w:pPr>
                      <w:spacing w:line="256" w:lineRule="auto"/>
                      <w:jc w:val="both"/>
                      <w:rPr>
                        <w:iCs/>
                        <w:szCs w:val="24"/>
                        <w:lang w:eastAsia="lt-LT"/>
                      </w:rPr>
                    </w:pPr>
                  </w:p>
                  <w:p>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pPr>
                      <w:spacing w:line="256" w:lineRule="auto"/>
                      <w:jc w:val="both"/>
                      <w:rPr>
                        <w:iCs/>
                        <w:szCs w:val="24"/>
                        <w:lang w:eastAsia="lt-LT"/>
                      </w:rPr>
                    </w:pPr>
                  </w:p>
                  <w:p>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pPr>
                      <w:tabs>
                        <w:tab w:val="left" w:pos="253"/>
                      </w:tabs>
                      <w:spacing w:line="256" w:lineRule="auto"/>
                      <w:jc w:val="both"/>
                      <w:rPr>
                        <w:rFonts w:eastAsia="Calibri"/>
                        <w:bCs/>
                        <w:iCs/>
                        <w:szCs w:val="24"/>
                        <w:lang w:eastAsia="lt-LT"/>
                      </w:rPr>
                    </w:pPr>
                    <w:r>
                      <w:rPr>
                        <w:rFonts w:eastAsia="Calibri"/>
                        <w:bCs/>
                        <w:iCs/>
                        <w:szCs w:val="24"/>
                        <w:lang w:eastAsia="lt-LT"/>
                      </w:rPr>
                      <w:t>1.</w:t>
                      <w:tab/>
                      <w:t xml:space="preserve"> „Mokslo ir inovacijų pareigūnų tinklo Vyriausybės institucijose sukūrimas ir įveiklinimas“.</w:t>
                    </w:r>
                  </w:p>
                  <w:p>
                    <w:pPr>
                      <w:spacing w:line="256" w:lineRule="auto"/>
                      <w:jc w:val="both"/>
                      <w:rPr>
                        <w:rFonts w:eastAsia="Calibri"/>
                        <w:bCs/>
                        <w:iCs/>
                        <w:szCs w:val="24"/>
                        <w:lang w:eastAsia="lt-LT"/>
                      </w:rPr>
                    </w:pPr>
                    <w:r>
                      <w:rPr>
                        <w:rFonts w:eastAsia="Calibri"/>
                        <w:bCs/>
                        <w:iCs/>
                        <w:szCs w:val="24"/>
                        <w:lang w:eastAsia="lt-LT"/>
                      </w:rPr>
                      <w:t>2. „EH programos nacionalinių kontaktinių asmenų tinklo plėtra ir veiklos stiprinimas“.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lang w:eastAsia="lt-LT"/>
                      </w:rPr>
                    </w:pPr>
                    <w:r>
                      <w:rPr>
                        <w:bCs/>
                        <w:iCs/>
                        <w:szCs w:val="24"/>
                        <w:lang w:eastAsia="lt-LT"/>
                      </w:rPr>
                      <w:t>Kitas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Cs/>
                        <w:szCs w:val="24"/>
                      </w:rPr>
                    </w:pPr>
                    <w:r>
                      <w:rPr>
                        <w:bCs/>
                        <w:i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iCs/>
                        <w:szCs w:val="24"/>
                        <w:lang w:eastAsia="lt-LT"/>
                      </w:rPr>
                    </w:pPr>
                    <w:r>
                      <w:rPr>
                        <w:rFonts w:eastAsia="Calibri"/>
                        <w:bCs/>
                        <w:iCs/>
                        <w:szCs w:val="24"/>
                        <w:lang w:eastAsia="lt-LT"/>
                      </w:rPr>
                      <w:t>Studijų, mokslo ir technologijų departamento</w:t>
                    </w:r>
                  </w:p>
                  <w:p>
                    <w:pPr>
                      <w:spacing w:line="256" w:lineRule="auto"/>
                      <w:rPr>
                        <w:rFonts w:eastAsia="Calibri"/>
                        <w:bCs/>
                        <w:iCs/>
                        <w:szCs w:val="24"/>
                        <w:lang w:eastAsia="lt-LT"/>
                      </w:rPr>
                    </w:pPr>
                    <w:r>
                      <w:rPr>
                        <w:rFonts w:eastAsia="Calibri"/>
                        <w:bCs/>
                        <w:iCs/>
                        <w:szCs w:val="24"/>
                        <w:lang w:eastAsia="lt-LT"/>
                      </w:rPr>
                      <w:t>Mokslo skyrius,</w:t>
                    </w:r>
                  </w:p>
                  <w:p>
                    <w:pPr>
                      <w:spacing w:line="256" w:lineRule="auto"/>
                      <w:rPr>
                        <w:rFonts w:eastAsia="Calibri"/>
                        <w:bCs/>
                        <w:i/>
                        <w:iCs/>
                        <w:szCs w:val="24"/>
                        <w:lang w:eastAsia="lt-LT"/>
                      </w:rPr>
                    </w:pPr>
                    <w:r>
                      <w:rPr>
                        <w:rFonts w:eastAsia="Calibri"/>
                        <w:bCs/>
                        <w:iCs/>
                        <w:szCs w:val="24"/>
                        <w:lang w:eastAsia="lt-LT"/>
                      </w:rPr>
                      <w:t>tel. +370 661 09 263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t>Plano „Naujos kartos Lietuva“ rodiklio kodas P.S.1.1137.</w:t>
                    </w:r>
                  </w:p>
                </w:tc>
              </w:tr>
            </w:tbl>
            <w:p/>
          </w:sdtContent>
        </w:sdt>
        <w:sdt>
          <w:sdtPr>
            <w:alias w:val="skyrius"/>
            <w:tag w:val="part_9141d6b09714436d956cca7e84e25c26"/>
            <w:lock w:val="sdtLocked"/>
            <w:richText/>
          </w:sdtPr>
          <w:sdtContent>
            <w:p>
              <w:pPr>
                <w:keepNext/>
                <w:keepLines/>
                <w:spacing w:line="254" w:lineRule="auto"/>
                <w:jc w:val="center"/>
                <w:outlineLvl w:val="1"/>
                <w:rPr>
                  <w:rFonts w:eastAsia="SimSun"/>
                  <w:b/>
                  <w:caps/>
                  <w:szCs w:val="24"/>
                  <w:lang w:eastAsia="lt-LT"/>
                </w:rPr>
              </w:pPr>
              <w:sdt>
                <w:sdtPr>
                  <w:alias w:val="Numeris"/>
                  <w:tag w:val="nr_9141d6b09714436d956cca7e84e25c26"/>
                  <w:lock w:val="sdtLocked"/>
                  <w:richText/>
                </w:sdtPr>
                <w:sdtContent>
                  <w:r>
                    <w:rPr>
                      <w:rFonts w:eastAsia="SimSun"/>
                      <w:b/>
                      <w:caps/>
                      <w:szCs w:val="24"/>
                      <w:lang w:eastAsia="lt-LT"/>
                    </w:rPr>
                    <w:t>XXVII</w:t>
                  </w:r>
                </w:sdtContent>
              </w:sdt>
              <w:r>
                <w:rPr>
                  <w:rFonts w:eastAsia="SimSun"/>
                  <w:b/>
                  <w:caps/>
                  <w:szCs w:val="24"/>
                  <w:lang w:eastAsia="lt-LT"/>
                </w:rPr>
                <w:t xml:space="preserve"> skyrius</w:t>
              </w:r>
            </w:p>
            <w:sdt>
              <w:sdtPr>
                <w:alias w:val="Pavadinimas"/>
                <w:tag w:val="title_9141d6b09714436d956cca7e84e25c26"/>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szCs w:val="24"/>
                      </w:rPr>
                    </w:pPr>
                    <w:r>
                      <w:rPr>
                        <w:szCs w:val="24"/>
                      </w:rPr>
                      <w:t>Asmenys dalyvavę EURO HPC centro veiklose</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 xml:space="preserve">Skaitinė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Produkto rodiklis (nacionalinis)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pPr>
                    <w:r>
                      <w:t>P-12-001-01-02-01-17</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7" w:lineRule="auto"/>
                      <w:jc w:val="both"/>
                    </w:pPr>
                    <w:r>
                      <w:rPr>
                        <w:i/>
                        <w:iCs/>
                        <w:szCs w:val="24"/>
                      </w:rPr>
                      <w:t>EuroHPC</w:t>
                    </w:r>
                    <w:r>
                      <w:rPr>
                        <w:szCs w:val="24"/>
                      </w:rPr>
                      <w:t xml:space="preserve"> centro paslauga – plataus spektro superkompiuterinės (HPC) paslaugos įvairioms vartotojų grupėms, įskaitant bazinių ir specializuotų (AI/HPDA/HPC) superkompiuterinių žinių, pagalbos, mokslinių / techninių konsultacijų teikimą ir kompetencijų kėlimą.</w:t>
                    </w:r>
                  </w:p>
                  <w:p>
                    <w:pPr>
                      <w:rPr>
                        <w:sz w:val="14"/>
                        <w:szCs w:val="14"/>
                      </w:rPr>
                    </w:pPr>
                  </w:p>
                  <w:p>
                    <w:pPr>
                      <w:spacing w:line="256" w:lineRule="auto"/>
                      <w:jc w:val="both"/>
                      <w:rPr>
                        <w:lang w:eastAsia="lt-LT"/>
                      </w:rPr>
                    </w:pPr>
                    <w:r>
                      <w:rPr>
                        <w:rFonts w:eastAsia="Calibri"/>
                        <w:szCs w:val="24"/>
                      </w:rPr>
                      <w:t xml:space="preserve">Neunikalūs asmenys – tai asmenys, sudalyvavę organizuojamoje veikloje. Pvz., yra mokymai (konferencija, </w:t>
                    </w:r>
                    <w:r>
                      <w:rPr>
                        <w:rFonts w:eastAsia="Calibri"/>
                        <w:i/>
                        <w:iCs/>
                        <w:szCs w:val="24"/>
                      </w:rPr>
                      <w:t>workshop</w:t>
                    </w:r>
                    <w:r>
                      <w:rPr>
                        <w:rFonts w:eastAsia="Calibri"/>
                        <w:szCs w:val="24"/>
                      </w:rPr>
                      <w:t xml:space="preserve"> ar hekatonas) ir asmuo gali dalyvauti keliuose mokymuose, ir bus pakartotinai įskaičiuotas (asmuo gali būti iš tos pačios įstaigos, kuris vykdo projektą).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7" w:lineRule="auto"/>
                      <w:jc w:val="both"/>
                    </w:pPr>
                    <w:r>
                      <w:rPr>
                        <w:szCs w:val="24"/>
                      </w:rPr>
                      <w:t>Sumuojamas bendras EURO HPC centro veiklose dalyvavusių neunikalių asmenų 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lang w:eastAsia="lt-LT"/>
                      </w:rPr>
                    </w:pPr>
                    <w:r>
                      <w:rPr>
                        <w:rFonts w:eastAsia="Calibri"/>
                        <w:lang w:eastAsia="lt-LT"/>
                      </w:rPr>
                      <w:t>Projekto vykdytojo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szCs w:val="24"/>
                      </w:rPr>
                      <w:t>Stebėsenos rodiklis laikomas pasiektu, kai atsakinga institucija (priklausomai nuo siekiamo konkretaus rezultato pobūdžio) patvirtina galutinę projekto ataskaitą, kurioje nurodomas projekto veiklų įgyvendinimo metu pasiektas rezultatas.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+370 655 03 005;</w:t>
                    </w:r>
                  </w:p>
                  <w:p>
                    <w:pPr>
                      <w:spacing w:line="256" w:lineRule="auto"/>
                      <w:jc w:val="both"/>
                      <w:rPr>
                        <w:lang w:eastAsia="en-GB"/>
                      </w:rPr>
                    </w:pPr>
                    <w:r>
                      <w:rPr>
                        <w:lang w:eastAsia="en-GB"/>
                      </w:rPr>
                      <w:t>Tarptautinių investicijų įgyvendinimo skyrius,</w:t>
                    </w:r>
                  </w:p>
                  <w:p>
                    <w:pPr>
                      <w:spacing w:line="256" w:lineRule="auto"/>
                      <w:rPr>
                        <w:rFonts w:eastAsia="Calibri"/>
                        <w:lang w:eastAsia="lt-LT"/>
                      </w:rPr>
                    </w:pPr>
                    <w:r>
                      <w:rPr>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pPr>
                <w:ind w:left="4820"/>
              </w:pPr>
            </w:p>
          </w:sdtContent>
        </w:sdt>
        <w:sdt>
          <w:sdtPr>
            <w:alias w:val="skyrius"/>
            <w:tag w:val="part_c2b9d183ecf047c28b15dc6e982af117"/>
            <w:lock w:val="sdtLocked"/>
            <w:richText/>
          </w:sdtPr>
          <w:sdtContent>
            <w:p>
              <w:pPr>
                <w:keepNext/>
                <w:keepLines/>
                <w:spacing w:line="254" w:lineRule="auto"/>
                <w:jc w:val="center"/>
                <w:outlineLvl w:val="1"/>
                <w:rPr>
                  <w:rFonts w:eastAsia="SimSun"/>
                  <w:b/>
                  <w:caps/>
                  <w:szCs w:val="24"/>
                  <w:lang w:eastAsia="lt-LT"/>
                </w:rPr>
              </w:pPr>
              <w:sdt>
                <w:sdtPr>
                  <w:alias w:val="Numeris"/>
                  <w:tag w:val="nr_c2b9d183ecf047c28b15dc6e982af117"/>
                  <w:lock w:val="sdtLocked"/>
                  <w:richText/>
                </w:sdtPr>
                <w:sdtContent>
                  <w:r>
                    <w:rPr>
                      <w:rFonts w:eastAsia="SimSun"/>
                      <w:b/>
                      <w:caps/>
                      <w:szCs w:val="24"/>
                      <w:lang w:eastAsia="lt-LT"/>
                    </w:rPr>
                    <w:t>XXVIII</w:t>
                  </w:r>
                </w:sdtContent>
              </w:sdt>
              <w:r>
                <w:rPr>
                  <w:rFonts w:eastAsia="SimSun"/>
                  <w:b/>
                  <w:caps/>
                  <w:szCs w:val="24"/>
                  <w:lang w:eastAsia="lt-LT"/>
                </w:rPr>
                <w:t xml:space="preserve"> skyrius</w:t>
              </w:r>
            </w:p>
            <w:sdt>
              <w:sdtPr>
                <w:alias w:val="Pavadinimas"/>
                <w:tag w:val="title_c2b9d183ecf047c28b15dc6e982af117"/>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Produkto rodiklis (nacionalinis)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pPr>
                    <w:r>
                      <w:t>P-12-001-01-02-01-18</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szCs w:val="24"/>
                        <w:lang w:eastAsia="lt-LT"/>
                      </w:rPr>
                    </w:pPr>
                    <w:r>
                      <w:rPr>
                        <w:szCs w:val="24"/>
                      </w:rPr>
                      <w:t>Sumuojamas bendras LINO biuro organizuotų renginių / susitikimų 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lang w:eastAsia="lt-LT"/>
                      </w:rPr>
                    </w:pPr>
                    <w:r>
                      <w:rPr>
                        <w:rFonts w:eastAsia="Calibri"/>
                        <w:lang w:eastAsia="lt-LT"/>
                      </w:rPr>
                      <w:t>Projekto vykdytojo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szCs w:val="24"/>
                      </w:rPr>
                      <w:t>Stebėsenos rodiklis laikomas pasiektu, kai atsakinga institucija (priklausomai nuo siekiamo konkretaus rezultato pobūdžio) patvirtina galutinę projekto ataskaitą, kurioje nurodomi projekto veiklų įgyvendinimo metu pasiekti rezultatai.</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en-GB"/>
                      </w:rPr>
                    </w:pPr>
                    <w:r>
                      <w:rPr>
                        <w:lang w:eastAsia="en-GB"/>
                      </w:rPr>
                      <w:t>Tarptautinių investicijų koordinavimo departamentas:</w:t>
                    </w:r>
                  </w:p>
                  <w:p>
                    <w:pPr>
                      <w:spacing w:line="256" w:lineRule="auto"/>
                      <w:jc w:val="both"/>
                      <w:rPr>
                        <w:lang w:eastAsia="en-GB"/>
                      </w:rPr>
                    </w:pPr>
                    <w:r>
                      <w:rPr>
                        <w:lang w:eastAsia="en-GB"/>
                      </w:rPr>
                      <w:t>Tarptautinių investicijų planavimo skyrius,</w:t>
                    </w:r>
                  </w:p>
                  <w:p>
                    <w:pPr>
                      <w:spacing w:line="256" w:lineRule="auto"/>
                      <w:jc w:val="both"/>
                      <w:rPr>
                        <w:lang w:eastAsia="en-GB"/>
                      </w:rPr>
                    </w:pPr>
                    <w:r>
                      <w:rPr>
                        <w:lang w:eastAsia="en-GB"/>
                      </w:rPr>
                      <w:t>tel. +370 655 03 005;</w:t>
                    </w:r>
                  </w:p>
                  <w:p>
                    <w:pPr>
                      <w:spacing w:line="256" w:lineRule="auto"/>
                      <w:jc w:val="both"/>
                      <w:rPr>
                        <w:lang w:eastAsia="en-GB"/>
                      </w:rPr>
                    </w:pPr>
                    <w:r>
                      <w:rPr>
                        <w:lang w:eastAsia="en-GB"/>
                      </w:rPr>
                      <w:t>Tarptautinių investicijų įgyvendinimo skyrius,</w:t>
                    </w:r>
                  </w:p>
                  <w:p>
                    <w:pPr>
                      <w:spacing w:line="256" w:lineRule="auto"/>
                      <w:rPr>
                        <w:rFonts w:eastAsia="Calibri"/>
                        <w:lang w:eastAsia="lt-LT"/>
                      </w:rPr>
                    </w:pPr>
                    <w:r>
                      <w:rPr>
                        <w:lang w:eastAsia="en-GB"/>
                      </w:rPr>
                      <w:t>tel. +370 674 56 096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en-GB"/>
                      </w:rPr>
                      <w:t>2021–2027 m. IP</w:t>
                    </w:r>
                    <w:r>
                      <w:rPr>
                        <w:szCs w:val="24"/>
                      </w:rPr>
                      <w:t xml:space="preserve"> rodiklio kodas P.N.2.4567.</w:t>
                    </w:r>
                  </w:p>
                </w:tc>
              </w:tr>
            </w:tbl>
            <w:p/>
          </w:sdtContent>
        </w:sdt>
        <w:sdt>
          <w:sdtPr>
            <w:alias w:val="skyrius"/>
            <w:tag w:val="part_3f9382ae8a1444a8b088a11b96e27e91"/>
            <w:lock w:val="sdtLocked"/>
            <w:richText/>
          </w:sdtPr>
          <w:sdtContent>
            <w:p>
              <w:pPr>
                <w:keepNext/>
                <w:keepLines/>
                <w:spacing w:line="254" w:lineRule="auto"/>
                <w:jc w:val="center"/>
                <w:outlineLvl w:val="1"/>
                <w:rPr>
                  <w:rFonts w:eastAsia="SimSun"/>
                  <w:b/>
                  <w:bCs/>
                  <w:caps/>
                  <w:lang w:eastAsia="lt-LT"/>
                </w:rPr>
              </w:pPr>
              <w:sdt>
                <w:sdtPr>
                  <w:alias w:val="Numeris"/>
                  <w:tag w:val="nr_3f9382ae8a1444a8b088a11b96e27e91"/>
                  <w:lock w:val="sdtLocked"/>
                  <w:richText/>
                </w:sdtPr>
                <w:sdtContent>
                  <w:r>
                    <w:rPr>
                      <w:rFonts w:eastAsia="SimSun"/>
                      <w:b/>
                      <w:bCs/>
                      <w:caps/>
                      <w:lang w:eastAsia="lt-LT"/>
                    </w:rPr>
                    <w:t>XXIX</w:t>
                  </w:r>
                </w:sdtContent>
              </w:sdt>
              <w:r>
                <w:rPr>
                  <w:rFonts w:eastAsia="SimSun"/>
                  <w:b/>
                  <w:bCs/>
                  <w:caps/>
                  <w:lang w:eastAsia="lt-LT"/>
                </w:rPr>
                <w:t xml:space="preserve"> SKYRIUS</w:t>
              </w:r>
            </w:p>
            <w:sdt>
              <w:sdtPr>
                <w:alias w:val="Pavadinimas"/>
                <w:tag w:val="title_3f9382ae8a1444a8b088a11b96e27e91"/>
                <w:lock w:val="sdtLocked"/>
                <w:richText/>
              </w:sdtPr>
              <w:sdtContent>
                <w:p>
                  <w:pPr>
                    <w:keepNext/>
                    <w:keepLines/>
                    <w:spacing w:line="254" w:lineRule="auto"/>
                    <w:jc w:val="center"/>
                    <w:outlineLvl w:val="1"/>
                    <w:rPr>
                      <w:rFonts w:eastAsia="SimSun"/>
                      <w:b/>
                      <w:bCs/>
                      <w:caps/>
                      <w:lang w:eastAsia="lt-LT"/>
                    </w:rPr>
                  </w:pPr>
                  <w:r>
                    <w:rPr>
                      <w:rFonts w:eastAsia="SimSun"/>
                      <w:b/>
                      <w:bCs/>
                      <w:caps/>
                      <w:lang w:eastAsia="lt-LT"/>
                    </w:rPr>
                    <w:t>Stebėsenos rodiklio</w:t>
                  </w:r>
                </w:p>
                <w:p>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jc w:val="center"/>
                      <w:rPr>
                        <w:b/>
                        <w:bCs/>
                        <w:strike/>
                        <w:lang w:eastAsia="lt-LT"/>
                      </w:rPr>
                    </w:pPr>
                    <w:r>
                      <w:rPr>
                        <w:b/>
                        <w:bCs/>
                        <w:lang w:eastAsia="lt-LT"/>
                      </w:rPr>
                      <w:t>Kodai, pavadinimai ir aprašymas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rFonts w:eastAsia="Calibri"/>
                        <w:szCs w:val="24"/>
                      </w:rPr>
                    </w:pPr>
                    <w:r>
                      <w:rPr>
                        <w:rFonts w:eastAsia="Calibri"/>
                        <w:szCs w:val="24"/>
                      </w:rPr>
                      <w:t>Sukurti tarptautiniai kompetencijų centrai</w:t>
                    </w:r>
                  </w:p>
                </w:tc>
              </w:tr>
              <w:tr>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Skaičius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Didėjimas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Skaitinė</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lang w:eastAsia="lt-LT"/>
                      </w:rPr>
                    </w:pPr>
                    <w:r>
                      <w:rPr>
                        <w:lang w:eastAsia="lt-LT"/>
                      </w:rPr>
                      <w:t>Produkto rodiklis (nacionalinis)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pPr>
                    <w:r>
                      <w:t>P-12-001-01-02-01-19</w:t>
                    </w:r>
                  </w:p>
                </w:tc>
              </w:tr>
              <w:tr>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lang w:eastAsia="lt-LT"/>
                      </w:rPr>
                    </w:pPr>
                    <w:r>
                      <w:rPr>
                        <w:lang w:eastAsia="lt-LT"/>
                      </w:rPr>
                      <w:t>-</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pPr>
                    <w:r>
                      <w:rPr>
                        <w:szCs w:val="24"/>
                      </w:rPr>
                      <w:t>Tarptautinis kompetencijos centras</w:t>
                    </w:r>
                    <w:r>
                      <w:rPr>
                        <w:b/>
                        <w:bCs/>
                        <w:szCs w:val="24"/>
                      </w:rPr>
                      <w:t xml:space="preserve"> </w:t>
                    </w:r>
                    <w:r>
                      <w:rPr>
                        <w:szCs w:val="24"/>
                      </w:rPr>
                      <w:t xml:space="preserve">– </w:t>
                    </w:r>
                    <w:r>
                      <w:t xml:space="preserve">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komercinamas žinias siekiantis mokslo ir studijų institucijos arba universiteto ligoninės padalinys, turintis tarptautinį partnerį ir su juo pasirašytą susitarimą dėl bendros MTEP veiklos vykdymo ir (ar) žinių komercinimo kompetencijos centro tematika</w:t>
                    </w:r>
                    <w:r>
                      <w:rPr>
                        <w:szCs w:val="24"/>
                      </w:rPr>
                      <w:t>.</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spacing w:line="256" w:lineRule="auto"/>
                      <w:jc w:val="both"/>
                      <w:rPr>
                        <w:rFonts w:eastAsia="Calibri"/>
                        <w:lang w:eastAsia="lt-LT"/>
                      </w:rPr>
                    </w:pPr>
                    <w:r>
                      <w:rPr>
                        <w:rFonts w:eastAsia="Calibri"/>
                        <w:lang w:eastAsia="lt-LT"/>
                      </w:rPr>
                      <w:t>Automatiškai apskaičiuojamasis.</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7" w:lineRule="auto"/>
                      <w:jc w:val="both"/>
                      <w:rPr>
                        <w:szCs w:val="24"/>
                      </w:rPr>
                    </w:pPr>
                    <w:r>
                      <w:rPr>
                        <w:szCs w:val="24"/>
                      </w:rPr>
                      <w:t>Sumuojami sukurti tarptautiniai kompetencijų centrai.</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rPr>
                        <w:rFonts w:eastAsia="Calibri"/>
                        <w:lang w:eastAsia="lt-LT"/>
                      </w:rPr>
                      <w:t>Švietimo, mokslo ir sporto ministro įsakymai, kuriais tvirtinami tarptautiniai kompetencijų centrai</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Projekto veiklų įgyvendinimo metu</w:t>
                    </w:r>
                  </w:p>
                </w:tc>
              </w:tr>
              <w:tr>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Švietimo, mokslo ir sporto ministerija</w:t>
                    </w:r>
                  </w:p>
                </w:tc>
              </w:tr>
              <w:tr>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lang w:eastAsia="en-GB"/>
                      </w:rPr>
                    </w:pPr>
                    <w:r>
                      <w:rPr>
                        <w:lang w:eastAsia="en-GB"/>
                      </w:rPr>
                      <w:t>Tarptautinių investicijų koordinavimo departamentas:</w:t>
                    </w:r>
                  </w:p>
                  <w:p>
                    <w:pPr>
                      <w:jc w:val="both"/>
                      <w:rPr>
                        <w:lang w:eastAsia="en-GB"/>
                      </w:rPr>
                    </w:pPr>
                    <w:r>
                      <w:rPr>
                        <w:lang w:eastAsia="en-GB"/>
                      </w:rPr>
                      <w:t>Tarptautinių investicijų planavimo skyrius,</w:t>
                    </w:r>
                  </w:p>
                  <w:p>
                    <w:pPr>
                      <w:jc w:val="both"/>
                      <w:rPr>
                        <w:lang w:eastAsia="en-GB"/>
                      </w:rPr>
                    </w:pPr>
                    <w:r>
                      <w:rPr>
                        <w:lang w:eastAsia="en-GB"/>
                      </w:rPr>
                      <w:t>tel. +370 655 03 005;</w:t>
                    </w:r>
                  </w:p>
                  <w:p>
                    <w:pPr>
                      <w:jc w:val="both"/>
                      <w:rPr>
                        <w:lang w:eastAsia="en-GB"/>
                      </w:rPr>
                    </w:pPr>
                    <w:r>
                      <w:rPr>
                        <w:lang w:eastAsia="en-GB"/>
                      </w:rPr>
                      <w:t>Tarptautinių investicijų įgyvendinimo skyrius,</w:t>
                    </w:r>
                  </w:p>
                  <w:p>
                    <w:pPr>
                      <w:spacing w:line="256" w:lineRule="auto"/>
                      <w:rPr>
                        <w:rFonts w:eastAsia="Calibri"/>
                        <w:lang w:eastAsia="lt-LT"/>
                      </w:rPr>
                    </w:pPr>
                    <w:r>
                      <w:rPr>
                        <w:lang w:eastAsia="en-GB"/>
                      </w:rPr>
                      <w:t>tel. +370 674 56 096</w:t>
                    </w: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pPr>
                    <w:r>
                      <w:rPr>
                        <w:lang w:eastAsia="en-GB"/>
                      </w:rPr>
                      <w:t xml:space="preserve">2021–2027 m. IP </w:t>
                    </w:r>
                    <w:r>
                      <w:rPr>
                        <w:szCs w:val="24"/>
                      </w:rPr>
                      <w:t>rodiklio kodas P.N.2.4569.</w:t>
                    </w:r>
                  </w:p>
                </w:tc>
              </w:tr>
            </w:tbl>
            <w:p/>
          </w:sdtContent>
        </w:sdt>
        <w:sdt>
          <w:sdtPr>
            <w:alias w:val="pabaiga"/>
            <w:tag w:val="part_4c817ea408e34f919bb886440f648ad5"/>
            <w:lock w:val="sdtLocked"/>
            <w:richText/>
          </w:sdtPr>
          <w:sdtContent>
            <w:p>
              <w:pPr>
                <w:spacing w:line="276" w:lineRule="auto"/>
                <w:jc w:val="center"/>
                <w:rPr>
                  <w:rFonts w:eastAsia="Calibri"/>
                  <w:szCs w:val="24"/>
                </w:rPr>
              </w:pPr>
              <w:r>
                <w:rPr>
                  <w:rFonts w:eastAsia="Calibri"/>
                  <w:szCs w:val="24"/>
                </w:rPr>
                <w:t>________________</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51</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A8AFC4E8-4A40-456F-8495-20C611B203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C659E7-4A2D-45A7-B1AA-67DDFE9657CF}">
  <ds:schemaRefs>
    <ds:schemaRef ds:uri="http://schemas.openxmlformats.org/officeDocument/2006/bibliography"/>
  </ds:schemaRefs>
</ds:datastoreItem>
</file>

<file path=customXml/itemProps5.xml><?xml version="1.0" encoding="utf-8"?>
<ds:datastoreItem xmlns:ds="http://schemas.openxmlformats.org/officeDocument/2006/customXml" ds:itemID="{E739C045-A32E-4FEA-88F7-72BC0AADF17D}">
  <ds:schemaRefs>
    <ds:schemaRef ds:uri="http://schemas.openxmlformats.org/officeDocument/2006/bibliography"/>
  </ds:schemaRefs>
</ds:datastoreItem>
</file>

<file path=customXml/itemProps6.xml><?xml version="1.0" encoding="utf-8"?>
<ds:datastoreItem xmlns:ds="http://schemas.openxmlformats.org/officeDocument/2006/customXml" ds:itemID="{37183B59-D72E-469A-836E-9093C85346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11964</Words>
  <Characters>89135</Characters>
  <Application>Microsoft Office Word</Application>
  <DocSecurity>4</DocSecurity>
  <Lines>3713</Lines>
  <Paragraphs>2197</Paragraphs>
  <ScaleCrop>false</ScaleCrop>
  <HeadingPairs>
    <vt:vector size="6" baseType="variant">
      <vt:variant>
        <vt:lpstr>Pavadinimas</vt:lpstr>
      </vt:variant>
      <vt:variant>
        <vt:i4>1</vt:i4>
      </vt:variant>
      <vt:variant>
        <vt:lpstr>Antraštės</vt:lpstr>
      </vt:variant>
      <vt:variant>
        <vt:i4>100</vt:i4>
      </vt:variant>
      <vt:variant>
        <vt:lpstr>Title</vt:lpstr>
      </vt:variant>
      <vt:variant>
        <vt:i4>1</vt:i4>
      </vt:variant>
    </vt:vector>
  </HeadingPairs>
  <TitlesOfParts>
    <vt:vector size="102" baseType="lpstr">
      <vt:lpstr>f2e8793d-b153-40ec-8b5f-749266fdb316</vt:lpstr>
      <vt:lpstr>    2022–2030 m. plėtros programos valdytojos Lietuvos Respublikos švietimo, mokslo </vt:lpstr>
      <vt:lpstr>    </vt:lpstr>
      <vt:lpstr>    I skyrius</vt:lpstr>
      <vt:lpstr>    Stebėsenos rodiklio</vt:lpstr>
      <vt:lpstr>    „PATEIKTOS PATENTŲ PARAIŠKOS“</vt:lpstr>
      <vt:lpstr>    aprašymo kortelė</vt:lpstr>
      <vt:lpstr>    II skyrius</vt:lpstr>
      <vt:lpstr>    Stebėsenos rodiklio</vt:lpstr>
      <vt:lpstr>    „REMIAMŲ PROJEKTŲ LEIDINIAI“</vt:lpstr>
      <vt:lpstr>    aprašymo kortelė</vt:lpstr>
      <vt:lpstr>    III skyrius</vt:lpstr>
      <vt:lpstr>    Stebėsenos rodiklio</vt:lpstr>
      <vt:lpstr>    „MOKSLINIŲ TYRIMŲ IR EKSPERIMENTINĖS PLĖTROS VEIKLOS PRODUKTAS“</vt:lpstr>
      <vt:lpstr>    aprašymo kortelė</vt:lpstr>
      <vt:lpstr>    IV skyrius</vt:lpstr>
      <vt:lpstr>    Stebėsenos rodiklio</vt:lpstr>
      <vt:lpstr>    „PRODUKTŲ AR PROCESŲ INOVACIJAS DIEGIANČIOS LABAI MAŽOS, MAŽOS IR VIDUTINĖS ĮMON</vt:lpstr>
      <vt:lpstr>    aprašymo kortelė</vt:lpstr>
      <vt:lpstr>    V skyrius</vt:lpstr>
      <vt:lpstr>    Stebėsenos rodiklio</vt:lpstr>
      <vt:lpstr>    „INVESTICIJAS GAVUSIŲ MOKSLO IR STUDIJŲ INSTITUCIJŲ GAUTŲ MOKSLINIŲ TYRIMŲ IR EK</vt:lpstr>
      <vt:lpstr>    aprašymo kortelė</vt:lpstr>
      <vt:lpstr>    </vt:lpstr>
      <vt:lpstr>    VI skyrius</vt:lpstr>
      <vt:lpstr>    Stebėsenos rodiklio</vt:lpstr>
      <vt:lpstr>    „PARAMĄ GAVUSIOSE MOKSLINIŲ TYRIMŲ ĮSTAIGOSE DIRBANTYS MOKSLININKAI“</vt:lpstr>
      <vt:lpstr>    aprašymo kortelė</vt:lpstr>
      <vt:lpstr>    VII skyrius</vt:lpstr>
      <vt:lpstr>    Stebėsenos rodiklio</vt:lpstr>
      <vt:lpstr>    „PARAMĄ GAVUSIOS ĮMONĖS“</vt:lpstr>
      <vt:lpstr>    aprašymo kortelė</vt:lpstr>
      <vt:lpstr>    VIII skyrius</vt:lpstr>
      <vt:lpstr>    Stebėsenos rodiklio</vt:lpstr>
      <vt:lpstr>    „PARAMĄ GAVUSIOS ĮMONĖS, IŠ JŲ MAŽOS IR LABAI MAŽOS ĮMONĖS“</vt:lpstr>
      <vt:lpstr>    aprašymo kortelė</vt:lpstr>
      <vt:lpstr>    IX skyrius</vt:lpstr>
      <vt:lpstr>    Stebėsenos rodiklio</vt:lpstr>
      <vt:lpstr>    „PARAMĄ GAVUSIOS ĮMONĖS, IŠ JŲ VIDUTINĖS ĮMONĖS“</vt:lpstr>
      <vt:lpstr>    aprašymo kortelė</vt:lpstr>
      <vt:lpstr>    X skyrius</vt:lpstr>
      <vt:lpstr>    Stebėsenos rodiklio</vt:lpstr>
      <vt:lpstr>    „PARAMĄ GAVUSIOS ĮMONĖS, IŠ JŲ DIDELĖS ĮMONĖS</vt:lpstr>
      <vt:lpstr>    aprašymo kortelė</vt:lpstr>
      <vt:lpstr>    </vt:lpstr>
      <vt:lpstr>    XI skyrius</vt:lpstr>
      <vt:lpstr>    Stebėsenos rodiklio</vt:lpstr>
      <vt:lpstr>    „PARAMĄ GAVUSIOSE MOKSLINIŲ TYRIMŲ ĮSTAIGOSE DIRBANTYS MOKSLININKAI“</vt:lpstr>
      <vt:lpstr>    aprašymo kortelė</vt:lpstr>
      <vt:lpstr>    XII skyrius</vt:lpstr>
      <vt:lpstr>    Stebėsenos rodiklio</vt:lpstr>
      <vt:lpstr>    „BENDRUOSE MOKSLINIŲ TYRIMŲ PROJEKTUOSE DALYVAUJANČIOS MOKSLINIŲ TYRIMŲ ORGANIZA</vt:lpstr>
      <vt:lpstr>    aprašymo kortelė</vt:lpstr>
      <vt:lpstr>    XIII skyrius</vt:lpstr>
      <vt:lpstr>    Stebėsenos rodiklio</vt:lpstr>
      <vt:lpstr>    „NOMINALIOJI MOKSLINIŲ TYRIMŲ IR INOVACIJŲ ĮRANGOS VERTĖ“</vt:lpstr>
      <vt:lpstr>    aprašymo kortelė</vt:lpstr>
      <vt:lpstr>    XIV skyrius</vt:lpstr>
      <vt:lpstr>    Stebėsenos rodiklio</vt:lpstr>
      <vt:lpstr>    „SU MOKSLO IR STUDIJŲ INSTITUCIJOMIS BENDRADARBIAUJANČIOS ĮMONĖS“</vt:lpstr>
      <vt:lpstr>    aprašymo kortelė</vt:lpstr>
      <vt:lpstr>    XV skyrius</vt:lpstr>
      <vt:lpstr>    Stebėsenos rodiklio</vt:lpstr>
      <vt:lpstr>    „INVESTICIJAS GAVUSIŲ MOKSLO IR STUDIJŲ INSTITUCIJŲ SKAIČIUS“</vt:lpstr>
      <vt:lpstr>    aprašymo kortelė</vt:lpstr>
      <vt:lpstr>    </vt:lpstr>
      <vt:lpstr>    XVI skyrius</vt:lpstr>
      <vt:lpstr>    Stebėsenos rodiklio</vt:lpstr>
      <vt:lpstr>    „Paramą gavusios įmonės, iš kurių labai mažos, mažos, vidutinės ir didelės ĮMONĖ</vt:lpstr>
      <vt:lpstr>    aprašymo kortelė</vt:lpstr>
      <vt:lpstr>    XVII skyrius</vt:lpstr>
      <vt:lpstr>    Stebėsenos rodiklio</vt:lpstr>
      <vt:lpstr>    „PARAMĄ GAVUSIOS ĮMONĖS, IŠ KURIŲ LABAI MAŽOS ĮMONĖS“</vt:lpstr>
      <vt:lpstr>    aprašymo kortelė</vt:lpstr>
      <vt:lpstr>    XVIII skyrius</vt:lpstr>
      <vt:lpstr>    Stebėsenos rodiklio</vt:lpstr>
      <vt:lpstr>    „PARAMĄ GAVUSIOS ĮMONĖS, IŠ KURIŲ MAŽOS ĮMONĖS“</vt:lpstr>
      <vt:lpstr>    aprašymo kortelė</vt:lpstr>
      <vt:lpstr>    XIX skyrius</vt:lpstr>
      <vt:lpstr>    Stebėsenos rodiklio</vt:lpstr>
      <vt:lpstr>    „PARAMĄ GAVUSIOS ĮMONĖS, IŠ KURIŲ VIDUTINĖS ĮMONĖS“</vt:lpstr>
      <vt:lpstr>    aprašymo kortelė</vt:lpstr>
      <vt:lpstr>    XX skyrius</vt:lpstr>
      <vt:lpstr>    Stebėsenos rodiklio</vt:lpstr>
      <vt:lpstr>    „PARAMĄ GAVUSIOS ĮMONĖS, IŠ KURIŲ DIDELĖS ĮMONĖS“</vt:lpstr>
      <vt:lpstr>    aprašymo kortelė</vt:lpstr>
      <vt:lpstr>    XXI skyrius</vt:lpstr>
      <vt:lpstr>    Stebėsenos rodiklio</vt:lpstr>
      <vt:lpstr>    „NEFINANSINĘ PARAMĄ GAVUSIOS ĮMONĖS“</vt:lpstr>
      <vt:lpstr>    aprašymo kortelė</vt:lpstr>
      <vt:lpstr>    XXII skyrius</vt:lpstr>
      <vt:lpstr>    Stebėsenos rodiklio</vt:lpstr>
      <vt:lpstr>    „PARAMĄ GAVUSIOS NAUJOS ĮMONĖS“</vt:lpstr>
      <vt:lpstr>    aprašymo kortelė</vt:lpstr>
      <vt:lpstr>    XXIII skyrius</vt:lpstr>
      <vt:lpstr>    Stebėsenos rodiklio</vt:lpstr>
      <vt:lpstr>    „PROGRAMOS „EUROPOS HORIZONTAS“ ĮGYVENDINIMO SPARTINIMO VEIKSMŲ PLANO RENGIMAS I</vt:lpstr>
      <vt:lpstr>    aprašymo kortelė</vt:lpstr>
      <vt:lpstr>    XXIV skyrius</vt:lpstr>
      <vt:lpstr>    Stebėsenos rodiklio</vt:lpstr>
      <vt:lpstr>    „FINANSUOTI PROJEKTAI IR KONSULTAVIMO PASLAUGOS MOKSLO IR STUDIJŲ INSTITUCIJŲ IR</vt:lpstr>
      <vt:lpstr>f2e8793d-b153-40ec-8b5f-749266fdb316</vt:lpstr>
    </vt:vector>
  </TitlesOfParts>
  <Company>HP Inc.</Company>
  <LinksUpToDate>false</LinksUpToDate>
  <CharactersWithSpaces>98902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2024-10-18T08:18:00Z</dcterms:created>
  <dc:creator>Gaidamavičienė Agnė</dc:creator>
  <lastModifiedBy>adlibuser</lastModifiedBy>
  <lastPrinted>2022-11-21T17:49:00Z</lastPrinted>
  <dcterms:modified xsi:type="dcterms:W3CDTF">2024-10-18T08:18:00Z</dcterms:modified>
  <revision>2</revision>
  <dc:title>f2e8793d-b153-40ec-8b5f-749266fdb316</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