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E3" w:rsidRPr="00FB17E3" w:rsidRDefault="00FB17E3" w:rsidP="00FB17E3">
      <w:pPr>
        <w:spacing w:after="0" w:line="240" w:lineRule="auto"/>
        <w:jc w:val="both"/>
        <w:rPr>
          <w:rFonts w:eastAsia="Times New Roman"/>
          <w:b/>
          <w:color w:val="000000"/>
          <w:szCs w:val="24"/>
          <w:lang w:eastAsia="lt-LT"/>
        </w:rPr>
      </w:pPr>
      <w:r>
        <w:rPr>
          <w:rFonts w:eastAsia="Times New Roman"/>
          <w:b/>
          <w:color w:val="000000"/>
          <w:szCs w:val="24"/>
          <w:lang w:eastAsia="lt-LT"/>
        </w:rPr>
        <w:tab/>
      </w:r>
      <w:r>
        <w:rPr>
          <w:rFonts w:eastAsia="Times New Roman"/>
          <w:b/>
          <w:color w:val="000000"/>
          <w:szCs w:val="24"/>
          <w:lang w:eastAsia="lt-LT"/>
        </w:rPr>
        <w:tab/>
      </w:r>
      <w:r>
        <w:rPr>
          <w:rFonts w:eastAsia="Times New Roman"/>
          <w:b/>
          <w:color w:val="000000"/>
          <w:szCs w:val="24"/>
          <w:lang w:eastAsia="lt-LT"/>
        </w:rPr>
        <w:tab/>
        <w:t xml:space="preserve">             </w:t>
      </w:r>
      <w:bookmarkStart w:id="0" w:name="_GoBack"/>
      <w:bookmarkEnd w:id="0"/>
      <w:r w:rsidRPr="00B93640">
        <w:rPr>
          <w:szCs w:val="24"/>
        </w:rPr>
        <w:t xml:space="preserve">PRITARTA </w:t>
      </w:r>
    </w:p>
    <w:p w:rsidR="00FB17E3" w:rsidRPr="00B93640" w:rsidRDefault="00FB17E3" w:rsidP="00FB17E3">
      <w:pPr>
        <w:spacing w:after="0" w:line="240" w:lineRule="auto"/>
        <w:ind w:firstLine="4678"/>
        <w:rPr>
          <w:szCs w:val="24"/>
        </w:rPr>
      </w:pPr>
      <w:r w:rsidRPr="00B93640">
        <w:rPr>
          <w:szCs w:val="24"/>
        </w:rPr>
        <w:t>Kupiškio rajono savivaldybės tarybos</w:t>
      </w:r>
    </w:p>
    <w:p w:rsidR="00FB17E3" w:rsidRPr="00B93640" w:rsidRDefault="00FB17E3" w:rsidP="00FB17E3">
      <w:pPr>
        <w:spacing w:after="0" w:line="240" w:lineRule="auto"/>
        <w:ind w:firstLine="4678"/>
        <w:rPr>
          <w:szCs w:val="24"/>
        </w:rPr>
      </w:pPr>
      <w:r w:rsidRPr="00B93640">
        <w:rPr>
          <w:szCs w:val="24"/>
        </w:rPr>
        <w:t xml:space="preserve">2019 m. </w:t>
      </w:r>
      <w:r w:rsidR="004F352B">
        <w:rPr>
          <w:szCs w:val="24"/>
        </w:rPr>
        <w:t xml:space="preserve">gegužės </w:t>
      </w:r>
      <w:r w:rsidR="000A25EA">
        <w:rPr>
          <w:szCs w:val="24"/>
        </w:rPr>
        <w:t>14</w:t>
      </w:r>
      <w:r w:rsidRPr="00B93640">
        <w:rPr>
          <w:szCs w:val="24"/>
        </w:rPr>
        <w:t xml:space="preserve"> d. sprendimu Nr. TS-</w:t>
      </w:r>
      <w:r w:rsidR="000A25EA">
        <w:rPr>
          <w:szCs w:val="24"/>
        </w:rPr>
        <w:t>93</w:t>
      </w:r>
    </w:p>
    <w:p w:rsidR="00FB17E3" w:rsidRPr="00B93640" w:rsidRDefault="00FB17E3" w:rsidP="00FB17E3">
      <w:pPr>
        <w:spacing w:after="0" w:line="360" w:lineRule="auto"/>
        <w:jc w:val="center"/>
        <w:rPr>
          <w:b/>
          <w:szCs w:val="24"/>
        </w:rPr>
      </w:pPr>
    </w:p>
    <w:p w:rsidR="00FB17E3" w:rsidRPr="00220EC4" w:rsidRDefault="00FB17E3" w:rsidP="00FB17E3">
      <w:pPr>
        <w:spacing w:after="0" w:line="240" w:lineRule="auto"/>
        <w:jc w:val="center"/>
        <w:rPr>
          <w:b/>
          <w:szCs w:val="24"/>
        </w:rPr>
      </w:pPr>
      <w:r w:rsidRPr="00220EC4">
        <w:rPr>
          <w:b/>
          <w:szCs w:val="24"/>
        </w:rPr>
        <w:t xml:space="preserve">KUPIŠKIO RAJONO ŠV. KAZIMIERO VAIKŲ GLOBOS NAMŲ </w:t>
      </w:r>
    </w:p>
    <w:p w:rsidR="00FB17E3" w:rsidRPr="00220EC4" w:rsidRDefault="00FB17E3" w:rsidP="00FB17E3">
      <w:pPr>
        <w:spacing w:after="0" w:line="240" w:lineRule="auto"/>
        <w:jc w:val="center"/>
        <w:rPr>
          <w:b/>
          <w:szCs w:val="24"/>
        </w:rPr>
      </w:pPr>
      <w:r w:rsidRPr="00220EC4">
        <w:rPr>
          <w:b/>
          <w:szCs w:val="24"/>
        </w:rPr>
        <w:t>VADOVO 2018 M. VEIKLOS ATASKAITA</w:t>
      </w:r>
    </w:p>
    <w:p w:rsidR="00FB17E3" w:rsidRPr="00220EC4" w:rsidRDefault="00FB17E3" w:rsidP="00FB17E3">
      <w:pPr>
        <w:spacing w:after="0" w:line="360" w:lineRule="auto"/>
        <w:jc w:val="center"/>
        <w:rPr>
          <w:b/>
          <w:szCs w:val="24"/>
        </w:rPr>
      </w:pPr>
    </w:p>
    <w:p w:rsidR="00FB17E3" w:rsidRPr="00B93640" w:rsidRDefault="00FB17E3" w:rsidP="00FB17E3">
      <w:pPr>
        <w:spacing w:after="0" w:line="240" w:lineRule="auto"/>
        <w:jc w:val="center"/>
        <w:rPr>
          <w:b/>
          <w:szCs w:val="24"/>
        </w:rPr>
      </w:pPr>
      <w:r w:rsidRPr="00B93640">
        <w:rPr>
          <w:b/>
          <w:szCs w:val="24"/>
        </w:rPr>
        <w:t>I SKYRIUS</w:t>
      </w:r>
    </w:p>
    <w:p w:rsidR="00FB17E3" w:rsidRPr="00B93640" w:rsidRDefault="00FB17E3" w:rsidP="00FB17E3">
      <w:pPr>
        <w:spacing w:after="0" w:line="360" w:lineRule="auto"/>
        <w:jc w:val="center"/>
        <w:rPr>
          <w:b/>
          <w:szCs w:val="24"/>
        </w:rPr>
      </w:pPr>
      <w:r w:rsidRPr="00B93640">
        <w:rPr>
          <w:b/>
          <w:szCs w:val="24"/>
        </w:rPr>
        <w:t>ĮŽANGA. BENDROSIOS ŽINIOS</w:t>
      </w:r>
    </w:p>
    <w:p w:rsidR="00FB17E3" w:rsidRPr="00B93640" w:rsidRDefault="00FB17E3" w:rsidP="00FB17E3">
      <w:pPr>
        <w:spacing w:after="0" w:line="360" w:lineRule="auto"/>
        <w:jc w:val="both"/>
        <w:rPr>
          <w:szCs w:val="24"/>
        </w:rPr>
      </w:pPr>
      <w:r w:rsidRPr="00B93640">
        <w:rPr>
          <w:szCs w:val="24"/>
        </w:rPr>
        <w:tab/>
        <w:t xml:space="preserve">Kupiškio rajono </w:t>
      </w:r>
      <w:proofErr w:type="spellStart"/>
      <w:r w:rsidRPr="00B93640">
        <w:rPr>
          <w:szCs w:val="24"/>
        </w:rPr>
        <w:t>šv</w:t>
      </w:r>
      <w:proofErr w:type="spellEnd"/>
      <w:r w:rsidRPr="00B93640">
        <w:rPr>
          <w:szCs w:val="24"/>
        </w:rPr>
        <w:t>. Kazimiero vaikų globos namų (toliau – Vaikų globos namai) veiklos sritis</w:t>
      </w:r>
      <w:r w:rsidRPr="00B93640">
        <w:rPr>
          <w:b/>
          <w:szCs w:val="24"/>
        </w:rPr>
        <w:t xml:space="preserve"> – </w:t>
      </w:r>
      <w:r w:rsidRPr="00B93640">
        <w:rPr>
          <w:szCs w:val="24"/>
        </w:rPr>
        <w:t>stacionari trumpalaikė ir ilgalaikė vaikų globa (rūpyba).</w:t>
      </w:r>
    </w:p>
    <w:p w:rsidR="00FB17E3" w:rsidRPr="00B93640" w:rsidRDefault="00FB17E3" w:rsidP="00FB17E3">
      <w:pPr>
        <w:spacing w:after="0" w:line="360" w:lineRule="auto"/>
        <w:jc w:val="both"/>
        <w:rPr>
          <w:b/>
          <w:szCs w:val="24"/>
        </w:rPr>
      </w:pPr>
      <w:r w:rsidRPr="00B93640">
        <w:rPr>
          <w:szCs w:val="24"/>
        </w:rPr>
        <w:tab/>
        <w:t>Licencijos</w:t>
      </w:r>
      <w:r w:rsidRPr="00B93640">
        <w:rPr>
          <w:b/>
          <w:szCs w:val="24"/>
        </w:rPr>
        <w:t xml:space="preserve">. </w:t>
      </w:r>
      <w:r w:rsidRPr="00B93640">
        <w:rPr>
          <w:szCs w:val="24"/>
        </w:rPr>
        <w:t>2014 m. lapkričio 24 d. Vaikų globos namams Socialinių paslaugų priežiūros departamento prie Socialinės apsaugos ir darbo ministerijos suteikta licencija Nr. L000000412 socialinei globai teikti. Licencijos rūšis: Institucinė socialinė globa (ilgalaikė, trumpalaikė) likusiems be tėvų globos vaikams, socialinės rizikos vaikams.</w:t>
      </w:r>
      <w:r w:rsidRPr="00B93640">
        <w:rPr>
          <w:b/>
          <w:szCs w:val="24"/>
        </w:rPr>
        <w:t xml:space="preserve"> </w:t>
      </w:r>
    </w:p>
    <w:p w:rsidR="00FB17E3" w:rsidRPr="00B93640" w:rsidRDefault="00FB17E3" w:rsidP="00FB17E3">
      <w:pPr>
        <w:spacing w:after="0" w:line="360" w:lineRule="auto"/>
        <w:jc w:val="both"/>
        <w:rPr>
          <w:szCs w:val="24"/>
        </w:rPr>
      </w:pPr>
      <w:r w:rsidRPr="00B93640">
        <w:rPr>
          <w:b/>
          <w:szCs w:val="24"/>
        </w:rPr>
        <w:tab/>
      </w:r>
      <w:r w:rsidRPr="00B93640">
        <w:rPr>
          <w:szCs w:val="24"/>
        </w:rPr>
        <w:t xml:space="preserve">2018 m. gegužės 21 d. Vaikų globos namams Socialinių paslaugų priežiūros departamento prie Socialinės apsaugos ir darbo ministerijos suteikta licencija Nr. L000000771 socialinei globai teikti. Licencijos rūšis: Institucinė socialinė globa (ilgalaikė, trumpalaikė) vaikams su negalia, socialinės rizikos vaikams, likusiems be tėvų globos vaikams socialinės globos institucijoje, išskyrus šeimyną. Veiklos vietos adresas: Melioratorių g. 8A-3, </w:t>
      </w:r>
      <w:proofErr w:type="spellStart"/>
      <w:r w:rsidRPr="00B93640">
        <w:rPr>
          <w:szCs w:val="24"/>
        </w:rPr>
        <w:t>Noriūnai</w:t>
      </w:r>
      <w:proofErr w:type="spellEnd"/>
      <w:r w:rsidRPr="00B93640">
        <w:rPr>
          <w:szCs w:val="24"/>
        </w:rPr>
        <w:t>, Kupiškio r. Veiklos rūšis: ilgalaikė, trumpalaikė socialinė globa. Įstaigos tipas: bendruomeniniai vaikų globos namai. Tikslinė grupė: vaikas su negalia, likęs be tėvų globos vaikas/socialinės rizikos vaikas.</w:t>
      </w:r>
    </w:p>
    <w:p w:rsidR="00FB17E3" w:rsidRPr="00B93640" w:rsidRDefault="00FB17E3" w:rsidP="00FB17E3">
      <w:pPr>
        <w:spacing w:after="0" w:line="360" w:lineRule="auto"/>
        <w:jc w:val="both"/>
        <w:rPr>
          <w:szCs w:val="24"/>
        </w:rPr>
      </w:pPr>
      <w:r w:rsidRPr="00B93640">
        <w:rPr>
          <w:szCs w:val="24"/>
        </w:rPr>
        <w:tab/>
        <w:t xml:space="preserve">2018 m. lapkričio 27 d. Socialinių paslaugų priežiūros departamento prie Socialinės apsaugos ir darbo ministerijos licencija Nr. L000000771 papildyta: vietos veiklos adresas – K. </w:t>
      </w:r>
      <w:proofErr w:type="spellStart"/>
      <w:r w:rsidRPr="00B93640">
        <w:rPr>
          <w:szCs w:val="24"/>
        </w:rPr>
        <w:t>Šimonio</w:t>
      </w:r>
      <w:proofErr w:type="spellEnd"/>
      <w:r w:rsidRPr="00B93640">
        <w:rPr>
          <w:szCs w:val="24"/>
        </w:rPr>
        <w:t xml:space="preserve"> g. 6-22, Kupiškis, veiklos rūšis – ilgalaikė, trumpalaikė socialinė globa, įstaigos tipas – bendruomeniniai vaikų globos namai, tikslinė grupė – vaikas su negalia, likęs be tėvų globos vaikas.</w:t>
      </w:r>
    </w:p>
    <w:p w:rsidR="00FB17E3" w:rsidRPr="00B93640" w:rsidRDefault="00FB17E3" w:rsidP="00FB17E3">
      <w:pPr>
        <w:spacing w:after="0" w:line="360" w:lineRule="auto"/>
        <w:jc w:val="both"/>
        <w:rPr>
          <w:szCs w:val="24"/>
        </w:rPr>
      </w:pPr>
      <w:r w:rsidRPr="00B93640">
        <w:rPr>
          <w:b/>
          <w:szCs w:val="24"/>
        </w:rPr>
        <w:tab/>
      </w:r>
      <w:r w:rsidRPr="00B93640">
        <w:rPr>
          <w:szCs w:val="24"/>
        </w:rPr>
        <w:t>Vaikų globos namų vizija. Vaikų globos namai – tai atvira visuomenei globos įstaiga, kurios veikla vykdoma taikant šeimynos modelį, ugdant dorą, pasiruošusią savarankiškam gyvenimui ir integracijai į visuomenę, asmenybę.</w:t>
      </w:r>
    </w:p>
    <w:p w:rsidR="00FB17E3" w:rsidRPr="00B93640" w:rsidRDefault="00FB17E3" w:rsidP="00FB17E3">
      <w:pPr>
        <w:spacing w:after="0" w:line="360" w:lineRule="auto"/>
        <w:jc w:val="both"/>
        <w:rPr>
          <w:szCs w:val="24"/>
        </w:rPr>
      </w:pPr>
      <w:r w:rsidRPr="00B93640">
        <w:rPr>
          <w:szCs w:val="24"/>
        </w:rPr>
        <w:tab/>
        <w:t>Vaikų globos namų misija</w:t>
      </w:r>
      <w:r w:rsidRPr="00B93640">
        <w:rPr>
          <w:b/>
          <w:szCs w:val="24"/>
        </w:rPr>
        <w:t xml:space="preserve"> – </w:t>
      </w:r>
      <w:r w:rsidRPr="00B93640">
        <w:rPr>
          <w:szCs w:val="24"/>
        </w:rPr>
        <w:t>tenkinti visokeriopus našlaičių ir be tėvų globos likusių vaikų poreikius, atstovauti ir ginti jų teises bei teisėtus interesus, sudaryti sąlygas vaiko grįžimui į šeimą ir asmens socialiniam integravimuisi į visuomenę, užtikrinti saugią ir sveiką gyvenamąją aplinką, kurioje ugdytiniai realizuotų save.</w:t>
      </w:r>
    </w:p>
    <w:p w:rsidR="00FB17E3" w:rsidRPr="00B93640" w:rsidRDefault="00FB17E3" w:rsidP="00FB17E3">
      <w:pPr>
        <w:spacing w:after="0" w:line="360" w:lineRule="auto"/>
        <w:jc w:val="both"/>
        <w:rPr>
          <w:szCs w:val="24"/>
        </w:rPr>
      </w:pPr>
      <w:r w:rsidRPr="00B93640">
        <w:rPr>
          <w:szCs w:val="24"/>
        </w:rPr>
        <w:tab/>
        <w:t>Vaikų globos namų tikslas</w:t>
      </w:r>
      <w:r w:rsidRPr="00B93640">
        <w:rPr>
          <w:b/>
          <w:szCs w:val="24"/>
        </w:rPr>
        <w:t xml:space="preserve"> – </w:t>
      </w:r>
      <w:r w:rsidRPr="00B93640">
        <w:rPr>
          <w:szCs w:val="24"/>
        </w:rPr>
        <w:t xml:space="preserve">užtikrinti globojamam (rūpinamam) ar laikinai apgyvendintam vaikui globos (rūpybos), ugdymo ir socialines paslaugas, sudaryti tinkamas sąlygas </w:t>
      </w:r>
      <w:r w:rsidRPr="00B93640">
        <w:rPr>
          <w:szCs w:val="24"/>
        </w:rPr>
        <w:lastRenderedPageBreak/>
        <w:t>ir aplinką globojamiems vaikams saugiai augti, vystytis, tobulėti ir pasiruošti grįžti į šeimą ar savarankiškam gyvenimui.</w:t>
      </w:r>
    </w:p>
    <w:p w:rsidR="00FB17E3" w:rsidRPr="00B93640" w:rsidRDefault="00FB17E3" w:rsidP="00FB17E3">
      <w:pPr>
        <w:spacing w:after="0" w:line="360" w:lineRule="auto"/>
        <w:ind w:firstLine="1296"/>
        <w:jc w:val="both"/>
        <w:rPr>
          <w:szCs w:val="24"/>
        </w:rPr>
      </w:pPr>
      <w:r w:rsidRPr="00B93640">
        <w:rPr>
          <w:rFonts w:eastAsia="Times New Roman"/>
          <w:szCs w:val="24"/>
          <w:lang w:eastAsia="lt-LT"/>
        </w:rPr>
        <w:t xml:space="preserve"> </w:t>
      </w:r>
      <w:r w:rsidRPr="00B93640">
        <w:rPr>
          <w:szCs w:val="24"/>
        </w:rPr>
        <w:t xml:space="preserve">Vaikų globos namuose dirbo 35 darbuotojai. Etatų skaičius – 36,5: 1 direktoriaus etatas, 12,5 etato socialinių darbuotojų, 1,25 etato skirta vyr. socialinio darbuotojo pareigybei, 0,5 psichologo etato, 18 etatų socialinio darbuotojų padėjėjų, 1 ūkvedžio etatas, po 0,5 etato sandėlininko ir dietologo, 0,25 valytojos etato. 1 finansininko etatas be finansavimo. </w:t>
      </w:r>
    </w:p>
    <w:p w:rsidR="00FB17E3" w:rsidRPr="00B93640" w:rsidRDefault="00FB17E3" w:rsidP="00FB17E3">
      <w:pPr>
        <w:spacing w:after="0" w:line="360" w:lineRule="auto"/>
        <w:ind w:firstLine="1296"/>
        <w:jc w:val="both"/>
        <w:rPr>
          <w:rFonts w:eastAsia="Times New Roman"/>
          <w:szCs w:val="24"/>
          <w:lang w:eastAsia="lt-LT"/>
        </w:rPr>
      </w:pPr>
      <w:r w:rsidRPr="00B93640">
        <w:rPr>
          <w:rFonts w:eastAsia="Times New Roman"/>
          <w:szCs w:val="24"/>
          <w:lang w:eastAsia="lt-LT"/>
        </w:rPr>
        <w:t xml:space="preserve">8 socialinių darbuotojų išsilavinimas </w:t>
      </w:r>
      <w:proofErr w:type="spellStart"/>
      <w:r w:rsidRPr="00B93640">
        <w:rPr>
          <w:rFonts w:eastAsia="Times New Roman"/>
          <w:szCs w:val="24"/>
          <w:lang w:eastAsia="lt-LT"/>
        </w:rPr>
        <w:t>atitinko</w:t>
      </w:r>
      <w:proofErr w:type="spellEnd"/>
      <w:r w:rsidRPr="00B93640">
        <w:rPr>
          <w:rFonts w:eastAsia="Times New Roman"/>
          <w:szCs w:val="24"/>
          <w:lang w:eastAsia="lt-LT"/>
        </w:rPr>
        <w:t xml:space="preserve"> pareiginius reikalavimus: 6 socialiniai darbuotojai buvo įgiję bakalauro mokslinį laipsnį, 2 – profesinį bakalaurą. Vyriausioji socialinė darbuotoja įgijusi magistro mokslinį laipsnį. 20 Vaikų globos namuose dirbančių socialinio darbuotojo padėjėjų įgiję profesinį išsilavinimą, turi socialinio darbuotojo padėjėjo specialybę arba yra išklausę įžanginius socialinio darbuoto padėjėjo kursus. Kitas personalas – ūkvedys, </w:t>
      </w:r>
      <w:proofErr w:type="spellStart"/>
      <w:r w:rsidRPr="00B93640">
        <w:rPr>
          <w:rFonts w:eastAsia="Times New Roman"/>
          <w:szCs w:val="24"/>
          <w:lang w:eastAsia="lt-LT"/>
        </w:rPr>
        <w:t>dietistas</w:t>
      </w:r>
      <w:proofErr w:type="spellEnd"/>
      <w:r w:rsidRPr="00B93640">
        <w:rPr>
          <w:rFonts w:eastAsia="Times New Roman"/>
          <w:szCs w:val="24"/>
          <w:lang w:eastAsia="lt-LT"/>
        </w:rPr>
        <w:t>, sandėlininkas, valytojas – taip pat atitinka taikomus profesinius kvalifikacinius reikalavimus. Nuo 2018 m. spalio 10 d. Vaikų globos namuose pradėjo dirbti psichologė, turinti įgytą magistro mokslinį laipsnį.</w:t>
      </w:r>
    </w:p>
    <w:p w:rsidR="00FB17E3" w:rsidRPr="00B93640" w:rsidRDefault="00FB17E3" w:rsidP="00FB17E3">
      <w:pPr>
        <w:spacing w:after="0" w:line="360" w:lineRule="auto"/>
        <w:jc w:val="both"/>
        <w:rPr>
          <w:szCs w:val="24"/>
        </w:rPr>
      </w:pPr>
      <w:r w:rsidRPr="00B93640">
        <w:rPr>
          <w:szCs w:val="24"/>
        </w:rPr>
        <w:tab/>
        <w:t>Vaikų globos namuose trumpalaikės ir ilgalaikės socialinės globos paslaugos teikiamos vaikams nuo gimimo iki 18 metų, vyresniems kaip 18 metų asmenims, kai išlaikymas globos namuose pratęsiamas, iki jie baigs bendrojo lavinimo mokyklą ir kitais išimtinais atvejais teikiamos bendrosios socialinės paslaugos pagal Lietuvos Respublikos socialinės apsaugos ir darbo ministro 2006 m. balandžio 5 d. įsakymu Nr. A1-93 patvirtintą socialinių paslaugų katalogą.</w:t>
      </w:r>
    </w:p>
    <w:p w:rsidR="00FB17E3" w:rsidRPr="00B93640" w:rsidRDefault="00FB17E3" w:rsidP="00FB17E3">
      <w:pPr>
        <w:spacing w:after="0" w:line="360" w:lineRule="auto"/>
        <w:jc w:val="both"/>
        <w:rPr>
          <w:szCs w:val="24"/>
        </w:rPr>
      </w:pPr>
      <w:r w:rsidRPr="00B93640">
        <w:rPr>
          <w:szCs w:val="24"/>
        </w:rPr>
        <w:tab/>
        <w:t>Atvykusių ir išvykusių vaikų skaičius.</w:t>
      </w:r>
      <w:r w:rsidRPr="00B93640">
        <w:rPr>
          <w:b/>
          <w:szCs w:val="24"/>
        </w:rPr>
        <w:t xml:space="preserve"> </w:t>
      </w:r>
      <w:r w:rsidRPr="00B93640">
        <w:rPr>
          <w:szCs w:val="24"/>
        </w:rPr>
        <w:t xml:space="preserve">Per 2018 m. į Vaikų globos namus atvyko 29 vaikai. Nuo 2018 m. sausio 1 d. iki 2018 m. birželio 31 d. laikinai, iki 3 parų, buvo apgyvendintas 1 vaikas. Nuo 2018 m. liepos 1 d., įsigaliojus Lietuvos Respublikos vaiko teisių apsaugos 1996 m. kovo 14 d. įstatymo Nr. I-1234 pakeitimams, laikinai, iki 2 savaičių, buvo apgyvendinta 15 vaikų. </w:t>
      </w:r>
    </w:p>
    <w:p w:rsidR="00FB17E3" w:rsidRPr="00B93640" w:rsidRDefault="00FB17E3" w:rsidP="00FB17E3">
      <w:pPr>
        <w:spacing w:after="0" w:line="360" w:lineRule="auto"/>
        <w:ind w:firstLine="1296"/>
        <w:jc w:val="both"/>
        <w:rPr>
          <w:szCs w:val="24"/>
        </w:rPr>
      </w:pPr>
      <w:r w:rsidRPr="00B93640">
        <w:rPr>
          <w:szCs w:val="24"/>
        </w:rPr>
        <w:t xml:space="preserve">Į biologinę šeimą per 2018 m. metus grąžinti 8 vaikai, 3 vaikams pakeistas globėjas – vaikai apgyvendinti šeimose. </w:t>
      </w:r>
    </w:p>
    <w:p w:rsidR="00FB17E3" w:rsidRPr="00B93640" w:rsidRDefault="00FB17E3" w:rsidP="00FB17E3">
      <w:pPr>
        <w:spacing w:after="0" w:line="360" w:lineRule="auto"/>
        <w:jc w:val="both"/>
        <w:rPr>
          <w:szCs w:val="24"/>
        </w:rPr>
      </w:pPr>
      <w:r w:rsidRPr="00B93640">
        <w:rPr>
          <w:szCs w:val="24"/>
        </w:rPr>
        <w:tab/>
        <w:t>4 vaikai išėjo iš Vaikų globos namų sulaukę pilnametystės: 2 apsigyveno mokyklos bendrabutyje, 1 – iš motinos paveldėtame name, 1 – patalpintas į įkalinimo įstaigą.</w:t>
      </w:r>
    </w:p>
    <w:p w:rsidR="00FB17E3" w:rsidRPr="00B93640" w:rsidRDefault="00FB17E3" w:rsidP="00FB17E3">
      <w:pPr>
        <w:spacing w:after="0" w:line="360" w:lineRule="auto"/>
        <w:jc w:val="both"/>
        <w:rPr>
          <w:szCs w:val="24"/>
        </w:rPr>
      </w:pPr>
      <w:r w:rsidRPr="00B93640">
        <w:rPr>
          <w:szCs w:val="24"/>
        </w:rPr>
        <w:tab/>
        <w:t>Vaikų apgyvendinimas.</w:t>
      </w:r>
      <w:r w:rsidRPr="00B93640">
        <w:rPr>
          <w:b/>
          <w:szCs w:val="24"/>
        </w:rPr>
        <w:t xml:space="preserve"> </w:t>
      </w:r>
      <w:r w:rsidRPr="00B93640">
        <w:rPr>
          <w:szCs w:val="24"/>
        </w:rPr>
        <w:t>Vaikų globos namuose vaikų apgyvendinimui yra patvirtintos 32 vietos. Vaikų globos namų dviejuose padaliniuose bendruomeniniuose vaikų globos namuose yra po 6 vietas.</w:t>
      </w:r>
    </w:p>
    <w:p w:rsidR="00FB17E3" w:rsidRPr="00B93640" w:rsidRDefault="00FB17E3" w:rsidP="00FB17E3">
      <w:pPr>
        <w:spacing w:after="0" w:line="360" w:lineRule="auto"/>
        <w:ind w:firstLine="1296"/>
        <w:jc w:val="both"/>
        <w:rPr>
          <w:szCs w:val="24"/>
        </w:rPr>
      </w:pPr>
      <w:r w:rsidRPr="00B93640">
        <w:rPr>
          <w:szCs w:val="24"/>
        </w:rPr>
        <w:t>Vaikų globos namuose vaikai apgyvendinti keturiose šeimynose – „Atžalyno“ , „Rytmečio“, „Ąžuoliuko“ ir „Giliukų“, bendruomeniniuose vaikų globos namuose buvo pagyvendinta po 6 vaikus, atsižvelgiant į giminystės ryšius bei amžių. Metų pabaigoje vaikų skaičius neviršijo nustatyto skaičiaus Vaikų globos namuose.</w:t>
      </w:r>
    </w:p>
    <w:p w:rsidR="00FB17E3" w:rsidRPr="00B93640" w:rsidRDefault="00FB17E3" w:rsidP="00FB17E3">
      <w:pPr>
        <w:spacing w:after="0" w:line="360" w:lineRule="auto"/>
        <w:jc w:val="both"/>
        <w:rPr>
          <w:szCs w:val="24"/>
        </w:rPr>
      </w:pPr>
      <w:r w:rsidRPr="00B93640">
        <w:rPr>
          <w:szCs w:val="24"/>
        </w:rPr>
        <w:lastRenderedPageBreak/>
        <w:tab/>
        <w:t>2018 m. gruodžio 31 d. 8 globojami (rūpinami) vaikai turėjo tik tėvą, 3 vaikai – tik motiną, 24 vaikai – abu tėvus, našlaičių vaikų nebuvo.</w:t>
      </w:r>
      <w:r w:rsidRPr="00B93640">
        <w:rPr>
          <w:color w:val="FF0000"/>
          <w:szCs w:val="24"/>
        </w:rPr>
        <w:t xml:space="preserve"> </w:t>
      </w:r>
      <w:r w:rsidRPr="00B93640">
        <w:rPr>
          <w:szCs w:val="24"/>
        </w:rPr>
        <w:t>Vaikai į Vaikų globos namus pateko iš socialinės rizikos šeimų. Pagrindinė vaikų paėmimo iš šeimų priežastis – tėvų girtavimas, saugios aplinkos nebuvimas, vaikų nepriežiūra ir smurtas prieš juos. Dėl smurto prieš vaikus buvo pradėtas vienas ikiteisminiai tyrimas, dėl nepilnamečių vaikų seksualinio išnaudojimo – du ikiteisminiai tyrimai.</w:t>
      </w:r>
    </w:p>
    <w:p w:rsidR="00FB17E3" w:rsidRPr="00B93640" w:rsidRDefault="00FB17E3" w:rsidP="00FB17E3">
      <w:pPr>
        <w:spacing w:after="0" w:line="360" w:lineRule="auto"/>
        <w:jc w:val="both"/>
        <w:rPr>
          <w:szCs w:val="24"/>
        </w:rPr>
      </w:pPr>
      <w:r w:rsidRPr="00B93640">
        <w:rPr>
          <w:szCs w:val="24"/>
        </w:rPr>
        <w:tab/>
        <w:t>Per 2018 m. laikinoji globa nustatyta 13 vaikų, nuolatinė globa – 1 vaikui. 2018 m. gruodžio 31 d. duomenimis, iš viso Vaikų globos namuose gyveno 37 vaikai: nuolatinę globą turėjo 26 vaikai, laikinąją – 11 vaikų.</w:t>
      </w:r>
    </w:p>
    <w:p w:rsidR="00FB17E3" w:rsidRPr="00B93640" w:rsidRDefault="00FB17E3" w:rsidP="00FB17E3">
      <w:pPr>
        <w:ind w:left="720"/>
        <w:contextualSpacing/>
        <w:rPr>
          <w:szCs w:val="24"/>
        </w:rPr>
      </w:pPr>
      <w:r w:rsidRPr="00B93640">
        <w:rPr>
          <w:szCs w:val="24"/>
        </w:rPr>
        <w:tab/>
        <w:t>Vaikų pasiskirstymas pagal amžių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388"/>
        <w:gridCol w:w="388"/>
        <w:gridCol w:w="388"/>
        <w:gridCol w:w="388"/>
        <w:gridCol w:w="388"/>
        <w:gridCol w:w="388"/>
        <w:gridCol w:w="388"/>
        <w:gridCol w:w="388"/>
        <w:gridCol w:w="388"/>
        <w:gridCol w:w="500"/>
        <w:gridCol w:w="500"/>
        <w:gridCol w:w="500"/>
        <w:gridCol w:w="489"/>
        <w:gridCol w:w="489"/>
        <w:gridCol w:w="489"/>
        <w:gridCol w:w="489"/>
        <w:gridCol w:w="489"/>
        <w:gridCol w:w="483"/>
        <w:gridCol w:w="923"/>
        <w:gridCol w:w="622"/>
      </w:tblGrid>
      <w:tr w:rsidR="00FB17E3" w:rsidRPr="00B93640" w:rsidTr="009E57E7">
        <w:tc>
          <w:tcPr>
            <w:tcW w:w="14092" w:type="dxa"/>
            <w:gridSpan w:val="20"/>
            <w:shd w:val="clear" w:color="auto" w:fill="auto"/>
          </w:tcPr>
          <w:p w:rsidR="00FB17E3" w:rsidRPr="00B93640" w:rsidRDefault="00FB17E3" w:rsidP="009E57E7">
            <w:pPr>
              <w:spacing w:after="0" w:line="240" w:lineRule="auto"/>
              <w:jc w:val="both"/>
              <w:rPr>
                <w:szCs w:val="24"/>
              </w:rPr>
            </w:pPr>
            <w:r w:rsidRPr="00B93640">
              <w:rPr>
                <w:szCs w:val="24"/>
              </w:rPr>
              <w:t>Bendras vaikų skaičius 2018 m. gruodžio 31 d.</w:t>
            </w:r>
          </w:p>
          <w:p w:rsidR="00FB17E3" w:rsidRPr="00B93640" w:rsidRDefault="00FB17E3" w:rsidP="009E57E7">
            <w:pPr>
              <w:spacing w:after="0" w:line="240" w:lineRule="auto"/>
              <w:jc w:val="both"/>
              <w:rPr>
                <w:szCs w:val="24"/>
              </w:rPr>
            </w:pPr>
            <w:r w:rsidRPr="00B93640">
              <w:rPr>
                <w:szCs w:val="24"/>
              </w:rPr>
              <w:t>Iš jų vaikai pagal amžiaus grupes (metai)</w:t>
            </w:r>
          </w:p>
        </w:tc>
        <w:tc>
          <w:tcPr>
            <w:tcW w:w="649" w:type="dxa"/>
            <w:shd w:val="clear" w:color="auto" w:fill="auto"/>
          </w:tcPr>
          <w:p w:rsidR="00FB17E3" w:rsidRPr="00B93640" w:rsidRDefault="00FB17E3" w:rsidP="009E57E7">
            <w:pPr>
              <w:spacing w:after="0" w:line="240" w:lineRule="auto"/>
              <w:jc w:val="both"/>
              <w:rPr>
                <w:szCs w:val="24"/>
              </w:rPr>
            </w:pPr>
            <w:r w:rsidRPr="00B93640">
              <w:rPr>
                <w:szCs w:val="24"/>
              </w:rPr>
              <w:t>Iš viso</w:t>
            </w:r>
          </w:p>
        </w:tc>
      </w:tr>
      <w:tr w:rsidR="00FB17E3" w:rsidRPr="00B93640" w:rsidTr="009E57E7">
        <w:tc>
          <w:tcPr>
            <w:tcW w:w="684" w:type="dxa"/>
            <w:shd w:val="clear" w:color="auto" w:fill="auto"/>
          </w:tcPr>
          <w:p w:rsidR="00FB17E3" w:rsidRPr="00B93640" w:rsidRDefault="00FB17E3" w:rsidP="009E57E7">
            <w:pPr>
              <w:spacing w:after="0" w:line="240" w:lineRule="auto"/>
              <w:jc w:val="both"/>
              <w:rPr>
                <w:szCs w:val="24"/>
              </w:rPr>
            </w:pPr>
            <w:r w:rsidRPr="00B93640">
              <w:rPr>
                <w:szCs w:val="24"/>
              </w:rPr>
              <w:t>0</w:t>
            </w:r>
          </w:p>
        </w:tc>
        <w:tc>
          <w:tcPr>
            <w:tcW w:w="686" w:type="dxa"/>
            <w:shd w:val="clear" w:color="auto" w:fill="auto"/>
          </w:tcPr>
          <w:p w:rsidR="00FB17E3" w:rsidRPr="00B93640" w:rsidRDefault="00FB17E3" w:rsidP="009E57E7">
            <w:pPr>
              <w:spacing w:after="0" w:line="240" w:lineRule="auto"/>
              <w:jc w:val="both"/>
              <w:rPr>
                <w:szCs w:val="24"/>
              </w:rPr>
            </w:pPr>
            <w:r w:rsidRPr="00B93640">
              <w:rPr>
                <w:szCs w:val="24"/>
              </w:rPr>
              <w:t>1</w:t>
            </w:r>
          </w:p>
        </w:tc>
        <w:tc>
          <w:tcPr>
            <w:tcW w:w="688" w:type="dxa"/>
            <w:shd w:val="clear" w:color="auto" w:fill="auto"/>
          </w:tcPr>
          <w:p w:rsidR="00FB17E3" w:rsidRPr="00B93640" w:rsidRDefault="00FB17E3" w:rsidP="009E57E7">
            <w:pPr>
              <w:spacing w:after="0" w:line="240" w:lineRule="auto"/>
              <w:jc w:val="both"/>
              <w:rPr>
                <w:szCs w:val="24"/>
              </w:rPr>
            </w:pPr>
            <w:r w:rsidRPr="00B93640">
              <w:rPr>
                <w:szCs w:val="24"/>
              </w:rPr>
              <w:t>2</w:t>
            </w:r>
          </w:p>
        </w:tc>
        <w:tc>
          <w:tcPr>
            <w:tcW w:w="688" w:type="dxa"/>
            <w:shd w:val="clear" w:color="auto" w:fill="auto"/>
          </w:tcPr>
          <w:p w:rsidR="00FB17E3" w:rsidRPr="00B93640" w:rsidRDefault="00FB17E3" w:rsidP="009E57E7">
            <w:pPr>
              <w:spacing w:after="0" w:line="240" w:lineRule="auto"/>
              <w:jc w:val="both"/>
              <w:rPr>
                <w:szCs w:val="24"/>
              </w:rPr>
            </w:pPr>
            <w:r w:rsidRPr="00B93640">
              <w:rPr>
                <w:szCs w:val="24"/>
              </w:rPr>
              <w:t>3</w:t>
            </w:r>
          </w:p>
        </w:tc>
        <w:tc>
          <w:tcPr>
            <w:tcW w:w="688" w:type="dxa"/>
            <w:shd w:val="clear" w:color="auto" w:fill="auto"/>
          </w:tcPr>
          <w:p w:rsidR="00FB17E3" w:rsidRPr="00B93640" w:rsidRDefault="00FB17E3" w:rsidP="009E57E7">
            <w:pPr>
              <w:spacing w:after="0" w:line="240" w:lineRule="auto"/>
              <w:jc w:val="both"/>
              <w:rPr>
                <w:szCs w:val="24"/>
              </w:rPr>
            </w:pPr>
            <w:r w:rsidRPr="00B93640">
              <w:rPr>
                <w:szCs w:val="24"/>
              </w:rPr>
              <w:t>4</w:t>
            </w:r>
          </w:p>
        </w:tc>
        <w:tc>
          <w:tcPr>
            <w:tcW w:w="688" w:type="dxa"/>
            <w:shd w:val="clear" w:color="auto" w:fill="auto"/>
          </w:tcPr>
          <w:p w:rsidR="00FB17E3" w:rsidRPr="00B93640" w:rsidRDefault="00FB17E3" w:rsidP="009E57E7">
            <w:pPr>
              <w:spacing w:after="0" w:line="240" w:lineRule="auto"/>
              <w:jc w:val="both"/>
              <w:rPr>
                <w:szCs w:val="24"/>
              </w:rPr>
            </w:pPr>
            <w:r w:rsidRPr="00B93640">
              <w:rPr>
                <w:szCs w:val="24"/>
              </w:rPr>
              <w:t>5</w:t>
            </w:r>
          </w:p>
        </w:tc>
        <w:tc>
          <w:tcPr>
            <w:tcW w:w="689" w:type="dxa"/>
            <w:shd w:val="clear" w:color="auto" w:fill="auto"/>
          </w:tcPr>
          <w:p w:rsidR="00FB17E3" w:rsidRPr="00B93640" w:rsidRDefault="00FB17E3" w:rsidP="009E57E7">
            <w:pPr>
              <w:spacing w:after="0" w:line="240" w:lineRule="auto"/>
              <w:jc w:val="both"/>
              <w:rPr>
                <w:szCs w:val="24"/>
              </w:rPr>
            </w:pPr>
            <w:r w:rsidRPr="00B93640">
              <w:rPr>
                <w:szCs w:val="24"/>
              </w:rPr>
              <w:t>6</w:t>
            </w:r>
          </w:p>
        </w:tc>
        <w:tc>
          <w:tcPr>
            <w:tcW w:w="689" w:type="dxa"/>
            <w:shd w:val="clear" w:color="auto" w:fill="auto"/>
          </w:tcPr>
          <w:p w:rsidR="00FB17E3" w:rsidRPr="00B93640" w:rsidRDefault="00FB17E3" w:rsidP="009E57E7">
            <w:pPr>
              <w:spacing w:after="0" w:line="240" w:lineRule="auto"/>
              <w:jc w:val="both"/>
              <w:rPr>
                <w:szCs w:val="24"/>
              </w:rPr>
            </w:pPr>
            <w:r w:rsidRPr="00B93640">
              <w:rPr>
                <w:szCs w:val="24"/>
              </w:rPr>
              <w:t>7</w:t>
            </w:r>
          </w:p>
        </w:tc>
        <w:tc>
          <w:tcPr>
            <w:tcW w:w="689" w:type="dxa"/>
            <w:shd w:val="clear" w:color="auto" w:fill="auto"/>
          </w:tcPr>
          <w:p w:rsidR="00FB17E3" w:rsidRPr="00B93640" w:rsidRDefault="00FB17E3" w:rsidP="009E57E7">
            <w:pPr>
              <w:spacing w:after="0" w:line="240" w:lineRule="auto"/>
              <w:jc w:val="both"/>
              <w:rPr>
                <w:szCs w:val="24"/>
              </w:rPr>
            </w:pPr>
            <w:r w:rsidRPr="00B93640">
              <w:rPr>
                <w:szCs w:val="24"/>
              </w:rPr>
              <w:t>8</w:t>
            </w:r>
          </w:p>
        </w:tc>
        <w:tc>
          <w:tcPr>
            <w:tcW w:w="689" w:type="dxa"/>
            <w:shd w:val="clear" w:color="auto" w:fill="auto"/>
          </w:tcPr>
          <w:p w:rsidR="00FB17E3" w:rsidRPr="00B93640" w:rsidRDefault="00FB17E3" w:rsidP="009E57E7">
            <w:pPr>
              <w:spacing w:after="0" w:line="240" w:lineRule="auto"/>
              <w:jc w:val="both"/>
              <w:rPr>
                <w:szCs w:val="24"/>
              </w:rPr>
            </w:pPr>
            <w:r w:rsidRPr="00B93640">
              <w:rPr>
                <w:szCs w:val="24"/>
              </w:rPr>
              <w:t>9</w:t>
            </w:r>
          </w:p>
        </w:tc>
        <w:tc>
          <w:tcPr>
            <w:tcW w:w="750" w:type="dxa"/>
            <w:shd w:val="clear" w:color="auto" w:fill="auto"/>
          </w:tcPr>
          <w:p w:rsidR="00FB17E3" w:rsidRPr="00B93640" w:rsidRDefault="00FB17E3" w:rsidP="009E57E7">
            <w:pPr>
              <w:spacing w:after="0" w:line="240" w:lineRule="auto"/>
              <w:jc w:val="both"/>
              <w:rPr>
                <w:szCs w:val="24"/>
              </w:rPr>
            </w:pPr>
            <w:r w:rsidRPr="00B93640">
              <w:rPr>
                <w:szCs w:val="24"/>
              </w:rPr>
              <w:t>10</w:t>
            </w:r>
          </w:p>
        </w:tc>
        <w:tc>
          <w:tcPr>
            <w:tcW w:w="750" w:type="dxa"/>
            <w:shd w:val="clear" w:color="auto" w:fill="auto"/>
          </w:tcPr>
          <w:p w:rsidR="00FB17E3" w:rsidRPr="00B93640" w:rsidRDefault="00FB17E3" w:rsidP="009E57E7">
            <w:pPr>
              <w:spacing w:after="0" w:line="240" w:lineRule="auto"/>
              <w:jc w:val="both"/>
              <w:rPr>
                <w:szCs w:val="24"/>
              </w:rPr>
            </w:pPr>
            <w:r w:rsidRPr="00B93640">
              <w:rPr>
                <w:szCs w:val="24"/>
              </w:rPr>
              <w:t>11</w:t>
            </w:r>
          </w:p>
        </w:tc>
        <w:tc>
          <w:tcPr>
            <w:tcW w:w="750" w:type="dxa"/>
            <w:shd w:val="clear" w:color="auto" w:fill="auto"/>
          </w:tcPr>
          <w:p w:rsidR="00FB17E3" w:rsidRPr="00B93640" w:rsidRDefault="00FB17E3" w:rsidP="009E57E7">
            <w:pPr>
              <w:spacing w:after="0" w:line="240" w:lineRule="auto"/>
              <w:jc w:val="both"/>
              <w:rPr>
                <w:szCs w:val="24"/>
              </w:rPr>
            </w:pPr>
            <w:r w:rsidRPr="00B93640">
              <w:rPr>
                <w:szCs w:val="24"/>
              </w:rPr>
              <w:t>12</w:t>
            </w:r>
          </w:p>
        </w:tc>
        <w:tc>
          <w:tcPr>
            <w:tcW w:w="680" w:type="dxa"/>
            <w:shd w:val="clear" w:color="auto" w:fill="auto"/>
          </w:tcPr>
          <w:p w:rsidR="00FB17E3" w:rsidRPr="00B93640" w:rsidRDefault="00FB17E3" w:rsidP="009E57E7">
            <w:pPr>
              <w:spacing w:after="0" w:line="240" w:lineRule="auto"/>
              <w:jc w:val="both"/>
              <w:rPr>
                <w:szCs w:val="24"/>
              </w:rPr>
            </w:pPr>
            <w:r w:rsidRPr="00B93640">
              <w:rPr>
                <w:szCs w:val="24"/>
              </w:rPr>
              <w:t>13</w:t>
            </w:r>
          </w:p>
        </w:tc>
        <w:tc>
          <w:tcPr>
            <w:tcW w:w="680" w:type="dxa"/>
            <w:shd w:val="clear" w:color="auto" w:fill="auto"/>
          </w:tcPr>
          <w:p w:rsidR="00FB17E3" w:rsidRPr="00B93640" w:rsidRDefault="00FB17E3" w:rsidP="009E57E7">
            <w:pPr>
              <w:spacing w:after="0" w:line="240" w:lineRule="auto"/>
              <w:jc w:val="both"/>
              <w:rPr>
                <w:szCs w:val="24"/>
              </w:rPr>
            </w:pPr>
            <w:r w:rsidRPr="00B93640">
              <w:rPr>
                <w:szCs w:val="24"/>
              </w:rPr>
              <w:t>14</w:t>
            </w:r>
          </w:p>
        </w:tc>
        <w:tc>
          <w:tcPr>
            <w:tcW w:w="680" w:type="dxa"/>
            <w:shd w:val="clear" w:color="auto" w:fill="auto"/>
          </w:tcPr>
          <w:p w:rsidR="00FB17E3" w:rsidRPr="00B93640" w:rsidRDefault="00FB17E3" w:rsidP="009E57E7">
            <w:pPr>
              <w:spacing w:after="0" w:line="240" w:lineRule="auto"/>
              <w:jc w:val="both"/>
              <w:rPr>
                <w:szCs w:val="24"/>
              </w:rPr>
            </w:pPr>
            <w:r w:rsidRPr="00B93640">
              <w:rPr>
                <w:szCs w:val="24"/>
              </w:rPr>
              <w:t>15</w:t>
            </w:r>
          </w:p>
        </w:tc>
        <w:tc>
          <w:tcPr>
            <w:tcW w:w="680" w:type="dxa"/>
            <w:shd w:val="clear" w:color="auto" w:fill="auto"/>
          </w:tcPr>
          <w:p w:rsidR="00FB17E3" w:rsidRPr="00B93640" w:rsidRDefault="00FB17E3" w:rsidP="009E57E7">
            <w:pPr>
              <w:spacing w:after="0" w:line="240" w:lineRule="auto"/>
              <w:jc w:val="both"/>
              <w:rPr>
                <w:szCs w:val="24"/>
              </w:rPr>
            </w:pPr>
            <w:r w:rsidRPr="00B93640">
              <w:rPr>
                <w:szCs w:val="24"/>
              </w:rPr>
              <w:t>16</w:t>
            </w:r>
          </w:p>
        </w:tc>
        <w:tc>
          <w:tcPr>
            <w:tcW w:w="680" w:type="dxa"/>
            <w:shd w:val="clear" w:color="auto" w:fill="auto"/>
          </w:tcPr>
          <w:p w:rsidR="00FB17E3" w:rsidRPr="00B93640" w:rsidRDefault="00FB17E3" w:rsidP="009E57E7">
            <w:pPr>
              <w:spacing w:after="0" w:line="240" w:lineRule="auto"/>
              <w:jc w:val="both"/>
              <w:rPr>
                <w:szCs w:val="24"/>
              </w:rPr>
            </w:pPr>
            <w:r w:rsidRPr="00B93640">
              <w:rPr>
                <w:szCs w:val="24"/>
              </w:rPr>
              <w:t>17</w:t>
            </w:r>
          </w:p>
        </w:tc>
        <w:tc>
          <w:tcPr>
            <w:tcW w:w="641" w:type="dxa"/>
            <w:shd w:val="clear" w:color="auto" w:fill="auto"/>
          </w:tcPr>
          <w:p w:rsidR="00FB17E3" w:rsidRPr="00B93640" w:rsidRDefault="00FB17E3" w:rsidP="009E57E7">
            <w:pPr>
              <w:spacing w:after="0" w:line="240" w:lineRule="auto"/>
              <w:jc w:val="both"/>
              <w:rPr>
                <w:szCs w:val="24"/>
              </w:rPr>
            </w:pPr>
            <w:r w:rsidRPr="00B93640">
              <w:rPr>
                <w:szCs w:val="24"/>
              </w:rPr>
              <w:t>18</w:t>
            </w:r>
          </w:p>
        </w:tc>
        <w:tc>
          <w:tcPr>
            <w:tcW w:w="923" w:type="dxa"/>
            <w:shd w:val="clear" w:color="auto" w:fill="auto"/>
          </w:tcPr>
          <w:p w:rsidR="00FB17E3" w:rsidRPr="00B93640" w:rsidRDefault="00FB17E3" w:rsidP="009E57E7">
            <w:pPr>
              <w:spacing w:after="0" w:line="240" w:lineRule="auto"/>
              <w:jc w:val="both"/>
              <w:rPr>
                <w:szCs w:val="24"/>
              </w:rPr>
            </w:pPr>
            <w:r w:rsidRPr="00B93640">
              <w:rPr>
                <w:szCs w:val="24"/>
              </w:rPr>
              <w:t>vyresni</w:t>
            </w:r>
          </w:p>
        </w:tc>
        <w:tc>
          <w:tcPr>
            <w:tcW w:w="649" w:type="dxa"/>
            <w:shd w:val="clear" w:color="auto" w:fill="auto"/>
          </w:tcPr>
          <w:p w:rsidR="00FB17E3" w:rsidRPr="00B93640" w:rsidRDefault="00FB17E3" w:rsidP="009E57E7">
            <w:pPr>
              <w:spacing w:after="0" w:line="240" w:lineRule="auto"/>
              <w:jc w:val="both"/>
              <w:rPr>
                <w:szCs w:val="24"/>
              </w:rPr>
            </w:pPr>
          </w:p>
        </w:tc>
      </w:tr>
      <w:tr w:rsidR="00FB17E3" w:rsidRPr="00B93640" w:rsidTr="009E57E7">
        <w:tc>
          <w:tcPr>
            <w:tcW w:w="684" w:type="dxa"/>
            <w:shd w:val="clear" w:color="auto" w:fill="auto"/>
          </w:tcPr>
          <w:p w:rsidR="00FB17E3" w:rsidRPr="00B93640" w:rsidRDefault="00FB17E3" w:rsidP="009E57E7">
            <w:pPr>
              <w:spacing w:after="0" w:line="240" w:lineRule="auto"/>
              <w:jc w:val="both"/>
              <w:rPr>
                <w:i/>
                <w:szCs w:val="24"/>
              </w:rPr>
            </w:pPr>
            <w:r w:rsidRPr="00B93640">
              <w:rPr>
                <w:i/>
                <w:szCs w:val="24"/>
              </w:rPr>
              <w:t>-</w:t>
            </w:r>
          </w:p>
        </w:tc>
        <w:tc>
          <w:tcPr>
            <w:tcW w:w="686" w:type="dxa"/>
            <w:shd w:val="clear" w:color="auto" w:fill="auto"/>
          </w:tcPr>
          <w:p w:rsidR="00FB17E3" w:rsidRPr="00B93640" w:rsidRDefault="00FB17E3" w:rsidP="009E57E7">
            <w:pPr>
              <w:spacing w:after="0" w:line="240" w:lineRule="auto"/>
              <w:jc w:val="both"/>
              <w:rPr>
                <w:i/>
                <w:szCs w:val="24"/>
              </w:rPr>
            </w:pPr>
            <w:r w:rsidRPr="00B93640">
              <w:rPr>
                <w:i/>
                <w:szCs w:val="24"/>
              </w:rPr>
              <w:t>-</w:t>
            </w:r>
          </w:p>
        </w:tc>
        <w:tc>
          <w:tcPr>
            <w:tcW w:w="688" w:type="dxa"/>
            <w:shd w:val="clear" w:color="auto" w:fill="auto"/>
          </w:tcPr>
          <w:p w:rsidR="00FB17E3" w:rsidRPr="00B93640" w:rsidRDefault="00FB17E3" w:rsidP="009E57E7">
            <w:pPr>
              <w:spacing w:after="0" w:line="240" w:lineRule="auto"/>
              <w:jc w:val="both"/>
              <w:rPr>
                <w:i/>
                <w:szCs w:val="24"/>
              </w:rPr>
            </w:pPr>
            <w:r w:rsidRPr="00B93640">
              <w:rPr>
                <w:i/>
                <w:szCs w:val="24"/>
              </w:rPr>
              <w:t>-</w:t>
            </w:r>
          </w:p>
        </w:tc>
        <w:tc>
          <w:tcPr>
            <w:tcW w:w="688" w:type="dxa"/>
            <w:shd w:val="clear" w:color="auto" w:fill="auto"/>
          </w:tcPr>
          <w:p w:rsidR="00FB17E3" w:rsidRPr="00B93640" w:rsidRDefault="00FB17E3" w:rsidP="009E57E7">
            <w:pPr>
              <w:spacing w:after="0" w:line="240" w:lineRule="auto"/>
              <w:jc w:val="both"/>
              <w:rPr>
                <w:i/>
                <w:szCs w:val="24"/>
              </w:rPr>
            </w:pPr>
            <w:r w:rsidRPr="00B93640">
              <w:rPr>
                <w:i/>
                <w:szCs w:val="24"/>
              </w:rPr>
              <w:t>-</w:t>
            </w:r>
          </w:p>
        </w:tc>
        <w:tc>
          <w:tcPr>
            <w:tcW w:w="688" w:type="dxa"/>
            <w:shd w:val="clear" w:color="auto" w:fill="auto"/>
          </w:tcPr>
          <w:p w:rsidR="00FB17E3" w:rsidRPr="00B93640" w:rsidRDefault="00FB17E3" w:rsidP="009E57E7">
            <w:pPr>
              <w:spacing w:after="0" w:line="240" w:lineRule="auto"/>
              <w:jc w:val="both"/>
              <w:rPr>
                <w:i/>
                <w:szCs w:val="24"/>
              </w:rPr>
            </w:pPr>
            <w:r w:rsidRPr="00B93640">
              <w:rPr>
                <w:i/>
                <w:szCs w:val="24"/>
              </w:rPr>
              <w:t>1</w:t>
            </w:r>
          </w:p>
        </w:tc>
        <w:tc>
          <w:tcPr>
            <w:tcW w:w="688" w:type="dxa"/>
            <w:shd w:val="clear" w:color="auto" w:fill="auto"/>
          </w:tcPr>
          <w:p w:rsidR="00FB17E3" w:rsidRPr="00B93640" w:rsidRDefault="00FB17E3" w:rsidP="009E57E7">
            <w:pPr>
              <w:spacing w:after="0" w:line="240" w:lineRule="auto"/>
              <w:jc w:val="both"/>
              <w:rPr>
                <w:i/>
                <w:szCs w:val="24"/>
              </w:rPr>
            </w:pPr>
            <w:r w:rsidRPr="00B93640">
              <w:rPr>
                <w:i/>
                <w:szCs w:val="24"/>
              </w:rPr>
              <w:t>-</w:t>
            </w:r>
          </w:p>
        </w:tc>
        <w:tc>
          <w:tcPr>
            <w:tcW w:w="689" w:type="dxa"/>
            <w:shd w:val="clear" w:color="auto" w:fill="auto"/>
          </w:tcPr>
          <w:p w:rsidR="00FB17E3" w:rsidRPr="00B93640" w:rsidRDefault="00FB17E3" w:rsidP="009E57E7">
            <w:pPr>
              <w:spacing w:after="0" w:line="240" w:lineRule="auto"/>
              <w:jc w:val="both"/>
              <w:rPr>
                <w:i/>
                <w:szCs w:val="24"/>
              </w:rPr>
            </w:pPr>
            <w:r w:rsidRPr="00B93640">
              <w:rPr>
                <w:i/>
                <w:szCs w:val="24"/>
              </w:rPr>
              <w:t>2</w:t>
            </w:r>
          </w:p>
        </w:tc>
        <w:tc>
          <w:tcPr>
            <w:tcW w:w="689" w:type="dxa"/>
            <w:shd w:val="clear" w:color="auto" w:fill="auto"/>
          </w:tcPr>
          <w:p w:rsidR="00FB17E3" w:rsidRPr="00B93640" w:rsidRDefault="00FB17E3" w:rsidP="009E57E7">
            <w:pPr>
              <w:spacing w:after="0" w:line="240" w:lineRule="auto"/>
              <w:jc w:val="both"/>
              <w:rPr>
                <w:i/>
                <w:szCs w:val="24"/>
              </w:rPr>
            </w:pPr>
            <w:r w:rsidRPr="00B93640">
              <w:rPr>
                <w:i/>
                <w:szCs w:val="24"/>
              </w:rPr>
              <w:t>-</w:t>
            </w:r>
          </w:p>
        </w:tc>
        <w:tc>
          <w:tcPr>
            <w:tcW w:w="689" w:type="dxa"/>
            <w:shd w:val="clear" w:color="auto" w:fill="auto"/>
          </w:tcPr>
          <w:p w:rsidR="00FB17E3" w:rsidRPr="00B93640" w:rsidRDefault="00FB17E3" w:rsidP="009E57E7">
            <w:pPr>
              <w:spacing w:after="0" w:line="240" w:lineRule="auto"/>
              <w:jc w:val="both"/>
              <w:rPr>
                <w:i/>
                <w:szCs w:val="24"/>
              </w:rPr>
            </w:pPr>
            <w:r w:rsidRPr="00B93640">
              <w:rPr>
                <w:i/>
                <w:szCs w:val="24"/>
              </w:rPr>
              <w:t>4</w:t>
            </w:r>
          </w:p>
        </w:tc>
        <w:tc>
          <w:tcPr>
            <w:tcW w:w="689" w:type="dxa"/>
            <w:shd w:val="clear" w:color="auto" w:fill="auto"/>
          </w:tcPr>
          <w:p w:rsidR="00FB17E3" w:rsidRPr="00B93640" w:rsidRDefault="00FB17E3" w:rsidP="009E57E7">
            <w:pPr>
              <w:spacing w:after="0" w:line="240" w:lineRule="auto"/>
              <w:jc w:val="both"/>
              <w:rPr>
                <w:i/>
                <w:szCs w:val="24"/>
              </w:rPr>
            </w:pPr>
            <w:r w:rsidRPr="00B93640">
              <w:rPr>
                <w:i/>
                <w:szCs w:val="24"/>
              </w:rPr>
              <w:t>4</w:t>
            </w:r>
          </w:p>
        </w:tc>
        <w:tc>
          <w:tcPr>
            <w:tcW w:w="750" w:type="dxa"/>
            <w:shd w:val="clear" w:color="auto" w:fill="auto"/>
          </w:tcPr>
          <w:p w:rsidR="00FB17E3" w:rsidRPr="00B93640" w:rsidRDefault="00FB17E3" w:rsidP="009E57E7">
            <w:pPr>
              <w:spacing w:after="0" w:line="240" w:lineRule="auto"/>
              <w:jc w:val="both"/>
              <w:rPr>
                <w:i/>
                <w:szCs w:val="24"/>
              </w:rPr>
            </w:pPr>
            <w:r w:rsidRPr="00B93640">
              <w:rPr>
                <w:i/>
                <w:szCs w:val="24"/>
              </w:rPr>
              <w:t>2</w:t>
            </w:r>
          </w:p>
        </w:tc>
        <w:tc>
          <w:tcPr>
            <w:tcW w:w="750" w:type="dxa"/>
            <w:shd w:val="clear" w:color="auto" w:fill="auto"/>
          </w:tcPr>
          <w:p w:rsidR="00FB17E3" w:rsidRPr="00B93640" w:rsidRDefault="00FB17E3" w:rsidP="009E57E7">
            <w:pPr>
              <w:spacing w:after="0" w:line="240" w:lineRule="auto"/>
              <w:jc w:val="both"/>
              <w:rPr>
                <w:i/>
                <w:szCs w:val="24"/>
              </w:rPr>
            </w:pPr>
            <w:r w:rsidRPr="00B93640">
              <w:rPr>
                <w:i/>
                <w:szCs w:val="24"/>
              </w:rPr>
              <w:t>1</w:t>
            </w:r>
          </w:p>
        </w:tc>
        <w:tc>
          <w:tcPr>
            <w:tcW w:w="750" w:type="dxa"/>
            <w:shd w:val="clear" w:color="auto" w:fill="auto"/>
          </w:tcPr>
          <w:p w:rsidR="00FB17E3" w:rsidRPr="00B93640" w:rsidRDefault="00FB17E3" w:rsidP="009E57E7">
            <w:pPr>
              <w:spacing w:after="0" w:line="240" w:lineRule="auto"/>
              <w:jc w:val="both"/>
              <w:rPr>
                <w:i/>
                <w:szCs w:val="24"/>
              </w:rPr>
            </w:pPr>
            <w:r w:rsidRPr="00B93640">
              <w:rPr>
                <w:i/>
                <w:szCs w:val="24"/>
              </w:rPr>
              <w:t>7</w:t>
            </w:r>
          </w:p>
        </w:tc>
        <w:tc>
          <w:tcPr>
            <w:tcW w:w="680" w:type="dxa"/>
            <w:shd w:val="clear" w:color="auto" w:fill="auto"/>
          </w:tcPr>
          <w:p w:rsidR="00FB17E3" w:rsidRPr="00B93640" w:rsidRDefault="00FB17E3" w:rsidP="009E57E7">
            <w:pPr>
              <w:spacing w:after="0" w:line="240" w:lineRule="auto"/>
              <w:jc w:val="both"/>
              <w:rPr>
                <w:i/>
                <w:szCs w:val="24"/>
              </w:rPr>
            </w:pPr>
            <w:r w:rsidRPr="00B93640">
              <w:rPr>
                <w:i/>
                <w:szCs w:val="24"/>
              </w:rPr>
              <w:t>2</w:t>
            </w:r>
          </w:p>
        </w:tc>
        <w:tc>
          <w:tcPr>
            <w:tcW w:w="680" w:type="dxa"/>
            <w:shd w:val="clear" w:color="auto" w:fill="auto"/>
          </w:tcPr>
          <w:p w:rsidR="00FB17E3" w:rsidRPr="00B93640" w:rsidRDefault="00FB17E3" w:rsidP="009E57E7">
            <w:pPr>
              <w:spacing w:after="0" w:line="240" w:lineRule="auto"/>
              <w:jc w:val="both"/>
              <w:rPr>
                <w:i/>
                <w:szCs w:val="24"/>
              </w:rPr>
            </w:pPr>
            <w:r w:rsidRPr="00B93640">
              <w:rPr>
                <w:i/>
                <w:szCs w:val="24"/>
              </w:rPr>
              <w:t>7</w:t>
            </w:r>
          </w:p>
        </w:tc>
        <w:tc>
          <w:tcPr>
            <w:tcW w:w="680" w:type="dxa"/>
            <w:shd w:val="clear" w:color="auto" w:fill="auto"/>
          </w:tcPr>
          <w:p w:rsidR="00FB17E3" w:rsidRPr="00B93640" w:rsidRDefault="00FB17E3" w:rsidP="009E57E7">
            <w:pPr>
              <w:spacing w:after="0" w:line="240" w:lineRule="auto"/>
              <w:jc w:val="both"/>
              <w:rPr>
                <w:i/>
                <w:szCs w:val="24"/>
              </w:rPr>
            </w:pPr>
            <w:r w:rsidRPr="00B93640">
              <w:rPr>
                <w:i/>
                <w:szCs w:val="24"/>
              </w:rPr>
              <w:t>2</w:t>
            </w:r>
          </w:p>
        </w:tc>
        <w:tc>
          <w:tcPr>
            <w:tcW w:w="680" w:type="dxa"/>
            <w:shd w:val="clear" w:color="auto" w:fill="auto"/>
          </w:tcPr>
          <w:p w:rsidR="00FB17E3" w:rsidRPr="00B93640" w:rsidRDefault="00FB17E3" w:rsidP="009E57E7">
            <w:pPr>
              <w:spacing w:after="0" w:line="240" w:lineRule="auto"/>
              <w:jc w:val="both"/>
              <w:rPr>
                <w:i/>
                <w:szCs w:val="24"/>
              </w:rPr>
            </w:pPr>
            <w:r w:rsidRPr="00B93640">
              <w:rPr>
                <w:i/>
                <w:szCs w:val="24"/>
              </w:rPr>
              <w:t>2</w:t>
            </w:r>
          </w:p>
        </w:tc>
        <w:tc>
          <w:tcPr>
            <w:tcW w:w="680" w:type="dxa"/>
            <w:shd w:val="clear" w:color="auto" w:fill="auto"/>
          </w:tcPr>
          <w:p w:rsidR="00FB17E3" w:rsidRPr="00B93640" w:rsidRDefault="00FB17E3" w:rsidP="009E57E7">
            <w:pPr>
              <w:spacing w:after="0" w:line="240" w:lineRule="auto"/>
              <w:jc w:val="both"/>
              <w:rPr>
                <w:i/>
                <w:szCs w:val="24"/>
              </w:rPr>
            </w:pPr>
            <w:r w:rsidRPr="00B93640">
              <w:rPr>
                <w:i/>
                <w:szCs w:val="24"/>
              </w:rPr>
              <w:t>2</w:t>
            </w:r>
          </w:p>
        </w:tc>
        <w:tc>
          <w:tcPr>
            <w:tcW w:w="641" w:type="dxa"/>
            <w:shd w:val="clear" w:color="auto" w:fill="auto"/>
          </w:tcPr>
          <w:p w:rsidR="00FB17E3" w:rsidRPr="00B93640" w:rsidRDefault="00FB17E3" w:rsidP="009E57E7">
            <w:pPr>
              <w:spacing w:after="0" w:line="240" w:lineRule="auto"/>
              <w:jc w:val="both"/>
              <w:rPr>
                <w:i/>
                <w:szCs w:val="24"/>
              </w:rPr>
            </w:pPr>
            <w:r w:rsidRPr="00B93640">
              <w:rPr>
                <w:i/>
                <w:szCs w:val="24"/>
              </w:rPr>
              <w:t>1</w:t>
            </w:r>
          </w:p>
        </w:tc>
        <w:tc>
          <w:tcPr>
            <w:tcW w:w="923" w:type="dxa"/>
            <w:shd w:val="clear" w:color="auto" w:fill="auto"/>
          </w:tcPr>
          <w:p w:rsidR="00FB17E3" w:rsidRPr="00B93640" w:rsidRDefault="00FB17E3" w:rsidP="009E57E7">
            <w:pPr>
              <w:spacing w:after="0" w:line="240" w:lineRule="auto"/>
              <w:jc w:val="both"/>
              <w:rPr>
                <w:i/>
                <w:szCs w:val="24"/>
              </w:rPr>
            </w:pPr>
            <w:r w:rsidRPr="00B93640">
              <w:rPr>
                <w:i/>
                <w:szCs w:val="24"/>
              </w:rPr>
              <w:t>-</w:t>
            </w:r>
          </w:p>
        </w:tc>
        <w:tc>
          <w:tcPr>
            <w:tcW w:w="649" w:type="dxa"/>
            <w:shd w:val="clear" w:color="auto" w:fill="auto"/>
          </w:tcPr>
          <w:p w:rsidR="00FB17E3" w:rsidRPr="00B93640" w:rsidRDefault="00FB17E3" w:rsidP="009E57E7">
            <w:pPr>
              <w:spacing w:after="0" w:line="240" w:lineRule="auto"/>
              <w:jc w:val="both"/>
              <w:rPr>
                <w:i/>
                <w:szCs w:val="24"/>
              </w:rPr>
            </w:pPr>
            <w:r w:rsidRPr="00B93640">
              <w:rPr>
                <w:i/>
                <w:szCs w:val="24"/>
              </w:rPr>
              <w:t>40</w:t>
            </w:r>
          </w:p>
        </w:tc>
      </w:tr>
    </w:tbl>
    <w:p w:rsidR="00FB17E3" w:rsidRPr="00B93640" w:rsidRDefault="00FB17E3" w:rsidP="00FB17E3">
      <w:pPr>
        <w:spacing w:after="0"/>
        <w:ind w:left="720"/>
        <w:contextualSpacing/>
        <w:jc w:val="center"/>
        <w:rPr>
          <w:szCs w:val="24"/>
        </w:rPr>
      </w:pPr>
    </w:p>
    <w:p w:rsidR="00FB17E3" w:rsidRPr="00B93640" w:rsidRDefault="00FB17E3" w:rsidP="00FB17E3">
      <w:pPr>
        <w:spacing w:after="0" w:line="360" w:lineRule="auto"/>
        <w:jc w:val="both"/>
        <w:rPr>
          <w:szCs w:val="24"/>
        </w:rPr>
      </w:pPr>
      <w:r w:rsidRPr="00B93640">
        <w:rPr>
          <w:b/>
          <w:szCs w:val="24"/>
        </w:rPr>
        <w:tab/>
      </w:r>
      <w:r w:rsidRPr="00B93640">
        <w:rPr>
          <w:szCs w:val="24"/>
        </w:rPr>
        <w:t>Gyvenamas plotas vienam vaikui</w:t>
      </w:r>
      <w:r w:rsidRPr="00B93640">
        <w:rPr>
          <w:b/>
          <w:szCs w:val="24"/>
        </w:rPr>
        <w:t>.</w:t>
      </w:r>
      <w:r w:rsidRPr="00B93640">
        <w:rPr>
          <w:szCs w:val="24"/>
        </w:rPr>
        <w:t xml:space="preserve"> Vaikų globos namuose naudingo ploto yra 964,69 m².  Šeimynų kambarių bendras plotas yra 224,71 m². Vienam vaikui gyvenamo ploto atitenka 8,99 m². Visi kambariai apstatyti skoningai, estetiškai, yra tvarkingi. Visų šeimynų poilsio kambariuose yra minkštos dalys, televizoriai, kompiuteriai su internetu.</w:t>
      </w:r>
    </w:p>
    <w:p w:rsidR="00FB17E3" w:rsidRPr="00B93640" w:rsidRDefault="00FB17E3" w:rsidP="00FB17E3">
      <w:pPr>
        <w:spacing w:after="0" w:line="360" w:lineRule="auto"/>
        <w:jc w:val="both"/>
        <w:rPr>
          <w:szCs w:val="24"/>
        </w:rPr>
      </w:pPr>
      <w:r w:rsidRPr="00B93640">
        <w:rPr>
          <w:szCs w:val="24"/>
        </w:rPr>
        <w:tab/>
        <w:t>Kupiškio rajono Noriūnų k. esančiame padalinyje bendras plotas yra 82,20 m², vienam vaikui atitenka 13,70 m² gyvenamo ploto. Kupiškio mieste esančiame padalinyje bendras plotas yra 76,26 m², vienam vaikui – 12,71 m². Visos patalpos įrengtos atsižvelgiant į teisės aktų reikalavimus.</w:t>
      </w:r>
    </w:p>
    <w:p w:rsidR="00FB17E3" w:rsidRPr="00B93640" w:rsidRDefault="00FB17E3" w:rsidP="00FB17E3">
      <w:pPr>
        <w:spacing w:after="0" w:line="240" w:lineRule="auto"/>
        <w:jc w:val="center"/>
        <w:rPr>
          <w:b/>
          <w:szCs w:val="24"/>
        </w:rPr>
      </w:pPr>
      <w:r w:rsidRPr="00B93640">
        <w:rPr>
          <w:b/>
          <w:szCs w:val="24"/>
        </w:rPr>
        <w:t>II SKYRIUS</w:t>
      </w:r>
    </w:p>
    <w:p w:rsidR="00FB17E3" w:rsidRPr="00B93640" w:rsidRDefault="00FB17E3" w:rsidP="00FB17E3">
      <w:pPr>
        <w:spacing w:after="0" w:line="360" w:lineRule="auto"/>
        <w:jc w:val="center"/>
        <w:rPr>
          <w:b/>
          <w:szCs w:val="24"/>
        </w:rPr>
      </w:pPr>
      <w:r w:rsidRPr="00B93640">
        <w:rPr>
          <w:b/>
          <w:szCs w:val="24"/>
        </w:rPr>
        <w:t>GLOBOJAMO (RŪPINAMO) VAIKO GEROVĖS UŽTIKRINIMAS</w:t>
      </w:r>
    </w:p>
    <w:p w:rsidR="00FB17E3" w:rsidRPr="00B93640" w:rsidRDefault="00FB17E3" w:rsidP="00FB17E3">
      <w:pPr>
        <w:spacing w:after="0" w:line="360" w:lineRule="auto"/>
        <w:jc w:val="both"/>
        <w:rPr>
          <w:szCs w:val="24"/>
        </w:rPr>
      </w:pPr>
      <w:r w:rsidRPr="00B93640">
        <w:rPr>
          <w:b/>
          <w:szCs w:val="24"/>
        </w:rPr>
        <w:tab/>
      </w:r>
      <w:r w:rsidRPr="00B93640">
        <w:rPr>
          <w:szCs w:val="24"/>
        </w:rPr>
        <w:t>Sveikatos priežiūros paslaugų organizavimas – fizinė ir psichinė sveikata.</w:t>
      </w:r>
      <w:r w:rsidRPr="00B93640">
        <w:rPr>
          <w:b/>
          <w:szCs w:val="24"/>
        </w:rPr>
        <w:t xml:space="preserve"> </w:t>
      </w:r>
      <w:r w:rsidRPr="00B93640">
        <w:rPr>
          <w:szCs w:val="24"/>
        </w:rPr>
        <w:t xml:space="preserve">Kiekvienam globotiniui užtikrinama sveikatos priežiūros paslauga: teikiama pirmoji medicininė pagalba, atliekamas profilaktinis sveikatos patikrinimas iki rugsėjo 1 d., labai dažnai vaikai konsultuojami  ir gydomi Panevėžio, Vilniaus, Šiaulių sveikatos priežiūros įstaigose, kuriose teikiamos vaikų psichiatro, neurologo, endokrinologo, chirurgo-traumatologo, </w:t>
      </w:r>
      <w:proofErr w:type="spellStart"/>
      <w:r w:rsidRPr="00B93640">
        <w:rPr>
          <w:szCs w:val="24"/>
        </w:rPr>
        <w:t>ortodonto</w:t>
      </w:r>
      <w:proofErr w:type="spellEnd"/>
      <w:r w:rsidRPr="00B93640">
        <w:rPr>
          <w:szCs w:val="24"/>
        </w:rPr>
        <w:t xml:space="preserve"> ir kitų specialistų paslaugos. 8 globojamiems vaikams nustatytas vidutinis </w:t>
      </w:r>
      <w:proofErr w:type="spellStart"/>
      <w:r w:rsidRPr="00B93640">
        <w:rPr>
          <w:szCs w:val="24"/>
        </w:rPr>
        <w:t>neįgalumo</w:t>
      </w:r>
      <w:proofErr w:type="spellEnd"/>
      <w:r w:rsidRPr="00B93640">
        <w:rPr>
          <w:szCs w:val="24"/>
        </w:rPr>
        <w:t xml:space="preserve"> lygis, 1 vaikui lengvas, 6 vaikams diagnozuoti elgesio ir emocijų sutrikimai.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gridCol w:w="3147"/>
      </w:tblGrid>
      <w:tr w:rsidR="00FB17E3" w:rsidRPr="00B93640" w:rsidTr="009E57E7">
        <w:trPr>
          <w:trHeight w:val="30"/>
        </w:trPr>
        <w:tc>
          <w:tcPr>
            <w:tcW w:w="9634" w:type="dxa"/>
            <w:gridSpan w:val="2"/>
          </w:tcPr>
          <w:p w:rsidR="00FB17E3" w:rsidRPr="00B93640" w:rsidRDefault="00FB17E3" w:rsidP="009E57E7">
            <w:pPr>
              <w:jc w:val="center"/>
              <w:rPr>
                <w:rFonts w:eastAsia="Times New Roman"/>
                <w:szCs w:val="24"/>
                <w:lang w:eastAsia="lt-LT"/>
              </w:rPr>
            </w:pPr>
            <w:r w:rsidRPr="00B93640">
              <w:rPr>
                <w:rFonts w:eastAsia="Times New Roman"/>
                <w:szCs w:val="24"/>
                <w:lang w:eastAsia="lt-LT"/>
              </w:rPr>
              <w:t>Vaikų, kurie  2018 m. gavo sveikatos priežiūros paslaugas, skaičius</w:t>
            </w:r>
          </w:p>
        </w:tc>
      </w:tr>
      <w:tr w:rsidR="00FB17E3" w:rsidRPr="00B93640" w:rsidTr="009E57E7">
        <w:tblPrEx>
          <w:tblLook w:val="01E0"/>
        </w:tblPrEx>
        <w:tc>
          <w:tcPr>
            <w:tcW w:w="6487" w:type="dxa"/>
          </w:tcPr>
          <w:p w:rsidR="00FB17E3" w:rsidRPr="00B93640" w:rsidRDefault="00FB17E3" w:rsidP="009E57E7">
            <w:pPr>
              <w:spacing w:after="0" w:line="240" w:lineRule="auto"/>
              <w:jc w:val="both"/>
              <w:rPr>
                <w:rFonts w:eastAsia="Times New Roman"/>
                <w:szCs w:val="24"/>
                <w:lang w:eastAsia="lt-LT"/>
              </w:rPr>
            </w:pPr>
            <w:r w:rsidRPr="00B93640">
              <w:rPr>
                <w:rFonts w:eastAsia="Times New Roman"/>
                <w:szCs w:val="24"/>
                <w:lang w:eastAsia="lt-LT"/>
              </w:rPr>
              <w:t xml:space="preserve">a) dėl somatinių sveikatos sutrikimų, išskyrus </w:t>
            </w:r>
            <w:proofErr w:type="spellStart"/>
            <w:r w:rsidRPr="00B93640">
              <w:rPr>
                <w:rFonts w:eastAsia="Times New Roman"/>
                <w:szCs w:val="24"/>
                <w:lang w:eastAsia="lt-LT"/>
              </w:rPr>
              <w:t>odontologines</w:t>
            </w:r>
            <w:proofErr w:type="spellEnd"/>
            <w:r w:rsidRPr="00B93640">
              <w:rPr>
                <w:rFonts w:eastAsia="Times New Roman"/>
                <w:szCs w:val="24"/>
                <w:lang w:eastAsia="lt-LT"/>
              </w:rPr>
              <w:t xml:space="preserve"> paslaugas </w:t>
            </w:r>
          </w:p>
        </w:tc>
        <w:tc>
          <w:tcPr>
            <w:tcW w:w="3147" w:type="dxa"/>
          </w:tcPr>
          <w:p w:rsidR="00FB17E3" w:rsidRPr="00B93640" w:rsidRDefault="00FB17E3" w:rsidP="009E57E7">
            <w:pPr>
              <w:spacing w:after="0" w:line="240" w:lineRule="auto"/>
              <w:jc w:val="center"/>
              <w:rPr>
                <w:rFonts w:eastAsia="Times New Roman"/>
                <w:szCs w:val="24"/>
                <w:lang w:eastAsia="lt-LT"/>
              </w:rPr>
            </w:pPr>
            <w:r w:rsidRPr="00B93640">
              <w:rPr>
                <w:rFonts w:eastAsia="Times New Roman"/>
                <w:szCs w:val="24"/>
                <w:lang w:eastAsia="lt-LT"/>
              </w:rPr>
              <w:t>13</w:t>
            </w:r>
          </w:p>
          <w:p w:rsidR="00FB17E3" w:rsidRPr="00B93640" w:rsidRDefault="00FB17E3" w:rsidP="009E57E7">
            <w:pPr>
              <w:spacing w:after="0" w:line="240" w:lineRule="auto"/>
              <w:jc w:val="center"/>
              <w:rPr>
                <w:rFonts w:eastAsia="Times New Roman"/>
                <w:szCs w:val="24"/>
                <w:lang w:eastAsia="lt-LT"/>
              </w:rPr>
            </w:pPr>
          </w:p>
        </w:tc>
      </w:tr>
      <w:tr w:rsidR="00FB17E3" w:rsidRPr="00B93640" w:rsidTr="009E57E7">
        <w:tblPrEx>
          <w:tblLook w:val="01E0"/>
        </w:tblPrEx>
        <w:trPr>
          <w:trHeight w:val="700"/>
        </w:trPr>
        <w:tc>
          <w:tcPr>
            <w:tcW w:w="6487" w:type="dxa"/>
          </w:tcPr>
          <w:p w:rsidR="00FB17E3" w:rsidRPr="00B93640" w:rsidRDefault="00FB17E3" w:rsidP="009E57E7">
            <w:pPr>
              <w:spacing w:after="0" w:line="240" w:lineRule="auto"/>
              <w:rPr>
                <w:rFonts w:eastAsia="Times New Roman"/>
                <w:szCs w:val="24"/>
                <w:lang w:eastAsia="lt-LT"/>
              </w:rPr>
            </w:pPr>
            <w:r w:rsidRPr="00B93640">
              <w:rPr>
                <w:rFonts w:eastAsia="Times New Roman"/>
                <w:szCs w:val="24"/>
                <w:lang w:eastAsia="lt-LT"/>
              </w:rPr>
              <w:t>b) dėl elgesio, emocijų ar psichikos sutrikimų (išskyrus psichologų paslaugas);</w:t>
            </w:r>
          </w:p>
        </w:tc>
        <w:tc>
          <w:tcPr>
            <w:tcW w:w="3147" w:type="dxa"/>
          </w:tcPr>
          <w:p w:rsidR="00FB17E3" w:rsidRPr="00B93640" w:rsidRDefault="00FB17E3" w:rsidP="009E57E7">
            <w:pPr>
              <w:spacing w:after="0" w:line="240" w:lineRule="auto"/>
              <w:rPr>
                <w:rFonts w:eastAsia="Times New Roman"/>
                <w:szCs w:val="24"/>
                <w:lang w:eastAsia="lt-LT"/>
              </w:rPr>
            </w:pPr>
            <w:r w:rsidRPr="00B93640">
              <w:rPr>
                <w:rFonts w:eastAsia="Times New Roman"/>
                <w:szCs w:val="24"/>
                <w:lang w:eastAsia="lt-LT"/>
              </w:rPr>
              <w:t>Bendras vaikų skaičius – 8</w:t>
            </w:r>
          </w:p>
          <w:p w:rsidR="00FB17E3" w:rsidRPr="00B93640" w:rsidRDefault="00FB17E3" w:rsidP="009E57E7">
            <w:pPr>
              <w:spacing w:after="0" w:line="240" w:lineRule="auto"/>
              <w:rPr>
                <w:rFonts w:eastAsia="Times New Roman"/>
                <w:szCs w:val="24"/>
                <w:lang w:eastAsia="lt-LT"/>
              </w:rPr>
            </w:pPr>
            <w:r w:rsidRPr="00B93640">
              <w:rPr>
                <w:rFonts w:eastAsia="Times New Roman"/>
                <w:szCs w:val="24"/>
                <w:lang w:eastAsia="lt-LT"/>
              </w:rPr>
              <w:t>Iš jų gulėjo stacionaruose – 3</w:t>
            </w:r>
          </w:p>
        </w:tc>
      </w:tr>
      <w:tr w:rsidR="00FB17E3" w:rsidRPr="00B93640" w:rsidTr="009E57E7">
        <w:tblPrEx>
          <w:tblLook w:val="01E0"/>
        </w:tblPrEx>
        <w:tc>
          <w:tcPr>
            <w:tcW w:w="6487" w:type="dxa"/>
          </w:tcPr>
          <w:p w:rsidR="00FB17E3" w:rsidRPr="00B93640" w:rsidRDefault="00FB17E3" w:rsidP="009E57E7">
            <w:pPr>
              <w:spacing w:after="0" w:line="240" w:lineRule="auto"/>
              <w:jc w:val="both"/>
              <w:rPr>
                <w:rFonts w:eastAsia="Times New Roman"/>
                <w:szCs w:val="24"/>
                <w:lang w:eastAsia="lt-LT"/>
              </w:rPr>
            </w:pPr>
            <w:r w:rsidRPr="00B93640">
              <w:rPr>
                <w:rFonts w:eastAsia="Times New Roman"/>
                <w:szCs w:val="24"/>
                <w:lang w:eastAsia="lt-LT"/>
              </w:rPr>
              <w:t>c) vaikų, gavusių psichologines konsultacijas ne globos įstaigoje, skaičius;</w:t>
            </w:r>
          </w:p>
        </w:tc>
        <w:tc>
          <w:tcPr>
            <w:tcW w:w="3147" w:type="dxa"/>
          </w:tcPr>
          <w:p w:rsidR="00FB17E3" w:rsidRPr="00B93640" w:rsidRDefault="00FB17E3" w:rsidP="009E57E7">
            <w:pPr>
              <w:spacing w:after="0" w:line="240" w:lineRule="auto"/>
              <w:jc w:val="center"/>
              <w:rPr>
                <w:rFonts w:eastAsia="Times New Roman"/>
                <w:szCs w:val="24"/>
                <w:lang w:eastAsia="lt-LT"/>
              </w:rPr>
            </w:pPr>
            <w:r w:rsidRPr="00B93640">
              <w:rPr>
                <w:rFonts w:eastAsia="Times New Roman"/>
                <w:szCs w:val="24"/>
                <w:lang w:eastAsia="lt-LT"/>
              </w:rPr>
              <w:t>20</w:t>
            </w:r>
          </w:p>
          <w:p w:rsidR="00FB17E3" w:rsidRPr="00B93640" w:rsidRDefault="00FB17E3" w:rsidP="009E57E7">
            <w:pPr>
              <w:spacing w:after="0" w:line="240" w:lineRule="auto"/>
              <w:jc w:val="center"/>
              <w:rPr>
                <w:rFonts w:eastAsia="Times New Roman"/>
                <w:b/>
                <w:szCs w:val="24"/>
                <w:lang w:eastAsia="lt-LT"/>
              </w:rPr>
            </w:pPr>
          </w:p>
        </w:tc>
      </w:tr>
      <w:tr w:rsidR="00FB17E3" w:rsidRPr="00B93640" w:rsidTr="009E57E7">
        <w:tblPrEx>
          <w:tblLook w:val="01E0"/>
        </w:tblPrEx>
        <w:trPr>
          <w:trHeight w:val="579"/>
        </w:trPr>
        <w:tc>
          <w:tcPr>
            <w:tcW w:w="6487" w:type="dxa"/>
          </w:tcPr>
          <w:p w:rsidR="00FB17E3" w:rsidRPr="00B93640" w:rsidRDefault="00FB17E3" w:rsidP="009E57E7">
            <w:pPr>
              <w:spacing w:after="0" w:line="240" w:lineRule="auto"/>
              <w:rPr>
                <w:rFonts w:eastAsia="Times New Roman"/>
                <w:szCs w:val="24"/>
                <w:lang w:eastAsia="lt-LT"/>
              </w:rPr>
            </w:pPr>
            <w:r w:rsidRPr="00B93640">
              <w:rPr>
                <w:rFonts w:eastAsia="Times New Roman"/>
                <w:szCs w:val="24"/>
                <w:lang w:eastAsia="lt-LT"/>
              </w:rPr>
              <w:t xml:space="preserve">d) vaikų, gavusių </w:t>
            </w:r>
            <w:proofErr w:type="spellStart"/>
            <w:r w:rsidRPr="00B93640">
              <w:rPr>
                <w:rFonts w:eastAsia="Times New Roman"/>
                <w:szCs w:val="24"/>
                <w:lang w:eastAsia="lt-LT"/>
              </w:rPr>
              <w:t>odontologų</w:t>
            </w:r>
            <w:proofErr w:type="spellEnd"/>
            <w:r w:rsidRPr="00B93640">
              <w:rPr>
                <w:rFonts w:eastAsia="Times New Roman"/>
                <w:szCs w:val="24"/>
                <w:lang w:eastAsia="lt-LT"/>
              </w:rPr>
              <w:t xml:space="preserve"> paslaugas, skaičius;</w:t>
            </w:r>
          </w:p>
          <w:p w:rsidR="00FB17E3" w:rsidRPr="00B93640" w:rsidRDefault="00FB17E3" w:rsidP="009E57E7">
            <w:pPr>
              <w:spacing w:after="0" w:line="240" w:lineRule="auto"/>
              <w:rPr>
                <w:rFonts w:eastAsia="Times New Roman"/>
                <w:szCs w:val="24"/>
                <w:lang w:eastAsia="lt-LT"/>
              </w:rPr>
            </w:pPr>
          </w:p>
        </w:tc>
        <w:tc>
          <w:tcPr>
            <w:tcW w:w="3147" w:type="dxa"/>
          </w:tcPr>
          <w:p w:rsidR="00FB17E3" w:rsidRPr="00B93640" w:rsidRDefault="00FB17E3" w:rsidP="009E57E7">
            <w:pPr>
              <w:spacing w:after="0" w:line="240" w:lineRule="auto"/>
              <w:jc w:val="both"/>
              <w:rPr>
                <w:rFonts w:eastAsia="Times New Roman"/>
                <w:szCs w:val="24"/>
                <w:lang w:eastAsia="lt-LT"/>
              </w:rPr>
            </w:pPr>
            <w:proofErr w:type="spellStart"/>
            <w:r w:rsidRPr="00B93640">
              <w:rPr>
                <w:rFonts w:eastAsia="Times New Roman"/>
                <w:szCs w:val="24"/>
                <w:lang w:eastAsia="lt-LT"/>
              </w:rPr>
              <w:t>Silantai</w:t>
            </w:r>
            <w:proofErr w:type="spellEnd"/>
            <w:r w:rsidRPr="00B93640">
              <w:rPr>
                <w:rFonts w:eastAsia="Times New Roman"/>
                <w:szCs w:val="24"/>
                <w:lang w:eastAsia="lt-LT"/>
              </w:rPr>
              <w:t xml:space="preserve"> – 6 </w:t>
            </w:r>
          </w:p>
          <w:p w:rsidR="00FB17E3" w:rsidRPr="00B93640" w:rsidRDefault="00FB17E3" w:rsidP="009E57E7">
            <w:pPr>
              <w:spacing w:after="0" w:line="240" w:lineRule="auto"/>
              <w:jc w:val="both"/>
              <w:rPr>
                <w:rFonts w:eastAsia="Times New Roman"/>
                <w:b/>
                <w:i/>
                <w:szCs w:val="24"/>
                <w:lang w:eastAsia="lt-LT"/>
              </w:rPr>
            </w:pPr>
            <w:r w:rsidRPr="00B93640">
              <w:rPr>
                <w:rFonts w:eastAsia="Times New Roman"/>
                <w:szCs w:val="24"/>
                <w:lang w:eastAsia="lt-LT"/>
              </w:rPr>
              <w:t>Dantų taisymas – 29</w:t>
            </w:r>
          </w:p>
        </w:tc>
      </w:tr>
      <w:tr w:rsidR="00FB17E3" w:rsidRPr="00B93640" w:rsidTr="009E57E7">
        <w:tblPrEx>
          <w:tblLook w:val="01E0"/>
        </w:tblPrEx>
        <w:trPr>
          <w:trHeight w:val="610"/>
        </w:trPr>
        <w:tc>
          <w:tcPr>
            <w:tcW w:w="6487" w:type="dxa"/>
          </w:tcPr>
          <w:p w:rsidR="00FB17E3" w:rsidRPr="00B93640" w:rsidRDefault="00FB17E3" w:rsidP="009E57E7">
            <w:pPr>
              <w:spacing w:after="0" w:line="240" w:lineRule="auto"/>
              <w:jc w:val="both"/>
              <w:rPr>
                <w:rFonts w:eastAsia="Times New Roman"/>
                <w:szCs w:val="24"/>
                <w:lang w:eastAsia="lt-LT"/>
              </w:rPr>
            </w:pPr>
            <w:r w:rsidRPr="00B93640">
              <w:rPr>
                <w:rFonts w:eastAsia="Times New Roman"/>
                <w:szCs w:val="24"/>
                <w:lang w:eastAsia="lt-LT"/>
              </w:rPr>
              <w:t xml:space="preserve">e) vaikų, gavusių </w:t>
            </w:r>
            <w:proofErr w:type="spellStart"/>
            <w:r w:rsidRPr="00B93640">
              <w:rPr>
                <w:rFonts w:eastAsia="Times New Roman"/>
                <w:szCs w:val="24"/>
                <w:lang w:eastAsia="lt-LT"/>
              </w:rPr>
              <w:t>spec</w:t>
            </w:r>
            <w:proofErr w:type="spellEnd"/>
            <w:r w:rsidRPr="00B93640">
              <w:rPr>
                <w:rFonts w:eastAsia="Times New Roman"/>
                <w:szCs w:val="24"/>
                <w:lang w:eastAsia="lt-LT"/>
              </w:rPr>
              <w:t>. pedagogo, logopedo ir psichologo paslaugas įstaigoje, skaičius;</w:t>
            </w:r>
          </w:p>
        </w:tc>
        <w:tc>
          <w:tcPr>
            <w:tcW w:w="3147" w:type="dxa"/>
          </w:tcPr>
          <w:p w:rsidR="00FB17E3" w:rsidRPr="00B93640" w:rsidRDefault="00FB17E3" w:rsidP="009E57E7">
            <w:pPr>
              <w:spacing w:after="0" w:line="240" w:lineRule="auto"/>
              <w:jc w:val="center"/>
              <w:rPr>
                <w:rFonts w:eastAsia="Times New Roman"/>
                <w:szCs w:val="24"/>
                <w:lang w:eastAsia="lt-LT"/>
              </w:rPr>
            </w:pPr>
            <w:r w:rsidRPr="00B93640">
              <w:rPr>
                <w:rFonts w:eastAsia="Times New Roman"/>
                <w:szCs w:val="24"/>
                <w:lang w:eastAsia="lt-LT"/>
              </w:rPr>
              <w:t>35</w:t>
            </w:r>
          </w:p>
        </w:tc>
      </w:tr>
      <w:tr w:rsidR="00FB17E3" w:rsidRPr="00B93640" w:rsidTr="009E57E7">
        <w:tblPrEx>
          <w:tblLook w:val="01E0"/>
        </w:tblPrEx>
        <w:trPr>
          <w:trHeight w:val="355"/>
        </w:trPr>
        <w:tc>
          <w:tcPr>
            <w:tcW w:w="6487" w:type="dxa"/>
          </w:tcPr>
          <w:p w:rsidR="00FB17E3" w:rsidRPr="00B93640" w:rsidRDefault="00FB17E3" w:rsidP="009E57E7">
            <w:pPr>
              <w:spacing w:after="0" w:line="360" w:lineRule="auto"/>
              <w:rPr>
                <w:rFonts w:eastAsia="Times New Roman"/>
                <w:szCs w:val="24"/>
                <w:lang w:eastAsia="lt-LT"/>
              </w:rPr>
            </w:pPr>
            <w:r w:rsidRPr="00B93640">
              <w:rPr>
                <w:rFonts w:eastAsia="Times New Roman"/>
                <w:szCs w:val="24"/>
                <w:lang w:eastAsia="lt-LT"/>
              </w:rPr>
              <w:t>f) vaikų, kurie lankėsi Vaiko raidos centre, skaičius.</w:t>
            </w:r>
          </w:p>
        </w:tc>
        <w:tc>
          <w:tcPr>
            <w:tcW w:w="3147" w:type="dxa"/>
          </w:tcPr>
          <w:p w:rsidR="00FB17E3" w:rsidRPr="00B93640" w:rsidRDefault="00FB17E3" w:rsidP="009E57E7">
            <w:pPr>
              <w:spacing w:after="0" w:line="360" w:lineRule="auto"/>
              <w:jc w:val="center"/>
              <w:rPr>
                <w:rFonts w:eastAsia="Times New Roman"/>
                <w:szCs w:val="24"/>
                <w:lang w:eastAsia="lt-LT"/>
              </w:rPr>
            </w:pPr>
            <w:r w:rsidRPr="00B93640">
              <w:rPr>
                <w:rFonts w:eastAsia="Times New Roman"/>
                <w:szCs w:val="24"/>
                <w:lang w:eastAsia="lt-LT"/>
              </w:rPr>
              <w:t>3</w:t>
            </w:r>
          </w:p>
        </w:tc>
      </w:tr>
    </w:tbl>
    <w:p w:rsidR="00FB17E3" w:rsidRPr="00B93640" w:rsidRDefault="00FB17E3" w:rsidP="00FB17E3">
      <w:pPr>
        <w:spacing w:after="0" w:line="360" w:lineRule="auto"/>
        <w:ind w:firstLine="1296"/>
        <w:jc w:val="both"/>
        <w:rPr>
          <w:b/>
          <w:szCs w:val="24"/>
        </w:rPr>
      </w:pPr>
    </w:p>
    <w:p w:rsidR="00FB17E3" w:rsidRPr="00B93640" w:rsidRDefault="00FB17E3" w:rsidP="00FB17E3">
      <w:pPr>
        <w:spacing w:after="0" w:line="360" w:lineRule="auto"/>
        <w:ind w:firstLine="1296"/>
        <w:jc w:val="both"/>
        <w:rPr>
          <w:rFonts w:eastAsia="Times New Roman"/>
          <w:szCs w:val="24"/>
          <w:lang w:eastAsia="lt-LT"/>
        </w:rPr>
      </w:pPr>
      <w:r w:rsidRPr="00B93640">
        <w:rPr>
          <w:szCs w:val="24"/>
        </w:rPr>
        <w:t>Formaliojo ir neformaliojo ugdymo užtikrinimas.</w:t>
      </w:r>
      <w:r w:rsidRPr="00B93640">
        <w:rPr>
          <w:b/>
          <w:szCs w:val="24"/>
        </w:rPr>
        <w:t xml:space="preserve"> </w:t>
      </w:r>
      <w:r w:rsidRPr="00B93640">
        <w:rPr>
          <w:szCs w:val="24"/>
        </w:rPr>
        <w:t xml:space="preserve">Vaikų globos namų globotinių/rūpintinių kokybiškas ugdymas užtikrinamas parenkant jų ugdymosi poreikius bei vaikų amžių atitinkančias ugdymo įstaigas. 24 vaikai turi specialiųjų ugdymosi poreikių: </w:t>
      </w:r>
      <w:r w:rsidRPr="00B93640">
        <w:rPr>
          <w:rFonts w:eastAsia="Times New Roman"/>
          <w:szCs w:val="24"/>
          <w:lang w:eastAsia="lt-LT"/>
        </w:rPr>
        <w:t>15 vaikų mokėsi pagal pritaikytas bendrojo ugdymo programas, 9 – pagal individualizuotas specialiojo ugdymo programas.</w:t>
      </w:r>
    </w:p>
    <w:p w:rsidR="00FB17E3" w:rsidRPr="00B93640" w:rsidRDefault="00FB17E3" w:rsidP="00FB17E3">
      <w:pPr>
        <w:spacing w:after="0" w:line="360" w:lineRule="auto"/>
        <w:jc w:val="both"/>
        <w:rPr>
          <w:rFonts w:eastAsia="Times New Roman"/>
          <w:szCs w:val="24"/>
          <w:lang w:eastAsia="lt-LT"/>
        </w:rPr>
      </w:pPr>
      <w:r w:rsidRPr="00B93640">
        <w:rPr>
          <w:rFonts w:eastAsia="Times New Roman"/>
          <w:szCs w:val="24"/>
          <w:lang w:eastAsia="lt-LT"/>
        </w:rPr>
        <w:tab/>
      </w:r>
      <w:r w:rsidRPr="00B93640">
        <w:rPr>
          <w:szCs w:val="24"/>
        </w:rPr>
        <w:t xml:space="preserve">Nuo 2018 m. rugsėjo 1 d. 1 vaikas lankė ikimokyklinio ugdymo grupę Kupiškio mokykloje „Varpelis“, 2 vaikai – Kupiškio mokyklos „Varpelis“ </w:t>
      </w:r>
      <w:proofErr w:type="spellStart"/>
      <w:r w:rsidRPr="00B93640">
        <w:rPr>
          <w:szCs w:val="24"/>
        </w:rPr>
        <w:t>spec</w:t>
      </w:r>
      <w:proofErr w:type="spellEnd"/>
      <w:r w:rsidRPr="00B93640">
        <w:rPr>
          <w:szCs w:val="24"/>
        </w:rPr>
        <w:t xml:space="preserve">. grupę, 8 – Kupiškio r. </w:t>
      </w:r>
      <w:proofErr w:type="spellStart"/>
      <w:r w:rsidRPr="00B93640">
        <w:rPr>
          <w:szCs w:val="24"/>
        </w:rPr>
        <w:t>Šepetos</w:t>
      </w:r>
      <w:proofErr w:type="spellEnd"/>
      <w:r w:rsidRPr="00B93640">
        <w:rPr>
          <w:szCs w:val="24"/>
        </w:rPr>
        <w:t xml:space="preserve"> </w:t>
      </w:r>
      <w:proofErr w:type="spellStart"/>
      <w:r w:rsidRPr="00B93640">
        <w:rPr>
          <w:szCs w:val="24"/>
        </w:rPr>
        <w:t>Almos</w:t>
      </w:r>
      <w:proofErr w:type="spellEnd"/>
      <w:r w:rsidRPr="00B93640">
        <w:rPr>
          <w:szCs w:val="24"/>
        </w:rPr>
        <w:t xml:space="preserve"> Adamkienės pagrindinę mokyklą, 8 – Kupiškio r. Noriūnų Jono Černiaus pagrindinę mokyklą, 3 – Kupiškio Povilo Matulionio progimnaziją, 2 – Kupiškio Lauryno Stuokos-Gucevičiaus gimnaziją, 3 – Kupiškio technologijos ir verslo mokyklą, 1 – Biržų technologijos ir verslo mokymo centro Vabalninko skyrių, 6 globotiniai mokėsi Panevėžio  „Šviesos“ specialiojo ugdymo centre, 1 – Pasvalio specialiojoje mokykloje, 1 – Panevėžio kurčiųjų ir neprigirdinčiųjų pagrindinėje mokykloje. Nuo 2018 m. lapkričio 29 d. 3 vaikai lankė Subačiaus gimnaziją. Ugdymo įstaigas globotiniai pasiekė įvairiais būdais: į </w:t>
      </w:r>
      <w:proofErr w:type="spellStart"/>
      <w:r w:rsidRPr="00B93640">
        <w:rPr>
          <w:szCs w:val="24"/>
        </w:rPr>
        <w:t>Noriūnus</w:t>
      </w:r>
      <w:proofErr w:type="spellEnd"/>
      <w:r w:rsidRPr="00B93640">
        <w:rPr>
          <w:szCs w:val="24"/>
        </w:rPr>
        <w:t xml:space="preserve">, į </w:t>
      </w:r>
      <w:proofErr w:type="spellStart"/>
      <w:r w:rsidRPr="00B93640">
        <w:rPr>
          <w:szCs w:val="24"/>
        </w:rPr>
        <w:t>Šepetą</w:t>
      </w:r>
      <w:proofErr w:type="spellEnd"/>
      <w:r w:rsidRPr="00B93640">
        <w:rPr>
          <w:szCs w:val="24"/>
        </w:rPr>
        <w:t xml:space="preserve"> ir į Vabalninką važiavo mokykliniais autobusais. Į Kupiškio miesto ugdymo įstaigas rytais vaikai buvo nuvežami Vaikų globos namų transportu, o po pietų buvo parvežami arba grįžo pėsčiomis. </w:t>
      </w:r>
    </w:p>
    <w:p w:rsidR="00FB17E3" w:rsidRPr="00B93640" w:rsidRDefault="00FB17E3" w:rsidP="00FB17E3">
      <w:pPr>
        <w:spacing w:after="0" w:line="360" w:lineRule="auto"/>
        <w:ind w:firstLine="1298"/>
        <w:jc w:val="both"/>
        <w:rPr>
          <w:rFonts w:eastAsia="Times New Roman"/>
          <w:szCs w:val="24"/>
          <w:lang w:eastAsia="lt-LT"/>
        </w:rPr>
      </w:pPr>
      <w:r w:rsidRPr="00B93640">
        <w:rPr>
          <w:rFonts w:eastAsia="Times New Roman"/>
          <w:szCs w:val="24"/>
          <w:lang w:eastAsia="lt-LT"/>
        </w:rPr>
        <w:t xml:space="preserve">Dauguma Vaikų globos namų vaikų dalyvavo mokyklose veikiančiuose papildomuose užsiėmimuose po pamokų. Vaikai buvo skatinami rinktis neformaliojo vaikų švietimo (NVŠ) programas. Mokyklose būrelius lankė: sporto (krepšinio, teniso, kvadrato) – 6 vaikai, muzikos – 3 vaikai, tyrinėtojų būrelį „Giliukai“ – 2 vaikai, dailės būrelį – 1 vaikas, jaunųjų turistų būrelį – 1 vaikas, mergaičių grupę „Lytiškumo ir higienos ugdymas“ – 1 vaikas. Kupiškio kūno kultūros ir sporto centre futbolą lankė 3 vaikai. NVŠ programos: „Kalbėkime ir dainuokime </w:t>
      </w:r>
      <w:proofErr w:type="spellStart"/>
      <w:r w:rsidRPr="00B93640">
        <w:rPr>
          <w:rFonts w:eastAsia="Times New Roman"/>
          <w:szCs w:val="24"/>
          <w:lang w:eastAsia="lt-LT"/>
        </w:rPr>
        <w:t>kupiškėniškai</w:t>
      </w:r>
      <w:proofErr w:type="spellEnd"/>
      <w:r w:rsidRPr="00B93640">
        <w:rPr>
          <w:rFonts w:eastAsia="Times New Roman"/>
          <w:szCs w:val="24"/>
          <w:lang w:eastAsia="lt-LT"/>
        </w:rPr>
        <w:t>“ lankė 5 vaikai, Jaunieji šauliai – 3 vaikai, šokiai – 2 vaikai, krepšinis – 2 vaikai, dailės būrelis – 4 vaikai. 3 globotiniai lankė futbolą Kupiškio r. kūno kultūros ir sporto centre.</w:t>
      </w:r>
    </w:p>
    <w:p w:rsidR="00FB17E3" w:rsidRPr="00B93640" w:rsidRDefault="00FB17E3" w:rsidP="00FB17E3">
      <w:pPr>
        <w:spacing w:after="0" w:line="360" w:lineRule="auto"/>
        <w:ind w:firstLine="1296"/>
        <w:jc w:val="both"/>
        <w:rPr>
          <w:szCs w:val="24"/>
        </w:rPr>
      </w:pPr>
      <w:r w:rsidRPr="00B93640">
        <w:rPr>
          <w:szCs w:val="24"/>
        </w:rPr>
        <w:t xml:space="preserve">Vidutiniškai nuo 10 iki 40 </w:t>
      </w:r>
      <w:proofErr w:type="spellStart"/>
      <w:r w:rsidRPr="00B93640">
        <w:rPr>
          <w:szCs w:val="24"/>
        </w:rPr>
        <w:t>Eur</w:t>
      </w:r>
      <w:proofErr w:type="spellEnd"/>
      <w:r w:rsidRPr="00B93640">
        <w:rPr>
          <w:szCs w:val="24"/>
        </w:rPr>
        <w:t xml:space="preserve">  per metus buvo skiriama vaikui papildomoms lėšoms, reikalingoms ugdymo įstaigose (šventėms, įvairioms ekskursijoms, išvykoms, teatrams, edukacinėms pamokoms ir pan.).</w:t>
      </w:r>
    </w:p>
    <w:p w:rsidR="00FB17E3" w:rsidRPr="00B93640" w:rsidRDefault="00FB17E3" w:rsidP="00FB17E3">
      <w:pPr>
        <w:spacing w:after="0" w:line="360" w:lineRule="auto"/>
        <w:jc w:val="both"/>
        <w:rPr>
          <w:szCs w:val="24"/>
        </w:rPr>
      </w:pPr>
      <w:r w:rsidRPr="00B93640">
        <w:rPr>
          <w:b/>
          <w:szCs w:val="24"/>
        </w:rPr>
        <w:tab/>
      </w:r>
      <w:r w:rsidRPr="00B93640">
        <w:rPr>
          <w:szCs w:val="24"/>
        </w:rPr>
        <w:t>Vaiko socialiniai ryšiai.</w:t>
      </w:r>
      <w:r w:rsidRPr="00B93640">
        <w:rPr>
          <w:b/>
          <w:szCs w:val="24"/>
        </w:rPr>
        <w:t xml:space="preserve"> </w:t>
      </w:r>
      <w:r w:rsidRPr="00B93640">
        <w:rPr>
          <w:szCs w:val="24"/>
        </w:rPr>
        <w:t>Per 2018 m. Vaikų globos namai pasirašė 9 sutartis su nuolat Lietuvos Respublikoje gyvenančiais asmenimis dėl globotinių/rūpintinių laikino svečiavimosi šeimoje. 2 sutartys buvo pasirašytos su asmenimis, kurie nėra su vaiku susiję giminystės ryšiais, 9 sutartys pasirašytos su globojamų vaikų giminaičiais.</w:t>
      </w:r>
    </w:p>
    <w:p w:rsidR="00FB17E3" w:rsidRPr="00B93640" w:rsidRDefault="00FB17E3" w:rsidP="00FB17E3">
      <w:pPr>
        <w:spacing w:after="0" w:line="360" w:lineRule="auto"/>
        <w:jc w:val="both"/>
        <w:rPr>
          <w:b/>
          <w:szCs w:val="24"/>
        </w:rPr>
      </w:pPr>
      <w:r w:rsidRPr="00B93640">
        <w:rPr>
          <w:szCs w:val="24"/>
        </w:rPr>
        <w:tab/>
        <w:t>Viena iš Vaikų globos namų funkcijų yra skatinti vaikus palaikyti ryšius su savo biologiniais tėvais, jei bendravimas nepažeidžia vaikų interesų ar nėra kitokių teisinių apribojimų. Vaikams leidžiama telefonu bendrauti su tėvais ar kitais giminaičiais, vaikai gali būti lankomi globos namuose.</w:t>
      </w:r>
      <w:r w:rsidRPr="00B93640">
        <w:rPr>
          <w:b/>
          <w:szCs w:val="24"/>
        </w:rPr>
        <w:tab/>
      </w:r>
    </w:p>
    <w:p w:rsidR="00FB17E3" w:rsidRPr="00B93640" w:rsidRDefault="00FB17E3" w:rsidP="00FB17E3">
      <w:pPr>
        <w:spacing w:after="0" w:line="360" w:lineRule="auto"/>
        <w:ind w:firstLine="1296"/>
        <w:jc w:val="both"/>
        <w:rPr>
          <w:szCs w:val="24"/>
        </w:rPr>
      </w:pPr>
      <w:r w:rsidRPr="00B93640">
        <w:rPr>
          <w:szCs w:val="24"/>
        </w:rPr>
        <w:t>Maitinimo paslaugų organizavimas.</w:t>
      </w:r>
      <w:r w:rsidRPr="00B93640">
        <w:rPr>
          <w:b/>
          <w:szCs w:val="24"/>
        </w:rPr>
        <w:t xml:space="preserve"> </w:t>
      </w:r>
      <w:r w:rsidRPr="00B93640">
        <w:rPr>
          <w:szCs w:val="24"/>
        </w:rPr>
        <w:t>Vaikų globos namuose vaikai maitinami 4 kartus, ugdymo įstaigose – 1 kartą.</w:t>
      </w:r>
      <w:r w:rsidRPr="00B93640">
        <w:rPr>
          <w:b/>
          <w:szCs w:val="24"/>
        </w:rPr>
        <w:t xml:space="preserve"> </w:t>
      </w:r>
    </w:p>
    <w:p w:rsidR="00FB17E3" w:rsidRPr="00B93640" w:rsidRDefault="00FB17E3" w:rsidP="00FB17E3">
      <w:pPr>
        <w:spacing w:after="0" w:line="360" w:lineRule="auto"/>
        <w:jc w:val="both"/>
        <w:rPr>
          <w:szCs w:val="24"/>
        </w:rPr>
      </w:pPr>
      <w:r w:rsidRPr="00B93640">
        <w:rPr>
          <w:b/>
          <w:szCs w:val="24"/>
        </w:rPr>
        <w:tab/>
      </w:r>
      <w:r w:rsidRPr="00B93640">
        <w:rPr>
          <w:szCs w:val="24"/>
        </w:rPr>
        <w:t>Savarankiško gyvenimo įgūdžių formavimas.</w:t>
      </w:r>
      <w:r w:rsidRPr="00B93640">
        <w:rPr>
          <w:b/>
          <w:szCs w:val="24"/>
        </w:rPr>
        <w:t xml:space="preserve"> </w:t>
      </w:r>
      <w:r w:rsidRPr="00B93640">
        <w:rPr>
          <w:szCs w:val="24"/>
        </w:rPr>
        <w:t xml:space="preserve">Vaikų globos namų globotiniams (rūpintiniams) skiriami kišenpinigiai:  7–18 m. amžiaus vaikams po 15,20 </w:t>
      </w:r>
      <w:proofErr w:type="spellStart"/>
      <w:r w:rsidRPr="00B93640">
        <w:rPr>
          <w:szCs w:val="24"/>
        </w:rPr>
        <w:t>Eur</w:t>
      </w:r>
      <w:proofErr w:type="spellEnd"/>
      <w:r w:rsidRPr="00B93640">
        <w:rPr>
          <w:szCs w:val="24"/>
        </w:rPr>
        <w:t>. Skatinamas jų tikslingas panaudojimas, taupymas, ugdomi apsipirkimo įgūdžiai.</w:t>
      </w:r>
    </w:p>
    <w:p w:rsidR="00FB17E3" w:rsidRPr="00B93640" w:rsidRDefault="00FB17E3" w:rsidP="00FB17E3">
      <w:pPr>
        <w:spacing w:after="0" w:line="360" w:lineRule="auto"/>
        <w:ind w:firstLine="1298"/>
        <w:jc w:val="both"/>
        <w:rPr>
          <w:szCs w:val="24"/>
        </w:rPr>
      </w:pPr>
      <w:r w:rsidRPr="00B93640">
        <w:rPr>
          <w:b/>
          <w:szCs w:val="24"/>
        </w:rPr>
        <w:t xml:space="preserve">Vaikų užimtumas. </w:t>
      </w:r>
      <w:r w:rsidRPr="00B93640">
        <w:rPr>
          <w:szCs w:val="24"/>
        </w:rPr>
        <w:t>Sausio mėn.</w:t>
      </w:r>
      <w:r w:rsidRPr="00B93640">
        <w:rPr>
          <w:i/>
          <w:szCs w:val="24"/>
        </w:rPr>
        <w:t xml:space="preserve"> </w:t>
      </w:r>
      <w:r w:rsidRPr="00B93640">
        <w:rPr>
          <w:szCs w:val="24"/>
        </w:rPr>
        <w:t xml:space="preserve">prasidėjo Naujųjų metų švente, vyko šventinė diskoteka. Darbuotojai ir vaikai dalyvavo Trijų Karalių šventėje Kupiškio parapijos namuose. Buvo minima Laisvės gynėjų diena: dalyvauta akcijoje „Atmintis gyva, nes liudija“. Suorganizuota ekskursija į Anykščius, apsilankyta baseine. Buvo atidaryta vaikų piešinių paroda „Žiemos linksmybės“ bibliotekoje. </w:t>
      </w:r>
    </w:p>
    <w:p w:rsidR="00FB17E3" w:rsidRPr="00B93640" w:rsidRDefault="00FB17E3" w:rsidP="00FB17E3">
      <w:pPr>
        <w:spacing w:after="0" w:line="360" w:lineRule="auto"/>
        <w:ind w:firstLine="1298"/>
        <w:jc w:val="both"/>
        <w:rPr>
          <w:szCs w:val="24"/>
        </w:rPr>
      </w:pPr>
      <w:r w:rsidRPr="00B93640">
        <w:rPr>
          <w:szCs w:val="24"/>
        </w:rPr>
        <w:t xml:space="preserve">Vasario mėn. 16 d. vaikų globos namų jaunieji šauliai dalyvavo miesto šventės rikiuotėje. Vaikų globos namuose vyko Vasario 16 – </w:t>
      </w:r>
      <w:proofErr w:type="spellStart"/>
      <w:r w:rsidRPr="00B93640">
        <w:rPr>
          <w:szCs w:val="24"/>
        </w:rPr>
        <w:t>osios</w:t>
      </w:r>
      <w:proofErr w:type="spellEnd"/>
      <w:r w:rsidRPr="00B93640">
        <w:rPr>
          <w:szCs w:val="24"/>
        </w:rPr>
        <w:t xml:space="preserve"> šventės paminėjimas, darbuotojai ir  globotiniai įsijungė į akciją „100 darbų, skirtų Lietuvai“. Vyko vasario 14 – </w:t>
      </w:r>
      <w:proofErr w:type="spellStart"/>
      <w:r w:rsidRPr="00B93640">
        <w:rPr>
          <w:szCs w:val="24"/>
        </w:rPr>
        <w:t>osios</w:t>
      </w:r>
      <w:proofErr w:type="spellEnd"/>
      <w:r w:rsidRPr="00B93640">
        <w:rPr>
          <w:szCs w:val="24"/>
        </w:rPr>
        <w:t xml:space="preserve"> šventė. Vaikų globos namuose vyko karpinių edukacinis užsiėmimas su tautodailininke Virginija </w:t>
      </w:r>
      <w:proofErr w:type="spellStart"/>
      <w:r w:rsidRPr="00B93640">
        <w:rPr>
          <w:szCs w:val="24"/>
        </w:rPr>
        <w:t>Jurevičiene</w:t>
      </w:r>
      <w:proofErr w:type="spellEnd"/>
      <w:r w:rsidRPr="00B93640">
        <w:rPr>
          <w:szCs w:val="24"/>
        </w:rPr>
        <w:t xml:space="preserve">, Rimvydas </w:t>
      </w:r>
      <w:proofErr w:type="spellStart"/>
      <w:r w:rsidRPr="00B93640">
        <w:rPr>
          <w:szCs w:val="24"/>
        </w:rPr>
        <w:t>Latvys</w:t>
      </w:r>
      <w:proofErr w:type="spellEnd"/>
      <w:r w:rsidRPr="00B93640">
        <w:rPr>
          <w:szCs w:val="24"/>
        </w:rPr>
        <w:t xml:space="preserve"> vedė kompiuterinio raštingumo pamoką, vyko irklavimo varžybos su Consept2 treniruokliais, edukacinę veiklą „Lietuvos valstybingumo ženklai“ vedė Kupiškio muziejaus specialistės. </w:t>
      </w:r>
    </w:p>
    <w:p w:rsidR="00FB17E3" w:rsidRPr="00B93640" w:rsidRDefault="00FB17E3" w:rsidP="00FB17E3">
      <w:pPr>
        <w:spacing w:after="0" w:line="360" w:lineRule="auto"/>
        <w:ind w:firstLine="1298"/>
        <w:jc w:val="both"/>
        <w:rPr>
          <w:i/>
          <w:szCs w:val="24"/>
        </w:rPr>
      </w:pPr>
      <w:r w:rsidRPr="00B93640">
        <w:rPr>
          <w:szCs w:val="24"/>
        </w:rPr>
        <w:t>Kovo mėn.</w:t>
      </w:r>
      <w:r w:rsidRPr="00B93640">
        <w:rPr>
          <w:i/>
          <w:szCs w:val="24"/>
        </w:rPr>
        <w:t xml:space="preserve"> </w:t>
      </w:r>
      <w:r w:rsidRPr="00B93640">
        <w:rPr>
          <w:szCs w:val="24"/>
        </w:rPr>
        <w:t xml:space="preserve">paminėta </w:t>
      </w:r>
      <w:proofErr w:type="spellStart"/>
      <w:r w:rsidRPr="00B93640">
        <w:rPr>
          <w:szCs w:val="24"/>
        </w:rPr>
        <w:t>šv</w:t>
      </w:r>
      <w:proofErr w:type="spellEnd"/>
      <w:r w:rsidRPr="00B93640">
        <w:rPr>
          <w:szCs w:val="24"/>
        </w:rPr>
        <w:t xml:space="preserve">. Kazimiero diena, Kovo 11-ąją, Lietuvos nepriklausomybės dieną, globotiniai dalyvavo mažojo kultūros festivalyje „Mūsų tėvynė – kaip gražiausia melodija“. Vaikų globos namuose vyko verbų rišimo pamoka su tautodailininke Violeta Laužikiene, velykinių margučių marginimas su muziejininke Kristina </w:t>
      </w:r>
      <w:proofErr w:type="spellStart"/>
      <w:r w:rsidRPr="00B93640">
        <w:rPr>
          <w:szCs w:val="24"/>
        </w:rPr>
        <w:t>Jokimiene</w:t>
      </w:r>
      <w:proofErr w:type="spellEnd"/>
      <w:r w:rsidRPr="00B93640">
        <w:rPr>
          <w:szCs w:val="24"/>
        </w:rPr>
        <w:t>. Paminėta Žemės diena, dalyvauta respublikinėje akcijoje „Veiksmo savaitė BE PATYČIŲ“.</w:t>
      </w:r>
      <w:r w:rsidRPr="00B93640">
        <w:rPr>
          <w:i/>
          <w:szCs w:val="24"/>
        </w:rPr>
        <w:t xml:space="preserve"> </w:t>
      </w:r>
    </w:p>
    <w:p w:rsidR="00FB17E3" w:rsidRPr="00B93640" w:rsidRDefault="00FB17E3" w:rsidP="00FB17E3">
      <w:pPr>
        <w:spacing w:after="0" w:line="360" w:lineRule="auto"/>
        <w:ind w:firstLine="1298"/>
        <w:jc w:val="both"/>
        <w:rPr>
          <w:szCs w:val="24"/>
        </w:rPr>
      </w:pPr>
      <w:r w:rsidRPr="00B93640">
        <w:rPr>
          <w:szCs w:val="24"/>
        </w:rPr>
        <w:t xml:space="preserve">Balandžio mėn.  vaikų globos namuose lankėsi Rokiškio visuomenės sveikatos biuro specialistės, vaikams vedė paskaitą apie vaikų ir paauglių higieną. Aktyviai praėjo vaikų </w:t>
      </w:r>
      <w:proofErr w:type="spellStart"/>
      <w:r w:rsidRPr="00B93640">
        <w:rPr>
          <w:szCs w:val="24"/>
        </w:rPr>
        <w:t>Velykėlės</w:t>
      </w:r>
      <w:proofErr w:type="spellEnd"/>
      <w:r w:rsidRPr="00B93640">
        <w:rPr>
          <w:szCs w:val="24"/>
        </w:rPr>
        <w:t xml:space="preserve"> Kupiškio parapijos namuose. Sportiniai užsiėmimai su treneriais Zigmu Paulausku ir Ričardu </w:t>
      </w:r>
      <w:proofErr w:type="spellStart"/>
      <w:r w:rsidRPr="00B93640">
        <w:rPr>
          <w:szCs w:val="24"/>
        </w:rPr>
        <w:t>Puntuzu</w:t>
      </w:r>
      <w:proofErr w:type="spellEnd"/>
      <w:r w:rsidRPr="00B93640">
        <w:rPr>
          <w:szCs w:val="24"/>
        </w:rPr>
        <w:t xml:space="preserve"> pritraukė didžiąją dalį vaikų, vyko šaškių varžybos tarp šeimynų. Vaikų globos namai aktyviai dalyvavo akcijoje „Darom 2018“. </w:t>
      </w:r>
    </w:p>
    <w:p w:rsidR="00FB17E3" w:rsidRPr="00B93640" w:rsidRDefault="00FB17E3" w:rsidP="00FB17E3">
      <w:pPr>
        <w:spacing w:after="0" w:line="360" w:lineRule="auto"/>
        <w:ind w:firstLine="1298"/>
        <w:jc w:val="both"/>
        <w:rPr>
          <w:szCs w:val="24"/>
        </w:rPr>
      </w:pPr>
      <w:r w:rsidRPr="00B93640">
        <w:rPr>
          <w:szCs w:val="24"/>
        </w:rPr>
        <w:t>Gegužės mėn. vaikų globos namų jaunieji šauliai dalyvavo dviejų dienų žygyje su Kupiškio jaunaisiais šauliais ir vadu Dariumi Baronu. Buvo paminėta šeimos diena Alizavoje, popietėje „Dovanokime gerumą“  parodytas muzikinis spektaklis „Spalvotas berniukas pasaulis“.</w:t>
      </w:r>
    </w:p>
    <w:p w:rsidR="00FB17E3" w:rsidRPr="00B93640" w:rsidRDefault="00FB17E3" w:rsidP="00FB17E3">
      <w:pPr>
        <w:spacing w:after="0" w:line="360" w:lineRule="auto"/>
        <w:ind w:firstLine="1298"/>
        <w:jc w:val="both"/>
        <w:rPr>
          <w:rFonts w:eastAsia="Times New Roman"/>
          <w:szCs w:val="24"/>
          <w:lang w:eastAsia="lt-LT"/>
        </w:rPr>
      </w:pPr>
      <w:r w:rsidRPr="00B93640">
        <w:rPr>
          <w:szCs w:val="24"/>
        </w:rPr>
        <w:t xml:space="preserve"> </w:t>
      </w:r>
      <w:r w:rsidRPr="00B93640">
        <w:rPr>
          <w:rFonts w:eastAsia="Times New Roman"/>
          <w:szCs w:val="24"/>
          <w:lang w:eastAsia="lt-LT"/>
        </w:rPr>
        <w:t xml:space="preserve">Birželio mėn.  vyko saugaus elgesio prie vandens paskaita, kurią vedė Rokiškio visuomenės sveikatos biuro specialistė Ugnė </w:t>
      </w:r>
      <w:proofErr w:type="spellStart"/>
      <w:r w:rsidRPr="00B93640">
        <w:rPr>
          <w:rFonts w:eastAsia="Times New Roman"/>
          <w:szCs w:val="24"/>
          <w:lang w:eastAsia="lt-LT"/>
        </w:rPr>
        <w:t>Kirdaitė</w:t>
      </w:r>
      <w:proofErr w:type="spellEnd"/>
      <w:r w:rsidRPr="00B93640">
        <w:rPr>
          <w:rFonts w:eastAsia="Times New Roman"/>
          <w:szCs w:val="24"/>
          <w:lang w:eastAsia="lt-LT"/>
        </w:rPr>
        <w:t xml:space="preserve">. Vaikų globos namų vaikų taryba suorganizavo sportines varžybas „Linksmosios estafetės“. Apie profesijas vaikams užsiėmimą vedė Aušra Vapšienė. Didelis renginys buvo suorganizuotas švenčiant mokslo metų užbaigimą ir vasaros sutikimą, kurio metu koncertavo Kupiškio kultūros centro Subačiaus padalinio </w:t>
      </w:r>
      <w:proofErr w:type="spellStart"/>
      <w:r w:rsidRPr="00B93640">
        <w:rPr>
          <w:rFonts w:eastAsia="Times New Roman"/>
          <w:szCs w:val="24"/>
          <w:lang w:eastAsia="lt-LT"/>
        </w:rPr>
        <w:t>gitaristės</w:t>
      </w:r>
      <w:proofErr w:type="spellEnd"/>
      <w:r w:rsidRPr="00B93640">
        <w:rPr>
          <w:rFonts w:eastAsia="Times New Roman"/>
          <w:szCs w:val="24"/>
          <w:lang w:eastAsia="lt-LT"/>
        </w:rPr>
        <w:t xml:space="preserve"> ir jų vadovė Irena </w:t>
      </w:r>
      <w:proofErr w:type="spellStart"/>
      <w:r w:rsidRPr="00B93640">
        <w:rPr>
          <w:rFonts w:eastAsia="Times New Roman"/>
          <w:szCs w:val="24"/>
          <w:lang w:eastAsia="lt-LT"/>
        </w:rPr>
        <w:t>Jėčiuvienė</w:t>
      </w:r>
      <w:proofErr w:type="spellEnd"/>
      <w:r w:rsidRPr="00B93640">
        <w:rPr>
          <w:rFonts w:eastAsia="Times New Roman"/>
          <w:szCs w:val="24"/>
          <w:lang w:eastAsia="lt-LT"/>
        </w:rPr>
        <w:t>, vyko labiausiai per mokslo metus nusipelniusių vaikų apdovanojimas, sportinės varžybos, piknikas Vaikų globos namų kieme. Buvo suorganizuota ekskursija į Anykščius.</w:t>
      </w:r>
    </w:p>
    <w:p w:rsidR="00FB17E3" w:rsidRPr="00B93640" w:rsidRDefault="00FB17E3" w:rsidP="00FB17E3">
      <w:pPr>
        <w:spacing w:after="0" w:line="360" w:lineRule="auto"/>
        <w:ind w:firstLine="1296"/>
        <w:jc w:val="both"/>
        <w:rPr>
          <w:rFonts w:eastAsia="Times New Roman"/>
          <w:szCs w:val="24"/>
          <w:lang w:eastAsia="lt-LT"/>
        </w:rPr>
      </w:pPr>
      <w:r w:rsidRPr="00B93640">
        <w:rPr>
          <w:rFonts w:eastAsia="Times New Roman"/>
          <w:szCs w:val="24"/>
          <w:lang w:eastAsia="lt-LT"/>
        </w:rPr>
        <w:t>Liepos mėn</w:t>
      </w:r>
      <w:r w:rsidRPr="00B93640">
        <w:rPr>
          <w:rFonts w:eastAsia="Times New Roman"/>
          <w:i/>
          <w:szCs w:val="24"/>
          <w:lang w:eastAsia="lt-LT"/>
        </w:rPr>
        <w:t xml:space="preserve">. </w:t>
      </w:r>
      <w:r w:rsidRPr="00B93640">
        <w:rPr>
          <w:rFonts w:eastAsia="Times New Roman"/>
          <w:szCs w:val="24"/>
          <w:lang w:eastAsia="lt-LT"/>
        </w:rPr>
        <w:t xml:space="preserve"> organizuotos aktyvios popietės prie Kupiškio marių – maudynės, sportinė veikla, poilsis. Vaikų globos namuose paminėta Mindaugo karūnavimo diena kartu su baikerių </w:t>
      </w:r>
      <w:proofErr w:type="spellStart"/>
      <w:r w:rsidRPr="00B93640">
        <w:rPr>
          <w:rFonts w:eastAsia="Times New Roman"/>
          <w:szCs w:val="24"/>
          <w:lang w:eastAsia="lt-LT"/>
        </w:rPr>
        <w:t>Aquila</w:t>
      </w:r>
      <w:proofErr w:type="spellEnd"/>
      <w:r w:rsidRPr="00B93640">
        <w:rPr>
          <w:rFonts w:eastAsia="Times New Roman"/>
          <w:szCs w:val="24"/>
          <w:lang w:eastAsia="lt-LT"/>
        </w:rPr>
        <w:t xml:space="preserve"> </w:t>
      </w:r>
      <w:proofErr w:type="spellStart"/>
      <w:r w:rsidRPr="00B93640">
        <w:rPr>
          <w:rFonts w:eastAsia="Times New Roman"/>
          <w:szCs w:val="24"/>
          <w:lang w:eastAsia="lt-LT"/>
        </w:rPr>
        <w:t>Mcc</w:t>
      </w:r>
      <w:proofErr w:type="spellEnd"/>
      <w:r w:rsidRPr="00B93640">
        <w:rPr>
          <w:rFonts w:eastAsia="Times New Roman"/>
          <w:szCs w:val="24"/>
          <w:lang w:eastAsia="lt-LT"/>
        </w:rPr>
        <w:t xml:space="preserve"> klubo nariais. 9-13 dienomis globotiniai dalyvavo Kupiškio kūno kultūros ir sporto centre dienos užimtumo stovykloje „Žvali vasara“. Vaikų globos namų taryba suorganizavo draugiškas futbolo varžybas. Taip pat buvo suorganizuota ekskursija į Vinių, kurios metu buvo aplankytas Vilniaus senamiestis, pramogauta </w:t>
      </w:r>
      <w:proofErr w:type="spellStart"/>
      <w:r w:rsidRPr="00B93640">
        <w:rPr>
          <w:rFonts w:eastAsia="Times New Roman"/>
          <w:szCs w:val="24"/>
          <w:lang w:eastAsia="lt-LT"/>
        </w:rPr>
        <w:t>Vichy</w:t>
      </w:r>
      <w:proofErr w:type="spellEnd"/>
      <w:r w:rsidRPr="00B93640">
        <w:rPr>
          <w:rFonts w:eastAsia="Times New Roman"/>
          <w:szCs w:val="24"/>
          <w:lang w:eastAsia="lt-LT"/>
        </w:rPr>
        <w:t xml:space="preserve"> vandens atrakcionų parke. 4 globotiniai dalyvavo penkių dienų trukmės Anglų kalbos stovykloje Anykščių rajone.</w:t>
      </w:r>
    </w:p>
    <w:p w:rsidR="00FB17E3" w:rsidRPr="00B93640" w:rsidRDefault="00FB17E3" w:rsidP="00FB17E3">
      <w:pPr>
        <w:spacing w:after="0" w:line="360" w:lineRule="auto"/>
        <w:ind w:firstLine="1296"/>
        <w:jc w:val="both"/>
        <w:rPr>
          <w:rFonts w:eastAsia="Times New Roman"/>
          <w:color w:val="FF0000"/>
          <w:szCs w:val="24"/>
          <w:lang w:eastAsia="lt-LT"/>
        </w:rPr>
      </w:pPr>
      <w:r w:rsidRPr="00B93640">
        <w:rPr>
          <w:rFonts w:eastAsia="Times New Roman"/>
          <w:color w:val="FF0000"/>
          <w:szCs w:val="24"/>
          <w:lang w:eastAsia="lt-LT"/>
        </w:rPr>
        <w:t xml:space="preserve"> </w:t>
      </w:r>
      <w:r w:rsidRPr="00B93640">
        <w:rPr>
          <w:rFonts w:eastAsia="Times New Roman"/>
          <w:szCs w:val="24"/>
          <w:lang w:eastAsia="lt-LT"/>
        </w:rPr>
        <w:t xml:space="preserve">Rugpjūčio mėn. svečiuose buvo atvykę „Ąžuolo“ krepšinio mokyklos treneriai, vyko krepšinio treniruotės ir varžybos. </w:t>
      </w:r>
    </w:p>
    <w:p w:rsidR="00FB17E3" w:rsidRPr="00B93640" w:rsidRDefault="00FB17E3" w:rsidP="00FB17E3">
      <w:pPr>
        <w:spacing w:after="0" w:line="360" w:lineRule="auto"/>
        <w:ind w:firstLine="1296"/>
        <w:jc w:val="both"/>
        <w:rPr>
          <w:rFonts w:eastAsia="Times New Roman"/>
          <w:szCs w:val="24"/>
          <w:lang w:eastAsia="lt-LT"/>
        </w:rPr>
      </w:pPr>
      <w:r w:rsidRPr="00B93640">
        <w:rPr>
          <w:rFonts w:eastAsia="Times New Roman"/>
          <w:szCs w:val="24"/>
          <w:lang w:eastAsia="lt-LT"/>
        </w:rPr>
        <w:t xml:space="preserve">Rugsėjo mėn. 6 vaikai ir darbuotoja dalyvavo Kupiškio prevencijos centro organizuotame bėgime, skirtame savižudybių prevencijai paminėti. Vaikų globos namai dalyvavo respublikiniame konkurse – plenere „Gamtos spalvos“, Vaikų globos namų teritorijoje buvo kuriami floristiniai kilimai. Taip pat vyko pamoka apie saugų eismą, kurią vedė Kupiškio r. PK bendruomenės pareigūnė Viktorija </w:t>
      </w:r>
      <w:proofErr w:type="spellStart"/>
      <w:r w:rsidRPr="00B93640">
        <w:rPr>
          <w:rFonts w:eastAsia="Times New Roman"/>
          <w:szCs w:val="24"/>
          <w:lang w:eastAsia="lt-LT"/>
        </w:rPr>
        <w:t>Aelita</w:t>
      </w:r>
      <w:proofErr w:type="spellEnd"/>
      <w:r w:rsidRPr="00B93640">
        <w:rPr>
          <w:rFonts w:eastAsia="Times New Roman"/>
          <w:szCs w:val="24"/>
          <w:lang w:eastAsia="lt-LT"/>
        </w:rPr>
        <w:t xml:space="preserve"> Budrienė, bei stalo teniso varžybos, kuriose teisėjavo trenerė Adelė </w:t>
      </w:r>
      <w:proofErr w:type="spellStart"/>
      <w:r w:rsidRPr="00B93640">
        <w:rPr>
          <w:rFonts w:eastAsia="Times New Roman"/>
          <w:szCs w:val="24"/>
          <w:lang w:eastAsia="lt-LT"/>
        </w:rPr>
        <w:t>Gaškienė</w:t>
      </w:r>
      <w:proofErr w:type="spellEnd"/>
      <w:r w:rsidRPr="00B93640">
        <w:rPr>
          <w:rFonts w:eastAsia="Times New Roman"/>
          <w:szCs w:val="24"/>
          <w:lang w:eastAsia="lt-LT"/>
        </w:rPr>
        <w:t>.</w:t>
      </w:r>
      <w:r w:rsidRPr="00B93640">
        <w:rPr>
          <w:rFonts w:eastAsia="Times New Roman"/>
          <w:color w:val="000000"/>
          <w:szCs w:val="24"/>
          <w:lang w:eastAsia="lt-LT"/>
        </w:rPr>
        <w:t xml:space="preserve"> </w:t>
      </w:r>
    </w:p>
    <w:p w:rsidR="00FB17E3" w:rsidRPr="00B93640" w:rsidRDefault="00FB17E3" w:rsidP="00FB17E3">
      <w:pPr>
        <w:shd w:val="clear" w:color="auto" w:fill="F6FBFD"/>
        <w:spacing w:after="0" w:line="360" w:lineRule="auto"/>
        <w:ind w:firstLine="1296"/>
        <w:jc w:val="both"/>
        <w:textAlignment w:val="baseline"/>
        <w:rPr>
          <w:rFonts w:eastAsia="Times New Roman"/>
          <w:color w:val="000000"/>
          <w:szCs w:val="24"/>
          <w:lang w:eastAsia="lt-LT"/>
        </w:rPr>
      </w:pPr>
      <w:r w:rsidRPr="00B93640">
        <w:rPr>
          <w:rFonts w:eastAsia="Times New Roman"/>
          <w:color w:val="000000"/>
          <w:szCs w:val="24"/>
          <w:lang w:eastAsia="lt-LT"/>
        </w:rPr>
        <w:t>Spalio mėn. vyko jau tradicine tapusi piešinių ir puokščių paroda „Auksinis ruduo“. Buvo suorganizuota vilnos vėlimo pamoka, kurios metu mergaitės gamino papuošalus. Buvo suorganizuotas apsilankymas Kupiškio priešgaisrinėje gelbėjimo tarnyboje. Jaunųjų šaulių viešnagės Vaikų globos namuose metu vyko šaudymo iš pneumatinio šautuvo varžybos, kliūčių įveikimo pratybos bei maskuotės pamokos.</w:t>
      </w:r>
    </w:p>
    <w:p w:rsidR="00FB17E3" w:rsidRPr="00B93640" w:rsidRDefault="00FB17E3" w:rsidP="00FB17E3">
      <w:pPr>
        <w:shd w:val="clear" w:color="auto" w:fill="F6FBFD"/>
        <w:spacing w:after="0" w:line="360" w:lineRule="auto"/>
        <w:ind w:firstLine="1296"/>
        <w:jc w:val="both"/>
        <w:textAlignment w:val="baseline"/>
        <w:rPr>
          <w:rFonts w:eastAsia="Times New Roman"/>
          <w:color w:val="000000"/>
          <w:szCs w:val="24"/>
          <w:lang w:eastAsia="lt-LT"/>
        </w:rPr>
      </w:pPr>
      <w:r w:rsidRPr="00B93640">
        <w:rPr>
          <w:rFonts w:eastAsia="Times New Roman"/>
          <w:szCs w:val="24"/>
          <w:lang w:eastAsia="lt-LT"/>
        </w:rPr>
        <w:t xml:space="preserve">Lapkričio mėn. buvo kuriamos </w:t>
      </w:r>
      <w:proofErr w:type="spellStart"/>
      <w:r w:rsidRPr="00B93640">
        <w:rPr>
          <w:rFonts w:eastAsia="Times New Roman"/>
          <w:szCs w:val="24"/>
          <w:lang w:eastAsia="lt-LT"/>
        </w:rPr>
        <w:t>Helovyno</w:t>
      </w:r>
      <w:proofErr w:type="spellEnd"/>
      <w:r w:rsidRPr="00B93640">
        <w:rPr>
          <w:rFonts w:eastAsia="Times New Roman"/>
          <w:szCs w:val="24"/>
          <w:lang w:eastAsia="lt-LT"/>
        </w:rPr>
        <w:t xml:space="preserve"> kaukės, gaminami žibintai iš moliūgų, vyko </w:t>
      </w:r>
      <w:proofErr w:type="spellStart"/>
      <w:r w:rsidRPr="00B93640">
        <w:rPr>
          <w:rFonts w:eastAsia="Times New Roman"/>
          <w:szCs w:val="24"/>
          <w:lang w:eastAsia="lt-LT"/>
        </w:rPr>
        <w:t>Helovyno</w:t>
      </w:r>
      <w:proofErr w:type="spellEnd"/>
      <w:r w:rsidRPr="00B93640">
        <w:rPr>
          <w:rFonts w:eastAsia="Times New Roman"/>
          <w:szCs w:val="24"/>
          <w:lang w:eastAsia="lt-LT"/>
        </w:rPr>
        <w:t xml:space="preserve"> renginys. Vyko užsiėmimas su </w:t>
      </w:r>
      <w:proofErr w:type="spellStart"/>
      <w:r w:rsidRPr="00B93640">
        <w:rPr>
          <w:rFonts w:eastAsia="Times New Roman"/>
          <w:szCs w:val="24"/>
          <w:lang w:eastAsia="lt-LT"/>
        </w:rPr>
        <w:t>planšetiniais</w:t>
      </w:r>
      <w:proofErr w:type="spellEnd"/>
      <w:r w:rsidRPr="00B93640">
        <w:rPr>
          <w:rFonts w:eastAsia="Times New Roman"/>
          <w:szCs w:val="24"/>
          <w:lang w:eastAsia="lt-LT"/>
        </w:rPr>
        <w:t xml:space="preserve"> kompiuteriais, kurį vedė R. </w:t>
      </w:r>
      <w:proofErr w:type="spellStart"/>
      <w:r w:rsidRPr="00B93640">
        <w:rPr>
          <w:rFonts w:eastAsia="Times New Roman"/>
          <w:szCs w:val="24"/>
          <w:lang w:eastAsia="lt-LT"/>
        </w:rPr>
        <w:t>Latvys</w:t>
      </w:r>
      <w:proofErr w:type="spellEnd"/>
      <w:r w:rsidRPr="00B93640">
        <w:rPr>
          <w:rFonts w:eastAsia="Times New Roman"/>
          <w:szCs w:val="24"/>
          <w:lang w:eastAsia="lt-LT"/>
        </w:rPr>
        <w:t>. Šeimynose paminėta Tolerancijos diena. Tradiciškai, jau 21 kartą sulaukėme savo bičiulių iš Norvegijos, svečiams parodyta muzikinis spektaklis „Metų laikai“. Vyko teisinių žinių paskaita su V. A. Budriene.</w:t>
      </w:r>
    </w:p>
    <w:p w:rsidR="00FB17E3" w:rsidRPr="00B93640" w:rsidRDefault="00FB17E3" w:rsidP="00FB17E3">
      <w:pPr>
        <w:shd w:val="clear" w:color="auto" w:fill="F6FBFD"/>
        <w:spacing w:after="0" w:line="360" w:lineRule="auto"/>
        <w:ind w:firstLine="1298"/>
        <w:jc w:val="both"/>
        <w:textAlignment w:val="baseline"/>
        <w:rPr>
          <w:rFonts w:eastAsia="Times New Roman"/>
          <w:bCs/>
          <w:color w:val="000000"/>
          <w:szCs w:val="24"/>
          <w:lang w:eastAsia="lt-LT"/>
        </w:rPr>
      </w:pPr>
      <w:r w:rsidRPr="00B93640">
        <w:rPr>
          <w:rFonts w:eastAsia="Times New Roman"/>
          <w:szCs w:val="24"/>
          <w:lang w:eastAsia="lt-LT"/>
        </w:rPr>
        <w:t xml:space="preserve">Gruodžio mėn. vyko teisinių žinių </w:t>
      </w:r>
      <w:proofErr w:type="spellStart"/>
      <w:r w:rsidRPr="00B93640">
        <w:rPr>
          <w:rFonts w:eastAsia="Times New Roman"/>
          <w:szCs w:val="24"/>
          <w:lang w:eastAsia="lt-LT"/>
        </w:rPr>
        <w:t>protmūšis</w:t>
      </w:r>
      <w:proofErr w:type="spellEnd"/>
      <w:r w:rsidRPr="00B93640">
        <w:rPr>
          <w:rFonts w:eastAsia="Times New Roman"/>
          <w:szCs w:val="24"/>
          <w:lang w:eastAsia="lt-LT"/>
        </w:rPr>
        <w:t xml:space="preserve">, </w:t>
      </w:r>
      <w:proofErr w:type="spellStart"/>
      <w:r w:rsidRPr="00B93640">
        <w:rPr>
          <w:rFonts w:eastAsia="Times New Roman"/>
          <w:szCs w:val="24"/>
          <w:lang w:eastAsia="lt-LT"/>
        </w:rPr>
        <w:t>adventinė</w:t>
      </w:r>
      <w:proofErr w:type="spellEnd"/>
      <w:r w:rsidRPr="00B93640">
        <w:rPr>
          <w:rFonts w:eastAsia="Times New Roman"/>
          <w:szCs w:val="24"/>
          <w:lang w:eastAsia="lt-LT"/>
        </w:rPr>
        <w:t xml:space="preserve"> popietė. Vaikai dalyvavo Kupiškio miesto eglutės įžiebimo šventėje. Laikotarpiu tarp didžiųjų metų švenčių svečiavosi </w:t>
      </w:r>
      <w:proofErr w:type="spellStart"/>
      <w:r w:rsidRPr="00B93640">
        <w:rPr>
          <w:rFonts w:eastAsia="Times New Roman"/>
          <w:szCs w:val="24"/>
          <w:lang w:eastAsia="lt-LT"/>
        </w:rPr>
        <w:t>alizaviečiai</w:t>
      </w:r>
      <w:proofErr w:type="spellEnd"/>
      <w:r w:rsidRPr="00B93640">
        <w:rPr>
          <w:rFonts w:eastAsia="Times New Roman"/>
          <w:szCs w:val="24"/>
          <w:lang w:eastAsia="lt-LT"/>
        </w:rPr>
        <w:t xml:space="preserve"> – ritminių šokių grupė „Svaja“ su vadove Jolanta </w:t>
      </w:r>
      <w:proofErr w:type="spellStart"/>
      <w:r w:rsidRPr="00B93640">
        <w:rPr>
          <w:rFonts w:eastAsia="Times New Roman"/>
          <w:szCs w:val="24"/>
          <w:lang w:eastAsia="lt-LT"/>
        </w:rPr>
        <w:t>Užusieniene</w:t>
      </w:r>
      <w:proofErr w:type="spellEnd"/>
      <w:r w:rsidRPr="00B93640">
        <w:rPr>
          <w:rFonts w:eastAsia="Times New Roman"/>
          <w:szCs w:val="24"/>
          <w:lang w:eastAsia="lt-LT"/>
        </w:rPr>
        <w:t xml:space="preserve">. Buvo parodyta meninė programa, Kalėdų senelis visiems vaikams teikė saldžias dovanas. Taip pat Vaikų globos namų salėje savo magijos triukus vaikams demonstravo iliuzionistas iš Noriūnų. </w:t>
      </w:r>
    </w:p>
    <w:p w:rsidR="00FB17E3" w:rsidRPr="00B93640" w:rsidRDefault="00FB17E3" w:rsidP="00FB17E3">
      <w:pPr>
        <w:spacing w:after="0" w:line="360" w:lineRule="auto"/>
        <w:ind w:firstLine="1296"/>
        <w:jc w:val="both"/>
        <w:rPr>
          <w:rFonts w:eastAsia="Times New Roman"/>
          <w:szCs w:val="24"/>
          <w:lang w:eastAsia="lt-LT"/>
        </w:rPr>
      </w:pPr>
      <w:r w:rsidRPr="00B93640">
        <w:rPr>
          <w:rFonts w:eastAsia="Times New Roman"/>
          <w:szCs w:val="24"/>
          <w:lang w:eastAsia="lt-LT"/>
        </w:rPr>
        <w:t>Vaikų užimtumas organizuojamas įvairiais būdais, kviečiami įvairūs specialistai, bendradarbiaujama su socialiniais partneriais.</w:t>
      </w:r>
    </w:p>
    <w:p w:rsidR="00FB17E3" w:rsidRPr="00B93640" w:rsidRDefault="00FB17E3" w:rsidP="00FB17E3">
      <w:pPr>
        <w:spacing w:after="0" w:line="240" w:lineRule="auto"/>
        <w:jc w:val="center"/>
        <w:rPr>
          <w:b/>
          <w:szCs w:val="24"/>
        </w:rPr>
      </w:pPr>
      <w:r w:rsidRPr="00B93640">
        <w:rPr>
          <w:b/>
          <w:szCs w:val="24"/>
        </w:rPr>
        <w:t>III SKYRIUS</w:t>
      </w:r>
    </w:p>
    <w:p w:rsidR="00FB17E3" w:rsidRPr="00B93640" w:rsidRDefault="00FB17E3" w:rsidP="00FB17E3">
      <w:pPr>
        <w:spacing w:after="0" w:line="360" w:lineRule="auto"/>
        <w:jc w:val="center"/>
        <w:rPr>
          <w:b/>
          <w:szCs w:val="24"/>
        </w:rPr>
      </w:pPr>
      <w:r w:rsidRPr="00B93640">
        <w:rPr>
          <w:b/>
          <w:szCs w:val="24"/>
        </w:rPr>
        <w:t>PATVIRTINTŲ ASIGNAVIMŲ NAUDOJIMAS</w:t>
      </w:r>
    </w:p>
    <w:p w:rsidR="00FB17E3" w:rsidRPr="00B93640" w:rsidRDefault="00FB17E3" w:rsidP="00FB17E3">
      <w:pPr>
        <w:spacing w:after="0" w:line="360" w:lineRule="auto"/>
        <w:jc w:val="both"/>
        <w:rPr>
          <w:szCs w:val="24"/>
        </w:rPr>
      </w:pPr>
      <w:r w:rsidRPr="00B93640">
        <w:rPr>
          <w:szCs w:val="24"/>
        </w:rPr>
        <w:tab/>
        <w:t xml:space="preserve">Buvo vykdomos šios programos: Socialinės ir sveikatos apsaugos programa, Savivaldybės valdymo ir pagrindinių funkcijų vykdymo programa. </w:t>
      </w:r>
    </w:p>
    <w:p w:rsidR="00FB17E3" w:rsidRPr="00B93640" w:rsidRDefault="00FB17E3" w:rsidP="00FB17E3">
      <w:pPr>
        <w:spacing w:after="0" w:line="360" w:lineRule="auto"/>
        <w:jc w:val="both"/>
        <w:rPr>
          <w:szCs w:val="24"/>
        </w:rPr>
      </w:pPr>
      <w:r w:rsidRPr="00B93640">
        <w:rPr>
          <w:szCs w:val="24"/>
        </w:rPr>
        <w:tab/>
        <w:t>Socialinės apsaugos ir sveikatos programa. Finansavimo šaltinis – Savivaldybės biudžetas.</w:t>
      </w:r>
    </w:p>
    <w:p w:rsidR="00FB17E3" w:rsidRPr="00B93640" w:rsidRDefault="00FB17E3" w:rsidP="00FB17E3">
      <w:pPr>
        <w:spacing w:after="0" w:line="360" w:lineRule="auto"/>
        <w:jc w:val="center"/>
        <w:rPr>
          <w:szCs w:val="24"/>
        </w:rPr>
      </w:pPr>
      <w:r w:rsidRPr="00B93640">
        <w:rPr>
          <w:szCs w:val="24"/>
        </w:rPr>
        <w:t>Kasinių išlaidų suvestinis žiniaraštis</w:t>
      </w:r>
    </w:p>
    <w:tbl>
      <w:tblPr>
        <w:tblW w:w="9606" w:type="dxa"/>
        <w:tblInd w:w="108" w:type="dxa"/>
        <w:tblLook w:val="04A0"/>
      </w:tblPr>
      <w:tblGrid>
        <w:gridCol w:w="3434"/>
        <w:gridCol w:w="1728"/>
        <w:gridCol w:w="1446"/>
        <w:gridCol w:w="1603"/>
        <w:gridCol w:w="1395"/>
      </w:tblGrid>
      <w:tr w:rsidR="00FB17E3" w:rsidRPr="00B93640" w:rsidTr="009E57E7">
        <w:trPr>
          <w:trHeight w:val="510"/>
        </w:trPr>
        <w:tc>
          <w:tcPr>
            <w:tcW w:w="34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Išlaidų rūšys</w:t>
            </w:r>
          </w:p>
        </w:tc>
        <w:tc>
          <w:tcPr>
            <w:tcW w:w="17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Išlaidų ekonominės klasifikacijos kodas</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 xml:space="preserve">Ataskaitinio laikotarpio išlaidų planas </w:t>
            </w:r>
          </w:p>
        </w:tc>
        <w:tc>
          <w:tcPr>
            <w:tcW w:w="16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Finansavimas</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Kasinės išlaidos</w:t>
            </w:r>
          </w:p>
        </w:tc>
      </w:tr>
      <w:tr w:rsidR="00FB17E3" w:rsidRPr="00B93640" w:rsidTr="009E57E7">
        <w:trPr>
          <w:trHeight w:val="540"/>
        </w:trPr>
        <w:tc>
          <w:tcPr>
            <w:tcW w:w="3434"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
                <w:bCs/>
                <w:szCs w:val="24"/>
                <w:lang w:eastAsia="lt-LT"/>
              </w:rPr>
            </w:pPr>
          </w:p>
        </w:tc>
        <w:tc>
          <w:tcPr>
            <w:tcW w:w="1728"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
                <w:bCs/>
                <w:szCs w:val="24"/>
                <w:lang w:eastAsia="lt-LT"/>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
                <w:bCs/>
                <w:szCs w:val="24"/>
                <w:lang w:eastAsia="lt-LT"/>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
                <w:bCs/>
                <w:szCs w:val="24"/>
                <w:lang w:eastAsia="lt-LT"/>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
                <w:bCs/>
                <w:szCs w:val="24"/>
                <w:lang w:eastAsia="lt-LT"/>
              </w:rPr>
            </w:pP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Darbo užmokestis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2.1.1.1.1.1</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188 000</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187 897.13</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187 897.13</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Socialinio draudimo įmokos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2.1.2.1.1.1</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59 228</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59 101.87</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59 101.87</w:t>
            </w:r>
          </w:p>
        </w:tc>
      </w:tr>
      <w:tr w:rsidR="00FB17E3" w:rsidRPr="00B93640" w:rsidTr="009E57E7">
        <w:trPr>
          <w:trHeight w:val="510"/>
        </w:trPr>
        <w:tc>
          <w:tcPr>
            <w:tcW w:w="3434" w:type="dxa"/>
            <w:tcBorders>
              <w:top w:val="nil"/>
              <w:left w:val="single" w:sz="4" w:space="0" w:color="auto"/>
              <w:bottom w:val="single" w:sz="4" w:space="0" w:color="auto"/>
              <w:right w:val="single" w:sz="4" w:space="0" w:color="auto"/>
            </w:tcBorders>
            <w:shd w:val="clear" w:color="auto" w:fill="auto"/>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Medikamentų ir medicininių paslaugų įsigijimo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2.1.1.1.02</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200</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199.40</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199.40</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Ryšių paslaugų įsigijimo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2.1.1.1.05</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1 412</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1 412.00</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1 412.00</w:t>
            </w:r>
          </w:p>
        </w:tc>
      </w:tr>
      <w:tr w:rsidR="00FB17E3" w:rsidRPr="00B93640" w:rsidTr="009E57E7">
        <w:trPr>
          <w:trHeight w:val="510"/>
        </w:trPr>
        <w:tc>
          <w:tcPr>
            <w:tcW w:w="3434" w:type="dxa"/>
            <w:tcBorders>
              <w:top w:val="nil"/>
              <w:left w:val="single" w:sz="4" w:space="0" w:color="auto"/>
              <w:bottom w:val="single" w:sz="4" w:space="0" w:color="auto"/>
              <w:right w:val="single" w:sz="4" w:space="0" w:color="auto"/>
            </w:tcBorders>
            <w:shd w:val="clear" w:color="auto" w:fill="auto"/>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Transporto išlaikymo ir transporto paslaugų įsigijimas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2.1.1.1.06</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3 800</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3 800.00</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3 800.00</w:t>
            </w:r>
          </w:p>
        </w:tc>
      </w:tr>
      <w:tr w:rsidR="00FB17E3" w:rsidRPr="00B93640" w:rsidTr="009E57E7">
        <w:trPr>
          <w:trHeight w:val="240"/>
        </w:trPr>
        <w:tc>
          <w:tcPr>
            <w:tcW w:w="3434" w:type="dxa"/>
            <w:tcBorders>
              <w:top w:val="nil"/>
              <w:left w:val="single" w:sz="4" w:space="0" w:color="auto"/>
              <w:bottom w:val="single" w:sz="4" w:space="0" w:color="auto"/>
              <w:right w:val="single" w:sz="4" w:space="0" w:color="auto"/>
            </w:tcBorders>
            <w:shd w:val="clear" w:color="auto" w:fill="auto"/>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Aprangos ir patalynės įsigijimo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2.1.1.1.07</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1 006</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1 006.00</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1 006.00</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Komandiruočių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2.1.1.1.11</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25</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24.44</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24.44</w:t>
            </w:r>
          </w:p>
        </w:tc>
      </w:tr>
      <w:tr w:rsidR="00FB17E3" w:rsidRPr="00B93640" w:rsidTr="009E57E7">
        <w:trPr>
          <w:trHeight w:val="495"/>
        </w:trPr>
        <w:tc>
          <w:tcPr>
            <w:tcW w:w="3434" w:type="dxa"/>
            <w:tcBorders>
              <w:top w:val="nil"/>
              <w:left w:val="single" w:sz="4" w:space="0" w:color="auto"/>
              <w:bottom w:val="single" w:sz="4" w:space="0" w:color="auto"/>
              <w:right w:val="single" w:sz="4" w:space="0" w:color="auto"/>
            </w:tcBorders>
            <w:shd w:val="clear" w:color="auto" w:fill="auto"/>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Materialiojo turto paprastojo remonto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2.1.1.1.15</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1 965</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1 964.68</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1 964.68</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Kvalifikacijos kėlimo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2.1.1.1.16</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737</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736.77</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736.77</w:t>
            </w:r>
          </w:p>
        </w:tc>
      </w:tr>
      <w:tr w:rsidR="00FB17E3" w:rsidRPr="00B93640" w:rsidTr="009E57E7">
        <w:trPr>
          <w:trHeight w:val="510"/>
        </w:trPr>
        <w:tc>
          <w:tcPr>
            <w:tcW w:w="3434" w:type="dxa"/>
            <w:tcBorders>
              <w:top w:val="nil"/>
              <w:left w:val="single" w:sz="4" w:space="0" w:color="auto"/>
              <w:bottom w:val="single" w:sz="4" w:space="0" w:color="auto"/>
              <w:right w:val="single" w:sz="4" w:space="0" w:color="auto"/>
            </w:tcBorders>
            <w:shd w:val="clear" w:color="auto" w:fill="auto"/>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Komunalinių paslaugų įsigijimo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2.1.1.1.20</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12 405</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12 405.00</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12 405.00</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IT prekių ir paslaugų įsigijimo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2.1.1.1.21</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2 400</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2 395.65</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2 395.65</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Ūkinio inventoriaus įsigijimo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2.1.1.1.23</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13 576</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13 575.26</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13 575.26</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Kitų prekių ir paslaugų įsigijimo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2.1.1.1.30</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3 037</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3 036.94</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3 036.94</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Nedarbingumo pašalpos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2.7.3.1.1.1</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749.00</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748.45</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748.45</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Kitų mašinų ir įrenginių įsigijimo išlaidos</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3.1.1.3.1.2</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2 580.00</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2 580.00</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2 580.00</w:t>
            </w:r>
          </w:p>
        </w:tc>
      </w:tr>
      <w:tr w:rsidR="00FB17E3" w:rsidRPr="00B93640" w:rsidTr="009E57E7">
        <w:trPr>
          <w:trHeight w:val="255"/>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Iš viso:</w:t>
            </w:r>
          </w:p>
        </w:tc>
        <w:tc>
          <w:tcPr>
            <w:tcW w:w="1728"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 </w:t>
            </w:r>
          </w:p>
        </w:tc>
        <w:tc>
          <w:tcPr>
            <w:tcW w:w="1446"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bCs/>
                <w:sz w:val="22"/>
                <w:lang w:eastAsia="lt-LT"/>
              </w:rPr>
            </w:pPr>
            <w:r w:rsidRPr="00B93640">
              <w:rPr>
                <w:rFonts w:eastAsia="Times New Roman"/>
                <w:bCs/>
                <w:sz w:val="22"/>
                <w:lang w:eastAsia="lt-LT"/>
              </w:rPr>
              <w:t>291 120</w:t>
            </w:r>
          </w:p>
        </w:tc>
        <w:tc>
          <w:tcPr>
            <w:tcW w:w="1603"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bCs/>
                <w:sz w:val="22"/>
                <w:lang w:eastAsia="lt-LT"/>
              </w:rPr>
            </w:pPr>
            <w:r w:rsidRPr="00B93640">
              <w:rPr>
                <w:rFonts w:eastAsia="Times New Roman"/>
                <w:bCs/>
                <w:sz w:val="22"/>
                <w:lang w:eastAsia="lt-LT"/>
              </w:rPr>
              <w:t>290 883.59</w:t>
            </w:r>
          </w:p>
        </w:tc>
        <w:tc>
          <w:tcPr>
            <w:tcW w:w="1395"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bCs/>
                <w:sz w:val="22"/>
                <w:lang w:eastAsia="lt-LT"/>
              </w:rPr>
            </w:pPr>
            <w:r w:rsidRPr="00B93640">
              <w:rPr>
                <w:rFonts w:eastAsia="Times New Roman"/>
                <w:bCs/>
                <w:sz w:val="22"/>
                <w:lang w:eastAsia="lt-LT"/>
              </w:rPr>
              <w:t>290 883.59</w:t>
            </w:r>
          </w:p>
        </w:tc>
      </w:tr>
    </w:tbl>
    <w:p w:rsidR="00FB17E3" w:rsidRPr="00B93640" w:rsidRDefault="00FB17E3" w:rsidP="00FB17E3">
      <w:pPr>
        <w:spacing w:after="0" w:line="240" w:lineRule="auto"/>
        <w:jc w:val="center"/>
        <w:rPr>
          <w:b/>
          <w:szCs w:val="24"/>
        </w:rPr>
      </w:pPr>
    </w:p>
    <w:p w:rsidR="00FB17E3" w:rsidRPr="00B93640" w:rsidRDefault="00FB17E3" w:rsidP="00FB17E3">
      <w:pPr>
        <w:spacing w:after="0" w:line="360" w:lineRule="auto"/>
        <w:ind w:firstLine="1296"/>
        <w:rPr>
          <w:sz w:val="22"/>
        </w:rPr>
      </w:pPr>
      <w:r w:rsidRPr="00B93640">
        <w:rPr>
          <w:szCs w:val="24"/>
        </w:rPr>
        <w:t xml:space="preserve">    </w:t>
      </w:r>
      <w:r w:rsidRPr="00B93640">
        <w:rPr>
          <w:sz w:val="22"/>
        </w:rPr>
        <w:t>Savivaldybės valdymo ir pagrindinių funkcijų vykdymo programa.</w:t>
      </w:r>
    </w:p>
    <w:p w:rsidR="00FB17E3" w:rsidRPr="00B93640" w:rsidRDefault="00FB17E3" w:rsidP="00FB17E3">
      <w:pPr>
        <w:spacing w:after="0" w:line="360" w:lineRule="auto"/>
        <w:jc w:val="center"/>
        <w:rPr>
          <w:sz w:val="22"/>
        </w:rPr>
      </w:pPr>
      <w:r w:rsidRPr="00B93640">
        <w:rPr>
          <w:sz w:val="22"/>
        </w:rPr>
        <w:t>Kasinių išlaidų suvestinis žiniaraštis</w:t>
      </w:r>
    </w:p>
    <w:tbl>
      <w:tblPr>
        <w:tblW w:w="9606" w:type="dxa"/>
        <w:tblInd w:w="108" w:type="dxa"/>
        <w:tblLook w:val="04A0"/>
      </w:tblPr>
      <w:tblGrid>
        <w:gridCol w:w="2548"/>
        <w:gridCol w:w="2129"/>
        <w:gridCol w:w="1560"/>
        <w:gridCol w:w="1819"/>
        <w:gridCol w:w="1550"/>
      </w:tblGrid>
      <w:tr w:rsidR="00FB17E3" w:rsidRPr="00B93640" w:rsidTr="009E57E7">
        <w:trPr>
          <w:trHeight w:val="276"/>
        </w:trPr>
        <w:tc>
          <w:tcPr>
            <w:tcW w:w="25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Išlaidų rūšys</w:t>
            </w:r>
          </w:p>
        </w:tc>
        <w:tc>
          <w:tcPr>
            <w:tcW w:w="21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Išlaidų ekonominės klasifikacijos kodas</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 xml:space="preserve">Ataskaitinio laikotarpio išlaidų planas </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Finansavimas</w:t>
            </w: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Kasinės išlaidos</w:t>
            </w:r>
          </w:p>
        </w:tc>
      </w:tr>
      <w:tr w:rsidR="00FB17E3" w:rsidRPr="00B93640" w:rsidTr="009E57E7">
        <w:trPr>
          <w:trHeight w:val="540"/>
        </w:trPr>
        <w:tc>
          <w:tcPr>
            <w:tcW w:w="2548"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Cs/>
                <w:sz w:val="22"/>
                <w:lang w:eastAsia="lt-LT"/>
              </w:rPr>
            </w:pPr>
          </w:p>
        </w:tc>
        <w:tc>
          <w:tcPr>
            <w:tcW w:w="2129"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Cs/>
                <w:sz w:val="22"/>
                <w:lang w:eastAsia="lt-LT"/>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Cs/>
                <w:sz w:val="22"/>
                <w:lang w:eastAsia="lt-LT"/>
              </w:rPr>
            </w:pPr>
          </w:p>
        </w:tc>
        <w:tc>
          <w:tcPr>
            <w:tcW w:w="1819"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Cs/>
                <w:sz w:val="22"/>
                <w:lang w:eastAsia="lt-LT"/>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FB17E3" w:rsidRPr="00B93640" w:rsidRDefault="00FB17E3" w:rsidP="009E57E7">
            <w:pPr>
              <w:spacing w:after="0" w:line="240" w:lineRule="auto"/>
              <w:rPr>
                <w:rFonts w:eastAsia="Times New Roman"/>
                <w:bCs/>
                <w:sz w:val="22"/>
                <w:lang w:eastAsia="lt-LT"/>
              </w:rPr>
            </w:pPr>
          </w:p>
        </w:tc>
      </w:tr>
      <w:tr w:rsidR="00FB17E3" w:rsidRPr="00B93640" w:rsidTr="009E57E7">
        <w:trPr>
          <w:trHeight w:val="255"/>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rPr>
                <w:rFonts w:eastAsia="Times New Roman"/>
                <w:sz w:val="22"/>
                <w:lang w:eastAsia="lt-LT"/>
              </w:rPr>
            </w:pPr>
            <w:r w:rsidRPr="00B93640">
              <w:rPr>
                <w:rFonts w:eastAsia="Times New Roman"/>
                <w:sz w:val="22"/>
                <w:lang w:eastAsia="lt-LT"/>
              </w:rPr>
              <w:t>Kitos išlaidos</w:t>
            </w:r>
          </w:p>
        </w:tc>
        <w:tc>
          <w:tcPr>
            <w:tcW w:w="2129"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2.1.1.1.30</w:t>
            </w:r>
          </w:p>
        </w:tc>
        <w:tc>
          <w:tcPr>
            <w:tcW w:w="1560" w:type="dxa"/>
            <w:tcBorders>
              <w:top w:val="nil"/>
              <w:left w:val="nil"/>
              <w:bottom w:val="single" w:sz="4" w:space="0" w:color="auto"/>
              <w:right w:val="single" w:sz="4" w:space="0" w:color="auto"/>
            </w:tcBorders>
            <w:shd w:val="clear" w:color="000000" w:fill="FFFFFF"/>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4750</w:t>
            </w:r>
          </w:p>
        </w:tc>
        <w:tc>
          <w:tcPr>
            <w:tcW w:w="1819"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4737.95</w:t>
            </w:r>
          </w:p>
        </w:tc>
        <w:tc>
          <w:tcPr>
            <w:tcW w:w="1550"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sz w:val="22"/>
                <w:lang w:eastAsia="lt-LT"/>
              </w:rPr>
            </w:pPr>
            <w:r w:rsidRPr="00B93640">
              <w:rPr>
                <w:rFonts w:eastAsia="Times New Roman"/>
                <w:sz w:val="22"/>
                <w:lang w:eastAsia="lt-LT"/>
              </w:rPr>
              <w:t>4737.95</w:t>
            </w:r>
          </w:p>
        </w:tc>
      </w:tr>
      <w:tr w:rsidR="00FB17E3" w:rsidRPr="00B93640" w:rsidTr="009E57E7">
        <w:trPr>
          <w:trHeight w:val="255"/>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bCs/>
                <w:sz w:val="22"/>
                <w:lang w:eastAsia="lt-LT"/>
              </w:rPr>
            </w:pPr>
            <w:r w:rsidRPr="00B93640">
              <w:rPr>
                <w:rFonts w:eastAsia="Times New Roman"/>
                <w:bCs/>
                <w:sz w:val="22"/>
                <w:lang w:eastAsia="lt-LT"/>
              </w:rPr>
              <w:t>Iš viso:</w:t>
            </w:r>
          </w:p>
        </w:tc>
        <w:tc>
          <w:tcPr>
            <w:tcW w:w="2129"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center"/>
              <w:rPr>
                <w:rFonts w:eastAsia="Times New Roman"/>
                <w:sz w:val="22"/>
                <w:lang w:eastAsia="lt-LT"/>
              </w:rPr>
            </w:pPr>
            <w:r w:rsidRPr="00B93640">
              <w:rPr>
                <w:rFonts w:eastAsia="Times New Roman"/>
                <w:sz w:val="22"/>
                <w:lang w:eastAsia="lt-LT"/>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FB17E3" w:rsidRPr="00B93640" w:rsidRDefault="00FB17E3" w:rsidP="009E57E7">
            <w:pPr>
              <w:spacing w:after="0" w:line="240" w:lineRule="auto"/>
              <w:jc w:val="right"/>
              <w:rPr>
                <w:rFonts w:eastAsia="Times New Roman"/>
                <w:bCs/>
                <w:sz w:val="22"/>
                <w:lang w:eastAsia="lt-LT"/>
              </w:rPr>
            </w:pPr>
            <w:r w:rsidRPr="00B93640">
              <w:rPr>
                <w:rFonts w:eastAsia="Times New Roman"/>
                <w:bCs/>
                <w:sz w:val="22"/>
                <w:lang w:eastAsia="lt-LT"/>
              </w:rPr>
              <w:t>4750</w:t>
            </w:r>
          </w:p>
        </w:tc>
        <w:tc>
          <w:tcPr>
            <w:tcW w:w="1819"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bCs/>
                <w:sz w:val="22"/>
                <w:lang w:eastAsia="lt-LT"/>
              </w:rPr>
            </w:pPr>
            <w:r w:rsidRPr="00B93640">
              <w:rPr>
                <w:rFonts w:eastAsia="Times New Roman"/>
                <w:bCs/>
                <w:sz w:val="22"/>
                <w:lang w:eastAsia="lt-LT"/>
              </w:rPr>
              <w:t>4737.95</w:t>
            </w:r>
          </w:p>
        </w:tc>
        <w:tc>
          <w:tcPr>
            <w:tcW w:w="1550" w:type="dxa"/>
            <w:tcBorders>
              <w:top w:val="nil"/>
              <w:left w:val="nil"/>
              <w:bottom w:val="single" w:sz="4" w:space="0" w:color="auto"/>
              <w:right w:val="single" w:sz="4" w:space="0" w:color="auto"/>
            </w:tcBorders>
            <w:shd w:val="clear" w:color="auto" w:fill="auto"/>
            <w:noWrap/>
            <w:vAlign w:val="bottom"/>
            <w:hideMark/>
          </w:tcPr>
          <w:p w:rsidR="00FB17E3" w:rsidRPr="00B93640" w:rsidRDefault="00FB17E3" w:rsidP="009E57E7">
            <w:pPr>
              <w:spacing w:after="0" w:line="240" w:lineRule="auto"/>
              <w:jc w:val="right"/>
              <w:rPr>
                <w:rFonts w:eastAsia="Times New Roman"/>
                <w:bCs/>
                <w:sz w:val="22"/>
                <w:lang w:eastAsia="lt-LT"/>
              </w:rPr>
            </w:pPr>
            <w:r w:rsidRPr="00B93640">
              <w:rPr>
                <w:rFonts w:eastAsia="Times New Roman"/>
                <w:bCs/>
                <w:sz w:val="22"/>
                <w:lang w:eastAsia="lt-LT"/>
              </w:rPr>
              <w:t>4737.95</w:t>
            </w:r>
          </w:p>
        </w:tc>
      </w:tr>
    </w:tbl>
    <w:p w:rsidR="00FB17E3" w:rsidRPr="00B93640" w:rsidRDefault="00FB17E3" w:rsidP="00FB17E3">
      <w:pPr>
        <w:spacing w:after="0" w:line="360" w:lineRule="auto"/>
        <w:jc w:val="both"/>
        <w:rPr>
          <w:szCs w:val="24"/>
        </w:rPr>
      </w:pPr>
    </w:p>
    <w:p w:rsidR="00FB17E3" w:rsidRPr="00B93640" w:rsidRDefault="00FB17E3" w:rsidP="00FB17E3">
      <w:pPr>
        <w:spacing w:after="0" w:line="360" w:lineRule="auto"/>
        <w:ind w:firstLine="1296"/>
        <w:jc w:val="both"/>
        <w:rPr>
          <w:szCs w:val="24"/>
        </w:rPr>
      </w:pPr>
      <w:r w:rsidRPr="00B93640">
        <w:rPr>
          <w:szCs w:val="24"/>
        </w:rPr>
        <w:t xml:space="preserve">Iš Kupiškio rajono savivaldybės administracijos Socialinės paramos skyriaus per 2018 m. vaikų globos (rūpybos) išmokai gauta 69038,07 </w:t>
      </w:r>
      <w:proofErr w:type="spellStart"/>
      <w:r w:rsidRPr="00B93640">
        <w:rPr>
          <w:szCs w:val="24"/>
        </w:rPr>
        <w:t>Eur</w:t>
      </w:r>
      <w:proofErr w:type="spellEnd"/>
      <w:r w:rsidRPr="00B93640">
        <w:rPr>
          <w:szCs w:val="24"/>
        </w:rPr>
        <w:t xml:space="preserve">. Šių piniginių lėšų panaudojimas pateikiamas lentelėje: </w:t>
      </w:r>
      <w:r w:rsidRPr="00B93640">
        <w:rPr>
          <w:rFonts w:eastAsia="Times New Roman"/>
          <w:b/>
          <w:bCs/>
          <w:color w:val="000000"/>
          <w:szCs w:val="24"/>
          <w:lang w:eastAsia="lt-LT"/>
        </w:rPr>
        <w:tab/>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788"/>
        <w:gridCol w:w="1846"/>
      </w:tblGrid>
      <w:tr w:rsidR="00FB17E3" w:rsidRPr="00B93640" w:rsidTr="00FB17E3">
        <w:trPr>
          <w:trHeight w:val="593"/>
        </w:trPr>
        <w:tc>
          <w:tcPr>
            <w:tcW w:w="9354" w:type="dxa"/>
            <w:gridSpan w:val="3"/>
            <w:shd w:val="clear" w:color="auto" w:fill="auto"/>
          </w:tcPr>
          <w:p w:rsidR="00FB17E3" w:rsidRPr="00FB17E3" w:rsidRDefault="00FB17E3" w:rsidP="00FB17E3">
            <w:pPr>
              <w:jc w:val="center"/>
              <w:rPr>
                <w:rFonts w:ascii="Calibri" w:hAnsi="Calibri"/>
                <w:bCs/>
                <w:color w:val="000000"/>
                <w:sz w:val="22"/>
                <w:lang w:eastAsia="lt-LT"/>
              </w:rPr>
            </w:pPr>
            <w:r w:rsidRPr="00FB17E3">
              <w:rPr>
                <w:rFonts w:ascii="Calibri" w:hAnsi="Calibri"/>
                <w:bCs/>
                <w:color w:val="000000"/>
                <w:sz w:val="22"/>
                <w:lang w:eastAsia="lt-LT"/>
              </w:rPr>
              <w:t xml:space="preserve">Socialinės ir sveikatos apsaugos programa. </w:t>
            </w:r>
          </w:p>
          <w:p w:rsidR="00FB17E3" w:rsidRPr="00FB17E3" w:rsidRDefault="00FB17E3" w:rsidP="00FB17E3">
            <w:pPr>
              <w:jc w:val="center"/>
              <w:rPr>
                <w:rFonts w:ascii="Calibri" w:hAnsi="Calibri"/>
                <w:bCs/>
                <w:i/>
                <w:iCs/>
                <w:color w:val="000000"/>
                <w:sz w:val="22"/>
                <w:lang w:eastAsia="lt-LT"/>
              </w:rPr>
            </w:pPr>
            <w:r w:rsidRPr="00FB17E3">
              <w:rPr>
                <w:rFonts w:ascii="Calibri" w:hAnsi="Calibri"/>
                <w:bCs/>
                <w:color w:val="000000"/>
                <w:sz w:val="22"/>
                <w:lang w:eastAsia="lt-LT"/>
              </w:rPr>
              <w:t>Valstybės funkcija: vaikų globos ir rūpybos įstaigos</w:t>
            </w:r>
          </w:p>
        </w:tc>
      </w:tr>
      <w:tr w:rsidR="00FB17E3" w:rsidRPr="00B93640" w:rsidTr="00FB17E3">
        <w:trPr>
          <w:trHeight w:val="593"/>
        </w:trPr>
        <w:tc>
          <w:tcPr>
            <w:tcW w:w="720" w:type="dxa"/>
            <w:shd w:val="clear" w:color="auto" w:fill="auto"/>
          </w:tcPr>
          <w:p w:rsidR="00FB17E3" w:rsidRPr="00FB17E3" w:rsidRDefault="00FB17E3" w:rsidP="00FB17E3">
            <w:pPr>
              <w:spacing w:after="0" w:line="240" w:lineRule="auto"/>
              <w:rPr>
                <w:rFonts w:ascii="Calibri" w:hAnsi="Calibri"/>
                <w:bCs/>
                <w:iCs/>
                <w:color w:val="000000"/>
                <w:sz w:val="22"/>
                <w:lang w:eastAsia="lt-LT"/>
              </w:rPr>
            </w:pPr>
            <w:r w:rsidRPr="00FB17E3">
              <w:rPr>
                <w:rFonts w:ascii="Calibri" w:hAnsi="Calibri"/>
                <w:bCs/>
                <w:iCs/>
                <w:color w:val="000000"/>
                <w:sz w:val="22"/>
                <w:lang w:eastAsia="lt-LT"/>
              </w:rPr>
              <w:t>Eil. Nr.</w:t>
            </w:r>
          </w:p>
        </w:tc>
        <w:tc>
          <w:tcPr>
            <w:tcW w:w="6788" w:type="dxa"/>
            <w:shd w:val="clear" w:color="auto" w:fill="auto"/>
          </w:tcPr>
          <w:p w:rsidR="00FB17E3" w:rsidRPr="00FB17E3" w:rsidRDefault="00FB17E3" w:rsidP="00FB17E3">
            <w:pPr>
              <w:spacing w:after="0" w:line="240" w:lineRule="auto"/>
              <w:jc w:val="center"/>
              <w:rPr>
                <w:rFonts w:ascii="Calibri" w:hAnsi="Calibri"/>
                <w:bCs/>
                <w:iCs/>
                <w:color w:val="000000"/>
                <w:sz w:val="22"/>
                <w:lang w:eastAsia="lt-LT"/>
              </w:rPr>
            </w:pPr>
            <w:r w:rsidRPr="00FB17E3">
              <w:rPr>
                <w:rFonts w:ascii="Calibri" w:hAnsi="Calibri"/>
                <w:bCs/>
                <w:iCs/>
                <w:color w:val="000000"/>
                <w:sz w:val="22"/>
                <w:lang w:eastAsia="lt-LT"/>
              </w:rPr>
              <w:t>Išlaidų pavadinimas</w:t>
            </w:r>
          </w:p>
        </w:tc>
        <w:tc>
          <w:tcPr>
            <w:tcW w:w="1846" w:type="dxa"/>
            <w:shd w:val="clear" w:color="auto" w:fill="auto"/>
          </w:tcPr>
          <w:p w:rsidR="00FB17E3" w:rsidRPr="00FB17E3" w:rsidRDefault="00FB17E3" w:rsidP="00FB17E3">
            <w:pPr>
              <w:spacing w:after="0" w:line="240" w:lineRule="auto"/>
              <w:jc w:val="center"/>
              <w:rPr>
                <w:rFonts w:ascii="Calibri" w:hAnsi="Calibri"/>
                <w:bCs/>
                <w:iCs/>
                <w:color w:val="000000"/>
                <w:sz w:val="22"/>
                <w:lang w:eastAsia="lt-LT"/>
              </w:rPr>
            </w:pPr>
            <w:r w:rsidRPr="00FB17E3">
              <w:rPr>
                <w:rFonts w:ascii="Calibri" w:hAnsi="Calibri"/>
                <w:bCs/>
                <w:iCs/>
                <w:color w:val="000000"/>
                <w:sz w:val="22"/>
                <w:lang w:eastAsia="lt-LT"/>
              </w:rPr>
              <w:t xml:space="preserve">Suma, </w:t>
            </w:r>
            <w:proofErr w:type="spellStart"/>
            <w:r w:rsidRPr="00FB17E3">
              <w:rPr>
                <w:rFonts w:ascii="Calibri" w:hAnsi="Calibri"/>
                <w:bCs/>
                <w:iCs/>
                <w:color w:val="000000"/>
                <w:sz w:val="22"/>
                <w:lang w:eastAsia="lt-LT"/>
              </w:rPr>
              <w:t>Eur</w:t>
            </w:r>
            <w:proofErr w:type="spellEnd"/>
          </w:p>
        </w:tc>
      </w:tr>
      <w:tr w:rsidR="00FB17E3" w:rsidRPr="00B93640" w:rsidTr="00FB17E3">
        <w:trPr>
          <w:trHeight w:val="600"/>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1.</w:t>
            </w:r>
          </w:p>
        </w:tc>
        <w:tc>
          <w:tcPr>
            <w:tcW w:w="6788" w:type="dxa"/>
            <w:shd w:val="clear" w:color="auto" w:fill="auto"/>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Maisto produktų įsigijimui (vaikų maitinimas vaikų globos namuose)</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39380.40</w:t>
            </w:r>
          </w:p>
        </w:tc>
      </w:tr>
      <w:tr w:rsidR="00FB17E3" w:rsidRPr="00B93640" w:rsidTr="00FB17E3">
        <w:trPr>
          <w:trHeight w:val="600"/>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2.</w:t>
            </w:r>
          </w:p>
        </w:tc>
        <w:tc>
          <w:tcPr>
            <w:tcW w:w="6788" w:type="dxa"/>
            <w:shd w:val="clear" w:color="auto" w:fill="auto"/>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Vaikų maitinimui mokyklose ir ugdymo priemonėms</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2738.45</w:t>
            </w:r>
          </w:p>
        </w:tc>
      </w:tr>
      <w:tr w:rsidR="00FB17E3" w:rsidRPr="00B93640" w:rsidTr="00FB17E3">
        <w:trPr>
          <w:trHeight w:val="387"/>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3.</w:t>
            </w:r>
          </w:p>
        </w:tc>
        <w:tc>
          <w:tcPr>
            <w:tcW w:w="6788" w:type="dxa"/>
            <w:shd w:val="clear" w:color="auto" w:fill="auto"/>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Maistpinigiai globėjams</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596.96</w:t>
            </w:r>
          </w:p>
        </w:tc>
      </w:tr>
      <w:tr w:rsidR="00FB17E3" w:rsidRPr="00B93640" w:rsidTr="00FB17E3">
        <w:trPr>
          <w:trHeight w:val="422"/>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4.</w:t>
            </w:r>
          </w:p>
        </w:tc>
        <w:tc>
          <w:tcPr>
            <w:tcW w:w="6788" w:type="dxa"/>
            <w:shd w:val="clear" w:color="auto" w:fill="auto"/>
            <w:noWrap/>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Globotinių kišenpinigiams</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6038.27</w:t>
            </w:r>
          </w:p>
        </w:tc>
      </w:tr>
      <w:tr w:rsidR="00FB17E3" w:rsidRPr="00B93640" w:rsidTr="00FB17E3">
        <w:trPr>
          <w:trHeight w:val="400"/>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5.</w:t>
            </w:r>
          </w:p>
        </w:tc>
        <w:tc>
          <w:tcPr>
            <w:tcW w:w="6788" w:type="dxa"/>
            <w:shd w:val="clear" w:color="auto" w:fill="auto"/>
            <w:noWrap/>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Medikamentams, akiniams</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2800.47</w:t>
            </w:r>
          </w:p>
        </w:tc>
      </w:tr>
      <w:tr w:rsidR="00FB17E3" w:rsidRPr="00B93640" w:rsidTr="00FB17E3">
        <w:trPr>
          <w:trHeight w:val="405"/>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6.</w:t>
            </w:r>
          </w:p>
        </w:tc>
        <w:tc>
          <w:tcPr>
            <w:tcW w:w="6788" w:type="dxa"/>
            <w:shd w:val="clear" w:color="auto" w:fill="auto"/>
            <w:noWrap/>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Transporto išlaidos</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920.59</w:t>
            </w:r>
          </w:p>
        </w:tc>
      </w:tr>
      <w:tr w:rsidR="00FB17E3" w:rsidRPr="00B93640" w:rsidTr="00FB17E3">
        <w:trPr>
          <w:trHeight w:val="437"/>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7.</w:t>
            </w:r>
          </w:p>
        </w:tc>
        <w:tc>
          <w:tcPr>
            <w:tcW w:w="6788" w:type="dxa"/>
            <w:shd w:val="clear" w:color="auto" w:fill="auto"/>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Higienos ir buitinės chemijos prekėms</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5543.28</w:t>
            </w:r>
          </w:p>
        </w:tc>
      </w:tr>
      <w:tr w:rsidR="00FB17E3" w:rsidRPr="00B93640" w:rsidTr="00FB17E3">
        <w:trPr>
          <w:trHeight w:val="377"/>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8.</w:t>
            </w:r>
          </w:p>
        </w:tc>
        <w:tc>
          <w:tcPr>
            <w:tcW w:w="6788" w:type="dxa"/>
            <w:shd w:val="clear" w:color="auto" w:fill="auto"/>
            <w:noWrap/>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Globotinių gyvybės draudimui</w:t>
            </w:r>
          </w:p>
        </w:tc>
        <w:tc>
          <w:tcPr>
            <w:tcW w:w="1846" w:type="dxa"/>
            <w:shd w:val="clear" w:color="auto" w:fill="auto"/>
            <w:noWrap/>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 </w:t>
            </w:r>
          </w:p>
        </w:tc>
      </w:tr>
      <w:tr w:rsidR="00FB17E3" w:rsidRPr="00B93640" w:rsidTr="00FB17E3">
        <w:trPr>
          <w:trHeight w:val="350"/>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9.</w:t>
            </w:r>
          </w:p>
        </w:tc>
        <w:tc>
          <w:tcPr>
            <w:tcW w:w="6788" w:type="dxa"/>
            <w:shd w:val="clear" w:color="auto" w:fill="auto"/>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Ūkinėms ir kanceliarinėms prekėms</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4308.56</w:t>
            </w:r>
          </w:p>
        </w:tc>
      </w:tr>
      <w:tr w:rsidR="00FB17E3" w:rsidRPr="00B93640" w:rsidTr="00FB17E3">
        <w:trPr>
          <w:trHeight w:val="379"/>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10.</w:t>
            </w:r>
          </w:p>
        </w:tc>
        <w:tc>
          <w:tcPr>
            <w:tcW w:w="6788" w:type="dxa"/>
            <w:shd w:val="clear" w:color="auto" w:fill="auto"/>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Remonto, eksploatacinėms ir kitoms išlaidoms</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4727.25</w:t>
            </w:r>
          </w:p>
        </w:tc>
      </w:tr>
      <w:tr w:rsidR="00FB17E3" w:rsidRPr="00B93640" w:rsidTr="00FB17E3">
        <w:trPr>
          <w:trHeight w:val="367"/>
        </w:trPr>
        <w:tc>
          <w:tcPr>
            <w:tcW w:w="720" w:type="dxa"/>
            <w:shd w:val="clear" w:color="auto" w:fill="auto"/>
            <w:noWrap/>
          </w:tcPr>
          <w:p w:rsidR="00FB17E3" w:rsidRPr="00FB17E3" w:rsidRDefault="00FB17E3" w:rsidP="00FB17E3">
            <w:pPr>
              <w:spacing w:after="0" w:line="240" w:lineRule="auto"/>
              <w:jc w:val="center"/>
              <w:rPr>
                <w:rFonts w:ascii="Calibri" w:hAnsi="Calibri"/>
                <w:color w:val="000000"/>
                <w:sz w:val="22"/>
                <w:lang w:eastAsia="lt-LT"/>
              </w:rPr>
            </w:pPr>
            <w:r w:rsidRPr="00FB17E3">
              <w:rPr>
                <w:rFonts w:ascii="Calibri" w:hAnsi="Calibri"/>
                <w:color w:val="000000"/>
                <w:sz w:val="22"/>
                <w:lang w:eastAsia="lt-LT"/>
              </w:rPr>
              <w:t>11.</w:t>
            </w:r>
          </w:p>
        </w:tc>
        <w:tc>
          <w:tcPr>
            <w:tcW w:w="6788" w:type="dxa"/>
            <w:shd w:val="clear" w:color="auto" w:fill="auto"/>
            <w:noWrap/>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Komunalinės paslaugos</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1983.84</w:t>
            </w:r>
          </w:p>
        </w:tc>
      </w:tr>
      <w:tr w:rsidR="00FB17E3" w:rsidRPr="00B93640" w:rsidTr="00FB17E3">
        <w:trPr>
          <w:trHeight w:val="367"/>
        </w:trPr>
        <w:tc>
          <w:tcPr>
            <w:tcW w:w="720" w:type="dxa"/>
            <w:shd w:val="clear" w:color="auto" w:fill="auto"/>
            <w:noWrap/>
          </w:tcPr>
          <w:p w:rsidR="00FB17E3" w:rsidRPr="00FB17E3" w:rsidRDefault="00FB17E3" w:rsidP="00FB17E3">
            <w:pPr>
              <w:spacing w:after="0" w:line="240" w:lineRule="auto"/>
              <w:rPr>
                <w:rFonts w:ascii="Calibri" w:hAnsi="Calibri"/>
                <w:color w:val="000000"/>
                <w:sz w:val="22"/>
                <w:lang w:eastAsia="lt-LT"/>
              </w:rPr>
            </w:pPr>
            <w:r w:rsidRPr="00FB17E3">
              <w:rPr>
                <w:rFonts w:ascii="Calibri" w:hAnsi="Calibri"/>
                <w:color w:val="000000"/>
                <w:sz w:val="22"/>
                <w:lang w:eastAsia="lt-LT"/>
              </w:rPr>
              <w:t> </w:t>
            </w:r>
          </w:p>
        </w:tc>
        <w:tc>
          <w:tcPr>
            <w:tcW w:w="6788"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 Iš viso:</w:t>
            </w:r>
          </w:p>
        </w:tc>
        <w:tc>
          <w:tcPr>
            <w:tcW w:w="1846" w:type="dxa"/>
            <w:shd w:val="clear" w:color="auto" w:fill="auto"/>
            <w:noWrap/>
          </w:tcPr>
          <w:p w:rsidR="00FB17E3" w:rsidRPr="00FB17E3" w:rsidRDefault="00FB17E3" w:rsidP="00FB17E3">
            <w:pPr>
              <w:spacing w:after="0" w:line="240" w:lineRule="auto"/>
              <w:jc w:val="right"/>
              <w:rPr>
                <w:rFonts w:ascii="Calibri" w:hAnsi="Calibri"/>
                <w:color w:val="000000"/>
                <w:sz w:val="22"/>
                <w:lang w:eastAsia="lt-LT"/>
              </w:rPr>
            </w:pPr>
            <w:r w:rsidRPr="00FB17E3">
              <w:rPr>
                <w:rFonts w:ascii="Calibri" w:hAnsi="Calibri"/>
                <w:color w:val="000000"/>
                <w:sz w:val="22"/>
                <w:lang w:eastAsia="lt-LT"/>
              </w:rPr>
              <w:t>69038.07</w:t>
            </w:r>
          </w:p>
        </w:tc>
      </w:tr>
    </w:tbl>
    <w:p w:rsidR="00FB17E3" w:rsidRPr="00B93640" w:rsidRDefault="00FB17E3" w:rsidP="00FB17E3">
      <w:pPr>
        <w:spacing w:after="0" w:line="360" w:lineRule="auto"/>
        <w:jc w:val="both"/>
        <w:rPr>
          <w:szCs w:val="24"/>
        </w:rPr>
      </w:pPr>
      <w:r w:rsidRPr="00B93640">
        <w:rPr>
          <w:szCs w:val="24"/>
        </w:rPr>
        <w:tab/>
      </w:r>
    </w:p>
    <w:p w:rsidR="00FB17E3" w:rsidRPr="00B93640" w:rsidRDefault="00FB17E3" w:rsidP="00FB17E3">
      <w:pPr>
        <w:spacing w:after="0" w:line="360" w:lineRule="auto"/>
        <w:ind w:firstLine="1296"/>
        <w:jc w:val="both"/>
        <w:rPr>
          <w:color w:val="244061"/>
          <w:szCs w:val="24"/>
        </w:rPr>
      </w:pPr>
      <w:r w:rsidRPr="00B93640">
        <w:rPr>
          <w:szCs w:val="24"/>
        </w:rPr>
        <w:t xml:space="preserve">2018 m. vidutinės vieno vaiko išlaikymo išlaidos (patirtos sąnaudos) Vaikų globos namuose bei jų padaliniuose bendruomeniniuose vaikų globos namuose sudarė 932,81 </w:t>
      </w:r>
      <w:proofErr w:type="spellStart"/>
      <w:r w:rsidRPr="00B93640">
        <w:rPr>
          <w:szCs w:val="24"/>
        </w:rPr>
        <w:t>Eur</w:t>
      </w:r>
      <w:proofErr w:type="spellEnd"/>
      <w:r w:rsidRPr="00B93640">
        <w:rPr>
          <w:szCs w:val="24"/>
        </w:rPr>
        <w:t>.</w:t>
      </w:r>
    </w:p>
    <w:p w:rsidR="00FB17E3" w:rsidRPr="00B93640" w:rsidRDefault="00FB17E3" w:rsidP="00FB17E3">
      <w:pPr>
        <w:shd w:val="clear" w:color="auto" w:fill="FFFFFF"/>
        <w:spacing w:after="0" w:line="360" w:lineRule="auto"/>
        <w:jc w:val="both"/>
        <w:rPr>
          <w:rFonts w:eastAsia="Times New Roman"/>
          <w:szCs w:val="24"/>
          <w:lang w:eastAsia="lt-LT"/>
        </w:rPr>
      </w:pPr>
      <w:r w:rsidRPr="00B93640">
        <w:rPr>
          <w:szCs w:val="24"/>
        </w:rPr>
        <w:tab/>
        <w:t>Parama.</w:t>
      </w:r>
      <w:r w:rsidRPr="00B93640">
        <w:rPr>
          <w:b/>
          <w:szCs w:val="24"/>
        </w:rPr>
        <w:t xml:space="preserve"> </w:t>
      </w:r>
      <w:r w:rsidRPr="00B93640">
        <w:rPr>
          <w:szCs w:val="24"/>
        </w:rPr>
        <w:t xml:space="preserve"> Per 2018 m. globos namai gavo 620.18 </w:t>
      </w:r>
      <w:proofErr w:type="spellStart"/>
      <w:r w:rsidRPr="00B93640">
        <w:rPr>
          <w:szCs w:val="24"/>
        </w:rPr>
        <w:t>Eur</w:t>
      </w:r>
      <w:proofErr w:type="spellEnd"/>
      <w:r w:rsidRPr="00B93640">
        <w:rPr>
          <w:szCs w:val="24"/>
        </w:rPr>
        <w:t xml:space="preserve"> paramos: iš </w:t>
      </w:r>
      <w:r w:rsidRPr="00B93640">
        <w:rPr>
          <w:rFonts w:eastAsia="Times New Roman"/>
          <w:szCs w:val="24"/>
          <w:lang w:eastAsia="lt-LT"/>
        </w:rPr>
        <w:t xml:space="preserve">AB „Žemaitijos pienas“  –  286.41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UAB </w:t>
      </w:r>
      <w:proofErr w:type="spellStart"/>
      <w:r w:rsidRPr="00B93640">
        <w:rPr>
          <w:rFonts w:eastAsia="Times New Roman"/>
          <w:szCs w:val="24"/>
          <w:lang w:eastAsia="lt-LT"/>
        </w:rPr>
        <w:t>Slavita</w:t>
      </w:r>
      <w:proofErr w:type="spellEnd"/>
      <w:r w:rsidRPr="00B93640">
        <w:rPr>
          <w:rFonts w:eastAsia="Times New Roman"/>
          <w:szCs w:val="24"/>
          <w:lang w:eastAsia="lt-LT"/>
        </w:rPr>
        <w:t xml:space="preserve"> – 150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Šiaulių tardymo izoliatorius – 20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Valstybinės mokesčių inspekcijos pagal LR labdaros ir paramos įstatymą  –  163,77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Likutis 2017 m. gruodžio 31 d. buvo 854,81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Per 2018 m. iš šių pinigų buvo pirkta nusileidimas vasaros rogučių </w:t>
      </w:r>
      <w:proofErr w:type="spellStart"/>
      <w:r w:rsidRPr="00B93640">
        <w:rPr>
          <w:rFonts w:eastAsia="Times New Roman"/>
          <w:szCs w:val="24"/>
          <w:lang w:eastAsia="lt-LT"/>
        </w:rPr>
        <w:t>trąsa</w:t>
      </w:r>
      <w:proofErr w:type="spellEnd"/>
      <w:r w:rsidRPr="00B93640">
        <w:rPr>
          <w:rFonts w:eastAsia="Times New Roman"/>
          <w:szCs w:val="24"/>
          <w:lang w:eastAsia="lt-LT"/>
        </w:rPr>
        <w:t xml:space="preserve"> 105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traukinuko bilietai 35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autobuso nuoma 375,21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gido paslaugos 35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bilietai į vandens parką 238,50 </w:t>
      </w:r>
      <w:proofErr w:type="spellStart"/>
      <w:r w:rsidRPr="00B93640">
        <w:rPr>
          <w:rFonts w:eastAsia="Times New Roman"/>
          <w:szCs w:val="24"/>
          <w:lang w:eastAsia="lt-LT"/>
        </w:rPr>
        <w:t>Eur</w:t>
      </w:r>
      <w:proofErr w:type="spellEnd"/>
      <w:r w:rsidRPr="00B93640">
        <w:rPr>
          <w:rFonts w:eastAsia="Times New Roman"/>
          <w:szCs w:val="24"/>
          <w:lang w:eastAsia="lt-LT"/>
        </w:rPr>
        <w:t xml:space="preserve">,   2018 m. gruodžio 31 d. paramos lėšų likutis 686,28 </w:t>
      </w:r>
      <w:proofErr w:type="spellStart"/>
      <w:r w:rsidRPr="00B93640">
        <w:rPr>
          <w:rFonts w:eastAsia="Times New Roman"/>
          <w:szCs w:val="24"/>
          <w:lang w:eastAsia="lt-LT"/>
        </w:rPr>
        <w:t>Eur</w:t>
      </w:r>
      <w:proofErr w:type="spellEnd"/>
      <w:r w:rsidRPr="00B93640">
        <w:rPr>
          <w:rFonts w:eastAsia="Times New Roman"/>
          <w:szCs w:val="24"/>
          <w:lang w:eastAsia="lt-LT"/>
        </w:rPr>
        <w:t>.</w:t>
      </w:r>
    </w:p>
    <w:p w:rsidR="00FB17E3" w:rsidRPr="00B93640" w:rsidRDefault="00FB17E3" w:rsidP="00FB17E3">
      <w:pPr>
        <w:shd w:val="clear" w:color="auto" w:fill="FFFFFF"/>
        <w:spacing w:after="0" w:line="360" w:lineRule="auto"/>
        <w:jc w:val="both"/>
        <w:rPr>
          <w:rFonts w:eastAsia="Times New Roman"/>
          <w:color w:val="244061"/>
          <w:szCs w:val="24"/>
          <w:lang w:eastAsia="lt-LT"/>
        </w:rPr>
      </w:pPr>
      <w:r w:rsidRPr="00B93640">
        <w:rPr>
          <w:rFonts w:eastAsia="Times New Roman"/>
          <w:szCs w:val="24"/>
          <w:lang w:eastAsia="lt-LT"/>
        </w:rPr>
        <w:t xml:space="preserve">2018 m. iš Valstybės vaiko teisių apsaugos ir įvaikinimo tarnybos gauta 22249,40 </w:t>
      </w:r>
      <w:proofErr w:type="spellStart"/>
      <w:r w:rsidRPr="00B93640">
        <w:rPr>
          <w:rFonts w:eastAsia="Times New Roman"/>
          <w:szCs w:val="24"/>
          <w:lang w:eastAsia="lt-LT"/>
        </w:rPr>
        <w:t>Eur</w:t>
      </w:r>
      <w:proofErr w:type="spellEnd"/>
      <w:r w:rsidRPr="00B93640">
        <w:rPr>
          <w:rFonts w:eastAsia="Times New Roman"/>
          <w:szCs w:val="24"/>
          <w:lang w:eastAsia="lt-LT"/>
        </w:rPr>
        <w:t>, pinigai panaudoti atlyginimams ir socialinio draudimo įmokoms (pagal 2018 m. kovo 9 d. pasirašytą sutartį Nr. 14-7 ir 2018 m. rugpjūčio 24 d. pasirašytą sutartį Nr. 14-102).</w:t>
      </w:r>
    </w:p>
    <w:p w:rsidR="00FB17E3" w:rsidRPr="00B93640" w:rsidRDefault="00FB17E3" w:rsidP="00FB17E3">
      <w:pPr>
        <w:shd w:val="clear" w:color="auto" w:fill="FFFFFF"/>
        <w:spacing w:after="0" w:line="360" w:lineRule="auto"/>
        <w:jc w:val="both"/>
        <w:rPr>
          <w:rFonts w:eastAsia="Times New Roman"/>
          <w:b/>
          <w:szCs w:val="24"/>
          <w:lang w:eastAsia="lt-LT"/>
        </w:rPr>
      </w:pPr>
      <w:r w:rsidRPr="00B93640">
        <w:rPr>
          <w:szCs w:val="24"/>
        </w:rPr>
        <w:tab/>
      </w:r>
    </w:p>
    <w:p w:rsidR="00FB17E3" w:rsidRPr="00B93640" w:rsidRDefault="00FB17E3" w:rsidP="00FB17E3">
      <w:pPr>
        <w:spacing w:after="0" w:line="360" w:lineRule="auto"/>
        <w:jc w:val="both"/>
        <w:rPr>
          <w:szCs w:val="24"/>
        </w:rPr>
      </w:pPr>
    </w:p>
    <w:p w:rsidR="00FB17E3" w:rsidRPr="00B93640" w:rsidRDefault="00FB17E3" w:rsidP="00FB17E3">
      <w:pPr>
        <w:spacing w:after="0" w:line="360" w:lineRule="auto"/>
        <w:jc w:val="both"/>
        <w:rPr>
          <w:b/>
          <w:szCs w:val="24"/>
        </w:rPr>
      </w:pPr>
      <w:r w:rsidRPr="00B93640">
        <w:rPr>
          <w:szCs w:val="24"/>
        </w:rPr>
        <w:t>Direktorius</w:t>
      </w:r>
      <w:r w:rsidRPr="00B93640">
        <w:rPr>
          <w:szCs w:val="24"/>
        </w:rPr>
        <w:tab/>
      </w:r>
      <w:r w:rsidRPr="00B93640">
        <w:rPr>
          <w:szCs w:val="24"/>
        </w:rPr>
        <w:tab/>
      </w:r>
      <w:r w:rsidRPr="00B93640">
        <w:rPr>
          <w:szCs w:val="24"/>
        </w:rPr>
        <w:tab/>
      </w:r>
      <w:r w:rsidRPr="00B93640">
        <w:rPr>
          <w:szCs w:val="24"/>
        </w:rPr>
        <w:tab/>
      </w:r>
      <w:r w:rsidRPr="00B93640">
        <w:rPr>
          <w:szCs w:val="24"/>
        </w:rPr>
        <w:tab/>
        <w:t xml:space="preserve">            Vytautas </w:t>
      </w:r>
      <w:proofErr w:type="spellStart"/>
      <w:r w:rsidRPr="00B93640">
        <w:rPr>
          <w:szCs w:val="24"/>
        </w:rPr>
        <w:t>Koženiauskas</w:t>
      </w:r>
      <w:proofErr w:type="spellEnd"/>
    </w:p>
    <w:p w:rsidR="00FB17E3" w:rsidRPr="00B93640" w:rsidRDefault="00FB17E3" w:rsidP="00FB17E3">
      <w:pPr>
        <w:rPr>
          <w:sz w:val="22"/>
        </w:rPr>
      </w:pPr>
    </w:p>
    <w:p w:rsidR="00FB17E3" w:rsidRDefault="00FB17E3" w:rsidP="00FB17E3">
      <w:pPr>
        <w:spacing w:after="0" w:line="360" w:lineRule="auto"/>
        <w:jc w:val="both"/>
        <w:rPr>
          <w:rFonts w:eastAsia="Times New Roman"/>
          <w:b/>
          <w:color w:val="000000"/>
          <w:szCs w:val="24"/>
          <w:lang w:eastAsia="lt-LT"/>
        </w:rPr>
      </w:pPr>
    </w:p>
    <w:p w:rsidR="00FB17E3" w:rsidRPr="004823F7" w:rsidRDefault="00FB17E3" w:rsidP="00FB17E3">
      <w:pPr>
        <w:spacing w:after="0" w:line="360" w:lineRule="auto"/>
        <w:jc w:val="both"/>
        <w:rPr>
          <w:rFonts w:eastAsia="Times New Roman"/>
          <w:b/>
          <w:color w:val="000000"/>
          <w:szCs w:val="24"/>
          <w:lang w:eastAsia="lt-LT"/>
        </w:rPr>
      </w:pPr>
    </w:p>
    <w:p w:rsidR="007C265F" w:rsidRDefault="007C265F"/>
    <w:sectPr w:rsidR="007C265F" w:rsidSect="004F352B">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52B" w:rsidRDefault="004F352B" w:rsidP="004F352B">
      <w:pPr>
        <w:spacing w:after="0" w:line="240" w:lineRule="auto"/>
      </w:pPr>
      <w:r>
        <w:separator/>
      </w:r>
    </w:p>
  </w:endnote>
  <w:endnote w:type="continuationSeparator" w:id="0">
    <w:p w:rsidR="004F352B" w:rsidRDefault="004F352B" w:rsidP="004F3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52B" w:rsidRDefault="004F352B" w:rsidP="004F352B">
      <w:pPr>
        <w:spacing w:after="0" w:line="240" w:lineRule="auto"/>
      </w:pPr>
      <w:r>
        <w:separator/>
      </w:r>
    </w:p>
  </w:footnote>
  <w:footnote w:type="continuationSeparator" w:id="0">
    <w:p w:rsidR="004F352B" w:rsidRDefault="004F352B" w:rsidP="004F3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2B" w:rsidRDefault="00B76314">
    <w:pPr>
      <w:pStyle w:val="Antrats"/>
      <w:jc w:val="center"/>
    </w:pPr>
    <w:fldSimple w:instr=" PAGE   \* MERGEFORMAT ">
      <w:r w:rsidR="000A25EA">
        <w:rPr>
          <w:noProof/>
        </w:rPr>
        <w:t>2</w:t>
      </w:r>
    </w:fldSimple>
  </w:p>
  <w:p w:rsidR="004F352B" w:rsidRDefault="004F352B">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B17E3"/>
    <w:rsid w:val="000A25EA"/>
    <w:rsid w:val="004F352B"/>
    <w:rsid w:val="007703B9"/>
    <w:rsid w:val="007C265F"/>
    <w:rsid w:val="00B76314"/>
    <w:rsid w:val="00C64B37"/>
    <w:rsid w:val="00FB17E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4B37"/>
    <w:pPr>
      <w:spacing w:after="160" w:line="259"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FB17E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39"/>
    <w:rsid w:val="00FB1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F352B"/>
    <w:pPr>
      <w:tabs>
        <w:tab w:val="center" w:pos="4819"/>
        <w:tab w:val="right" w:pos="9638"/>
      </w:tabs>
    </w:pPr>
  </w:style>
  <w:style w:type="character" w:customStyle="1" w:styleId="AntratsDiagrama">
    <w:name w:val="Antraštės Diagrama"/>
    <w:basedOn w:val="Numatytasispastraiposriftas"/>
    <w:link w:val="Antrats"/>
    <w:uiPriority w:val="99"/>
    <w:rsid w:val="004F352B"/>
    <w:rPr>
      <w:sz w:val="24"/>
      <w:szCs w:val="22"/>
      <w:lang w:eastAsia="en-US"/>
    </w:rPr>
  </w:style>
  <w:style w:type="paragraph" w:styleId="Porat">
    <w:name w:val="footer"/>
    <w:basedOn w:val="prastasis"/>
    <w:link w:val="PoratDiagrama"/>
    <w:uiPriority w:val="99"/>
    <w:semiHidden/>
    <w:unhideWhenUsed/>
    <w:rsid w:val="004F352B"/>
    <w:pPr>
      <w:tabs>
        <w:tab w:val="center" w:pos="4819"/>
        <w:tab w:val="right" w:pos="9638"/>
      </w:tabs>
    </w:pPr>
  </w:style>
  <w:style w:type="character" w:customStyle="1" w:styleId="PoratDiagrama">
    <w:name w:val="Poraštė Diagrama"/>
    <w:basedOn w:val="Numatytasispastraiposriftas"/>
    <w:link w:val="Porat"/>
    <w:uiPriority w:val="99"/>
    <w:semiHidden/>
    <w:rsid w:val="004F352B"/>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12971</Words>
  <Characters>7395</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laima_b</dc:creator>
  <cp:lastModifiedBy>grazina_s</cp:lastModifiedBy>
  <cp:revision>2</cp:revision>
  <cp:lastPrinted>2019-04-24T11:29:00Z</cp:lastPrinted>
  <dcterms:created xsi:type="dcterms:W3CDTF">2019-05-15T11:02:00Z</dcterms:created>
  <dcterms:modified xsi:type="dcterms:W3CDTF">2019-05-15T11:02:00Z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1c10e7c3-7b73-4f37-87dc-5ab1a56bc0b7</vt:lpwstr>
  </op:property>
</op:Properties>
</file>