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a7a8a8e22dad4df282379e6e99f6dfb8"/>
        <w:lock w:val="sdtLocked"/>
        <w:richText/>
      </w:sdtPr>
      <w:sdtContent>
        <w:p>
          <w:pPr>
            <w:tabs>
              <w:tab w:val="center" w:pos="4819"/>
              <w:tab w:val="right" w:pos="9638"/>
            </w:tabs>
            <w:rPr>
              <w:sz w:val="22"/>
              <w:szCs w:val="22"/>
            </w:rPr>
          </w:pPr>
        </w:p>
        <w:p>
          <w:pPr>
            <w:spacing w:line="276" w:lineRule="auto"/>
            <w:jc w:val="center"/>
            <w:rPr>
              <w:rFonts w:ascii="Calibri" w:eastAsia="Calibri" w:hAnsi="Calibri"/>
              <w:sz w:val="22"/>
              <w:szCs w:val="22"/>
            </w:rPr>
          </w:pPr>
        </w:p>
        <w:p>
          <w:pPr>
            <w:rPr>
              <w:sz w:val="18"/>
              <w:szCs w:val="18"/>
            </w:rPr>
          </w:pPr>
        </w:p>
        <w:p>
          <w:pPr>
            <w:ind w:left="10206"/>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1  </w:t>
          </w:r>
          <w:sdt>
            <w:sdtPr>
              <w:alias w:val="Numeris"/>
              <w:tag w:val="nr_a7a8a8e22dad4df282379e6e99f6dfb8"/>
              <w:lock w:val="sdtLocked"/>
              <w:richText/>
            </w:sdtPr>
            <w:sdtContent>
              <w:r>
                <w:rPr>
                  <w:szCs w:val="24"/>
                </w:rPr>
                <w:t>1</w:t>
              </w:r>
            </w:sdtContent>
          </w:sdt>
          <w:r>
            <w:rPr>
              <w:szCs w:val="24"/>
            </w:rPr>
            <w:t xml:space="preserve"> priedas</w:t>
          </w:r>
        </w:p>
        <w:p>
          <w:pPr>
            <w:jc w:val="center"/>
            <w:rPr>
              <w:szCs w:val="24"/>
            </w:rPr>
          </w:pPr>
        </w:p>
        <w:p>
          <w:pPr>
            <w:jc w:val="center"/>
            <w:rPr>
              <w:rFonts w:eastAsia="Calibri"/>
              <w:b/>
              <w:bCs/>
              <w:szCs w:val="24"/>
            </w:rPr>
          </w:pPr>
          <w:sdt>
            <w:sdtPr>
              <w:alias w:val="Pavadinimas"/>
              <w:tag w:val="title_a7a8a8e22dad4df282379e6e99f6dfb8"/>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pPr>
            <w:spacing w:line="276" w:lineRule="auto"/>
            <w:jc w:val="both"/>
            <w:rPr>
              <w:rFonts w:eastAsia="Calibri"/>
              <w:bCs/>
              <w:szCs w:val="24"/>
            </w:rPr>
          </w:pPr>
          <w:r>
            <w:t xml:space="preserve">X </w:t>
          </w:r>
          <w:r>
            <w:rPr>
              <w:rFonts w:eastAsia="Calibri"/>
              <w:bCs/>
              <w:szCs w:val="24"/>
            </w:rPr>
            <w:t>Ekonomikos gaivinimo ir atsparumo didinimo priemonė (toliau – EGADP)</w:t>
          </w:r>
        </w:p>
        <w:p>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tc>
              <w:tcPr>
                <w:tcW w:w="3261"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pPr>
                  <w:jc w:val="center"/>
                  <w:rPr>
                    <w:rFonts w:eastAsia="Calibri"/>
                    <w:i/>
                    <w:szCs w:val="24"/>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3261" w:type="dxa"/>
              </w:tcPr>
              <w:p>
                <w:pPr>
                  <w:tabs>
                    <w:tab w:val="left" w:pos="289"/>
                  </w:tabs>
                  <w:ind w:firstLine="5"/>
                  <w:jc w:val="both"/>
                  <w:rPr>
                    <w:rFonts w:eastAsia="Calibri"/>
                    <w:szCs w:val="24"/>
                  </w:rPr>
                </w:pPr>
                <w:r>
                  <w:rPr>
                    <w:rFonts w:eastAsia="Calibri"/>
                    <w:szCs w:val="24"/>
                  </w:rPr>
                  <w:t>1.</w:t>
                  <w:tab/>
                  <w:t>Klimato kaitos švelninimas</w:t>
                </w:r>
              </w:p>
            </w:tc>
            <w:tc>
              <w:tcPr>
                <w:tcW w:w="5670" w:type="dxa"/>
              </w:tcPr>
              <w:p>
                <w:pPr>
                  <w:jc w:val="both"/>
                  <w:rPr>
                    <w:rFonts w:eastAsia="Calibri"/>
                    <w:bCs/>
                    <w:iCs/>
                    <w:szCs w:val="24"/>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išmetamų šiltnamio efektą sukeliančių dujų išsiskyrimo. Planuojamos priemonės veiklos (pagal savo pobūdį) neturi jokio tiesioginio ar netiesioginio neigiamo poveikio šiam aplinkos tikslui.</w:t>
                </w:r>
              </w:p>
            </w:tc>
            <w:tc>
              <w:tcPr>
                <w:tcW w:w="5334" w:type="dxa"/>
              </w:tcPr>
              <w:p>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w:t>
                </w:r>
              </w:p>
              <w:p>
                <w:pPr>
                  <w:tabs>
                    <w:tab w:val="left" w:pos="589"/>
                  </w:tabs>
                  <w:jc w:val="both"/>
                  <w:rPr>
                    <w:rFonts w:eastAsia="Calibri"/>
                    <w:iCs/>
                    <w:szCs w:val="24"/>
                  </w:rPr>
                </w:pPr>
                <w:r>
                  <w:rPr>
                    <w:bCs/>
                    <w:szCs w:val="24"/>
                  </w:rPr>
                  <w:t>ir yra į tai nukreiptos.</w:t>
                </w:r>
              </w:p>
            </w:tc>
          </w:tr>
          <w:tr>
            <w:tc>
              <w:tcPr>
                <w:tcW w:w="3261" w:type="dxa"/>
              </w:tcPr>
              <w:p>
                <w:pPr>
                  <w:tabs>
                    <w:tab w:val="left" w:pos="289"/>
                  </w:tabs>
                  <w:ind w:firstLine="5"/>
                  <w:jc w:val="both"/>
                  <w:rPr>
                    <w:rFonts w:eastAsia="Calibri"/>
                    <w:szCs w:val="24"/>
                  </w:rPr>
                </w:pPr>
                <w:r>
                  <w:rPr>
                    <w:rFonts w:eastAsia="Calibri"/>
                    <w:szCs w:val="24"/>
                  </w:rPr>
                  <w:t>2.</w:t>
                  <w:tab/>
                  <w:t>Prisitaikymas prie klimato kaitos</w:t>
                </w:r>
              </w:p>
            </w:tc>
            <w:tc>
              <w:tcPr>
                <w:tcW w:w="5670" w:type="dxa"/>
              </w:tcPr>
              <w:p>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pPr>
                  <w:jc w:val="both"/>
                  <w:rPr>
                    <w:rFonts w:eastAsia="Calibri"/>
                    <w:b/>
                    <w:szCs w:val="24"/>
                    <w:highlight w:val="green"/>
                  </w:rPr>
                </w:pPr>
              </w:p>
            </w:tc>
          </w:tr>
          <w:tr>
            <w:tc>
              <w:tcPr>
                <w:tcW w:w="3261"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5670" w:type="dxa"/>
              </w:tcPr>
              <w:p>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5334" w:type="dxa"/>
              </w:tcPr>
              <w:p>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pPr>
                  <w:jc w:val="both"/>
                  <w:rPr>
                    <w:rFonts w:eastAsia="Calibri"/>
                    <w:bCs/>
                    <w:szCs w:val="24"/>
                    <w:highlight w:val="green"/>
                  </w:rPr>
                </w:pPr>
              </w:p>
            </w:tc>
          </w:tr>
          <w:tr>
            <w:tc>
              <w:tcPr>
                <w:tcW w:w="3261"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5670" w:type="dxa"/>
              </w:tcPr>
              <w:p>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p>
                <w:pPr>
                  <w:jc w:val="both"/>
                  <w:rPr>
                    <w:bCs/>
                    <w:szCs w:val="24"/>
                  </w:rPr>
                </w:pPr>
              </w:p>
              <w:p>
                <w:pPr>
                  <w:jc w:val="both"/>
                  <w:rPr>
                    <w:rFonts w:eastAsia="Calibri"/>
                    <w:bCs/>
                    <w:i/>
                    <w:iCs/>
                    <w:szCs w:val="24"/>
                  </w:rPr>
                </w:pPr>
              </w:p>
            </w:tc>
            <w:tc>
              <w:tcPr>
                <w:tcW w:w="5334" w:type="dxa"/>
              </w:tcPr>
              <w:p>
                <w:pPr>
                  <w:jc w:val="both"/>
                  <w:rPr>
                    <w:bCs/>
                    <w:szCs w:val="24"/>
                  </w:rPr>
                </w:pPr>
                <w:r>
                  <w:rPr>
                    <w:bCs/>
                    <w:szCs w:val="24"/>
                  </w:rPr>
                  <w:t xml:space="preserve">Įsigyjama įranga turės atitikti 2009 m. spalio 21 d. Europos Parlamento ir Tarybos direktyvos </w:t>
                </w:r>
                <w:r>
                  <w:rPr>
                    <w:bCs/>
                    <w:szCs w:val="24"/>
                  </w:rPr>
                  <w:t>2009/125/EB</w:t>
                </w:r>
                <w:r>
                  <w:rPr>
                    <w:bCs/>
                    <w:szCs w:val="24"/>
                  </w:rPr>
                  <w:t xml:space="preserve">, nustatančios ekologinio projektavimo reikalavimų su energija susijusiems gaminiams nustatymo sistemą, nuostatas. Atitiktis vertinama pagal pateikiamų pirkimo dokumentų informaciją. </w:t>
                </w:r>
              </w:p>
              <w:p>
                <w:pPr>
                  <w:rPr>
                    <w:sz w:val="18"/>
                    <w:szCs w:val="18"/>
                  </w:rPr>
                </w:pPr>
              </w:p>
              <w:p>
                <w:pPr>
                  <w:jc w:val="both"/>
                  <w:rPr>
                    <w:rFonts w:eastAsia="Calibri"/>
                    <w:bCs/>
                    <w:szCs w:val="24"/>
                    <w:highlight w:val="green"/>
                  </w:rPr>
                </w:pPr>
                <w:r>
                  <w:rPr>
                    <w:bCs/>
                    <w:szCs w:val="24"/>
                  </w:rPr>
                  <w:t xml:space="preserve">Taip pat įgyvendinant projektus bus laikomasi 2012 m. liepos 4 d. Europos Parlamento ir Tarybos direktyvos 2012/19/ES dėl elektros ir elektroninės įrangos atliekų“, OL L 2012, 197,  p. 38</w:t>
                </w:r>
                <w:r>
                  <w:rPr>
                    <w:rFonts w:eastAsia="Calibri"/>
                    <w:sz w:val="22"/>
                    <w:szCs w:val="22"/>
                  </w:rPr>
                  <w:t>–</w:t>
                </w:r>
                <w:r>
                  <w:rPr>
                    <w:bCs/>
                    <w:szCs w:val="24"/>
                  </w:rPr>
                  <w:t xml:space="preserve">71 nuostatų. Įranga, baigusi savo gyvavimo ciklą, bus sutvarkoma vadovaujantis Europos Parlamento ir Tarybos direktyvos 2012/19/ES dėl elektros ir elektroninės įrangos atliekų (OL L 2012, 197, p. 38) nuostatomis. Atitiktis vertinama pagal pateikiamą </w:t>
                </w:r>
                <w:r>
                  <w:rPr>
                    <w:color w:val="000000"/>
                    <w:szCs w:val="24"/>
                  </w:rPr>
                  <w:t xml:space="preserve">Pareiškėjo (partnerio) įsipareigojimo dėl elektros ir elektroninės įrangos, baigusios gyvavimo ciklą, perdavimo sutvarkyti deklaraciją </w:t>
                </w:r>
                <w:r>
                  <w:rPr>
                    <w:bCs/>
                    <w:szCs w:val="24"/>
                  </w:rPr>
                  <w:t>(Projektų finansavimo sąlygų aprašo 2 priedas).</w:t>
                </w:r>
              </w:p>
            </w:tc>
          </w:tr>
          <w:tr>
            <w:tc>
              <w:tcPr>
                <w:tcW w:w="3261"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5670" w:type="dxa"/>
              </w:tcPr>
              <w:p>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4" w:type="dxa"/>
              </w:tcPr>
              <w:p>
                <w:pPr>
                  <w:jc w:val="both"/>
                  <w:rPr>
                    <w:bCs/>
                    <w:szCs w:val="24"/>
                  </w:rPr>
                </w:pPr>
                <w:r>
                  <w:rPr>
                    <w:bCs/>
                    <w:szCs w:val="24"/>
                  </w:rPr>
                  <w:t xml:space="preserve">Netaikoma, nes priemonės veiklos apima duomenų sveikatos sektoriuje skaitmeninimą ir prieinamumo didinimą diegiant šiuolaikines technologijas, kuriant reikalingas sąsajas ir kuriant skaitmeninį turinį, ir yra į tai nukreiptos. </w:t>
                </w:r>
              </w:p>
              <w:p>
                <w:pPr>
                  <w:jc w:val="both"/>
                  <w:rPr>
                    <w:rFonts w:eastAsia="Calibri"/>
                    <w:szCs w:val="24"/>
                    <w:highlight w:val="green"/>
                  </w:rPr>
                </w:pPr>
              </w:p>
            </w:tc>
          </w:tr>
          <w:tr>
            <w:tc>
              <w:tcPr>
                <w:tcW w:w="3261"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5670" w:type="dxa"/>
              </w:tcPr>
              <w:p>
                <w:pPr>
                  <w:jc w:val="both"/>
                  <w:rPr>
                    <w:rFonts w:eastAsia="Calibri"/>
                    <w:bCs/>
                    <w:szCs w:val="24"/>
                  </w:rPr>
                </w:pPr>
                <w:r>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kuriama skaitmeninė infrastruktūra jau urbanizuotoje teritorijoje.</w:t>
                </w:r>
              </w:p>
            </w:tc>
            <w:tc>
              <w:tcPr>
                <w:tcW w:w="5334" w:type="dxa"/>
              </w:tcPr>
              <w:p>
                <w:pPr>
                  <w:jc w:val="both"/>
                  <w:rPr>
                    <w:bCs/>
                    <w:szCs w:val="24"/>
                  </w:rPr>
                </w:pPr>
                <w:r>
                  <w:rPr>
                    <w:bCs/>
                    <w:szCs w:val="24"/>
                  </w:rPr>
                  <w:t xml:space="preserve">Netaikoma, nes priemonės veiklos apima duomenų sveikatos sektoriuje skaitmeninimą ir prieinamumo didinimą diegiant šiuolaikines technologijas, kuriant reikalingas sąsajas ir kuriant skaitmeninį turinį,  ir yra į tai nukreiptos.</w:t>
                </w:r>
              </w:p>
              <w:p>
                <w:pPr>
                  <w:jc w:val="both"/>
                  <w:rPr>
                    <w:rFonts w:eastAsia="Calibri"/>
                    <w:szCs w:val="24"/>
                    <w:highlight w:val="green"/>
                  </w:rPr>
                </w:pPr>
              </w:p>
            </w:tc>
          </w:tr>
        </w:tbl>
        <w:sdt>
          <w:sdtPr>
            <w:alias w:val="pabaiga"/>
            <w:tag w:val="part_4edf326f69614eacad20a4f0631221ae"/>
            <w:lock w:val="sdtLocked"/>
            <w:richText/>
          </w:sdtPr>
          <w:sdtContent>
            <w:p>
              <w:pPr>
                <w:spacing w:line="276" w:lineRule="auto"/>
                <w:jc w:val="center"/>
                <w:rPr>
                  <w:rFonts w:eastAsia="Calibri"/>
                  <w:szCs w:val="24"/>
                </w:rPr>
              </w:pPr>
              <w:r>
                <w:rPr>
                  <w:rFonts w:eastAsia="Calibri"/>
                  <w:szCs w:val="24"/>
                </w:rPr>
                <w:t>_______________</w:t>
              </w:r>
            </w:p>
            <w:p>
              <w:pPr>
                <w:rPr>
                  <w:rFonts w:eastAsia="Calibri"/>
                  <w:szCs w:val="24"/>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12</w:t>
    </w:r>
    <w:r>
      <w:rPr>
        <w:szCs w:val="22"/>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 Abbr="1 pr." Title="PROJEKTO (ĮSKAITANT JUNGTINĮ PROJEKTĄ) ATITIKTIES REIKŠMINGOS ŽALOS NEDARYMO HORIZONTALIAJAM PRINCIPUI VERTINIMO REIKALAVIMŲ APRAŠAS" DocPartId="21c0155b5cc843009e05cf32d268a47c" PartId="a7a8a8e22dad4df282379e6e99f6dfb8">
    <Part Type="pabaiga" DocPartId="0b2ba751576d43858ab9a1d85c7476bd" PartId="4edf326f69614eacad20a4f0631221ae"/>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56FE15-C939-4668-BAB8-AD612D3560F0}">
  <ds:schemaRefs>
    <ds:schemaRef ds:uri="http://schemas.openxmlformats.org/officeDocument/2006/bibliography"/>
  </ds:schemaRefs>
</ds:datastoreItem>
</file>

<file path=customXml/itemProps5.xml><?xml version="1.0" encoding="utf-8"?>
<ds:datastoreItem xmlns:ds="http://schemas.openxmlformats.org/officeDocument/2006/customXml" ds:itemID="{3507BE7F-D524-4F3A-BF68-60CD2F7D74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808</Words>
  <Characters>5708</Characters>
  <Application>Microsoft Office Word</Application>
  <DocSecurity>4</DocSecurity>
  <Lines>158</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6479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2022-07-11T12:25:00Z</dcterms:created>
  <dc:creator>Virginija Levinskienė</dc:creator>
  <lastModifiedBy>adlibuser</lastModifiedBy>
  <dcterms:modified xsi:type="dcterms:W3CDTF">2022-07-11T12:25:00Z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