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4 pr."/>
        <w:tag w:val="part_8b136d74ebed4e4c8061a45048650cf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>
          <w:pPr>
            <w:ind w:left="9639"/>
            <w:rPr>
              <w:bCs/>
              <w:szCs w:val="24"/>
            </w:rPr>
          </w:pPr>
          <w:r>
            <w:rPr>
              <w:szCs w:val="24"/>
              <w:lang w:eastAsia="lt-LT"/>
            </w:rPr>
            <w:t xml:space="preserve">2021–2027 metų Europos Sąjungos fondų investicijų programos ir </w:t>
          </w:r>
          <w:r>
            <w:rPr>
              <w:bCs/>
              <w:szCs w:val="24"/>
              <w:lang w:eastAsia="lt-LT"/>
            </w:rPr>
            <w:t xml:space="preserve">Ekonomikos gaivinimo ir atsparumo didinimo </w:t>
          </w:r>
          <w:r>
            <w:rPr>
              <w:szCs w:val="24"/>
              <w:lang w:eastAsia="lt-LT"/>
            </w:rPr>
            <w:t>plano „Naujos kartos Lietuva“ administravimo taisyklių</w:t>
          </w:r>
        </w:p>
        <w:p>
          <w:pPr>
            <w:ind w:left="9639"/>
            <w:jc w:val="both"/>
            <w:rPr>
              <w:szCs w:val="24"/>
            </w:rPr>
          </w:pPr>
          <w:sdt>
            <w:sdtPr>
              <w:alias w:val="Numeris"/>
              <w:tag w:val="nr_8b136d74ebed4e4c8061a45048650cfe"/>
              <w:lock w:val="sdtLocked"/>
              <w:richText/>
            </w:sdtPr>
            <w:sdtContent>
              <w:r>
                <w:rPr>
                  <w:szCs w:val="24"/>
                </w:rPr>
                <w:t>4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jc w:val="center"/>
            <w:rPr>
              <w:i/>
              <w:iCs/>
              <w:szCs w:val="24"/>
            </w:rPr>
          </w:pPr>
        </w:p>
        <w:p>
          <w:pPr>
            <w:ind w:firstLine="62"/>
            <w:jc w:val="center"/>
            <w:rPr>
              <w:b/>
              <w:iCs/>
              <w:szCs w:val="24"/>
            </w:rPr>
          </w:pPr>
          <w:sdt>
            <w:sdtPr>
              <w:alias w:val="Pavadinimas"/>
              <w:tag w:val="title_8b136d74ebed4e4c8061a45048650cfe"/>
              <w:lock w:val="sdtLocked"/>
              <w:richText/>
            </w:sdtPr>
            <w:sdtContent>
              <w:r>
                <w:rPr>
                  <w:b/>
                  <w:iCs/>
                  <w:szCs w:val="24"/>
                </w:rPr>
                <w:t>(Projekto (įskaitant jungtinį projektą) atitikties reikšmingos žalos nedarymo horizontaliajam principui vertinimo reikalavimų aprašo forma)</w:t>
              </w:r>
            </w:sdtContent>
          </w:sdt>
        </w:p>
        <w:p>
          <w:pPr>
            <w:jc w:val="center"/>
            <w:rPr>
              <w:rFonts w:eastAsia="Calibri"/>
              <w:b/>
              <w:bCs/>
              <w:szCs w:val="24"/>
            </w:rPr>
          </w:pPr>
        </w:p>
        <w:sdt>
          <w:sdtPr>
            <w:alias w:val="skirsnis"/>
            <w:tag w:val="part_3b956a300bea42e8a56046e43d912a17"/>
            <w:lock w:val="sdtLocked"/>
            <w:richText/>
          </w:sdtPr>
          <w:sdtContent>
            <w:p>
              <w:pPr>
                <w:jc w:val="center"/>
                <w:rPr>
                  <w:rFonts w:eastAsia="Calibri"/>
                  <w:b/>
                  <w:bCs/>
                  <w:szCs w:val="24"/>
                </w:rPr>
              </w:pPr>
              <w:sdt>
                <w:sdtPr>
                  <w:alias w:val="Pavadinimas"/>
                  <w:tag w:val="title_3b956a300bea42e8a56046e43d912a17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szCs w:val="24"/>
                    </w:rPr>
                    <w:t>PROJEKTO (ĮSKAITANT JUNGTINĮ PROJEKTĄ) ATITIKTIES REIKŠMINGOS ŽALOS NEDARYMO HORIZONTALIAJAM PRINCIPUI VERTINIMO REIKALAVIMŲ APRAŠAS</w:t>
                  </w:r>
                </w:sdtContent>
              </w:sdt>
            </w:p>
            <w:p>
              <w:pPr>
                <w:jc w:val="center"/>
                <w:rPr>
                  <w:rFonts w:eastAsia="Calibri"/>
                  <w:bCs/>
                  <w:szCs w:val="24"/>
                </w:rPr>
              </w:pPr>
            </w:p>
            <w:p>
              <w:pPr>
                <w:spacing w:line="276" w:lineRule="auto"/>
                <w:jc w:val="both"/>
                <w:rPr>
                  <w:rFonts w:eastAsia="Calibri"/>
                  <w:bCs/>
                  <w:szCs w:val="24"/>
                </w:rPr>
              </w:pPr>
              <w:r>
                <w:rPr>
                  <w:rFonts w:eastAsia="Calibri"/>
                  <w:bCs/>
                  <w:szCs w:val="24"/>
                </w:rPr>
                <w:t>Finansavimo šaltinis, pagal kurį finansuojamas projektas (</w:t>
              </w:r>
              <w:r>
                <w:rPr>
                  <w:rFonts w:eastAsia="Calibri"/>
                  <w:bCs/>
                  <w:i/>
                  <w:szCs w:val="24"/>
                </w:rPr>
                <w:t>pažymėkite tinkamą</w:t>
              </w:r>
              <w:r>
                <w:rPr>
                  <w:rFonts w:eastAsia="Calibri"/>
                  <w:bCs/>
                  <w:szCs w:val="24"/>
                </w:rPr>
                <w:t>):</w:t>
              </w:r>
            </w:p>
            <w:p>
              <w:pPr>
                <w:spacing w:line="276" w:lineRule="auto"/>
                <w:jc w:val="both"/>
                <w:rPr>
                  <w:rFonts w:eastAsia="Calibri"/>
                  <w:bCs/>
                  <w:szCs w:val="24"/>
                </w:rPr>
              </w:pPr>
              <w:r>
                <w:sym w:font="Wingdings 2" w:char="00A3"/>
                <w:t xml:space="preserve"> </w:t>
              </w:r>
              <w:r>
                <w:rPr>
                  <w:rFonts w:eastAsia="Calibri"/>
                  <w:bCs/>
                  <w:szCs w:val="24"/>
                </w:rPr>
                <w:t>Ekonomikos gaivinimo ir atsparumo didinimo priemonė (toliau – EGADP)</w:t>
              </w:r>
            </w:p>
            <w:p>
              <w:pPr>
                <w:spacing w:line="276" w:lineRule="auto"/>
                <w:jc w:val="both"/>
                <w:rPr>
                  <w:rFonts w:eastAsia="Calibri"/>
                  <w:bCs/>
                  <w:szCs w:val="24"/>
                </w:rPr>
              </w:pPr>
              <w:r>
                <w:sym w:font="Wingdings 2" w:char="00A3"/>
                <w:t xml:space="preserve"> Europos Sąjungos fondų i</w:t>
              </w:r>
              <w:r>
                <w:rPr>
                  <w:rFonts w:eastAsia="Calibri"/>
                  <w:bCs/>
                  <w:szCs w:val="24"/>
                </w:rPr>
                <w:t>nvesticijų programa (toliau – ESFIP)</w:t>
              </w:r>
            </w:p>
            <w:p>
              <w:pPr>
                <w:spacing w:line="276" w:lineRule="auto"/>
                <w:jc w:val="both"/>
                <w:rPr>
                  <w:rFonts w:eastAsia="Calibri"/>
                  <w:bCs/>
                  <w:szCs w:val="24"/>
                </w:rPr>
              </w:pPr>
            </w:p>
            <w:tbl>
              <w:tblPr>
                <w:tblW w:w="0" w:type="auto"/>
                <w:tblInd w:w="-289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33"/>
                <w:gridCol w:w="4678"/>
                <w:gridCol w:w="5387"/>
              </w:tblGrid>
              <w:tr>
                <w:tc>
                  <w:tcPr>
                    <w:tcW w:w="4933" w:type="dxa"/>
                  </w:tcPr>
                  <w:p>
                    <w:pPr>
                      <w:jc w:val="center"/>
                      <w:rPr>
                        <w:rFonts w:eastAsia="Calibri"/>
                        <w:b/>
                        <w:szCs w:val="24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Aplinkos tikslai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(</w:t>
                    </w:r>
                    <w:r>
                      <w:rPr>
                        <w:rFonts w:eastAsia="Calibri"/>
                        <w:i/>
                        <w:szCs w:val="24"/>
                      </w:rPr>
                      <w:t>pagal 2020 m. birželio 18 d. Europos Parlamento ir Tarybos reglamentą (ES) 2020/852 dėl sistemos tvariam investavimui palengvinti sukūrimo, kuriuo iš dalies keičiamas Reglamentas (ES) Nr. 2019/2088)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center"/>
                      <w:rPr>
                        <w:rFonts w:eastAsia="Calibri"/>
                        <w:strike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Su Europos Komisija suderintas</w:t>
                    </w:r>
                    <w:r>
                      <w:rPr>
                        <w:rFonts w:eastAsia="Calibri"/>
                        <w:bCs/>
                        <w:szCs w:val="24"/>
                      </w:rPr>
                      <w:t xml:space="preserve"> </w:t>
                    </w: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pagrindimas</w:t>
                    </w:r>
                  </w:p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(remiantis priemonių (kai finansavimo šaltinis EGADP) arba veiksmų (veiklų) (kai finansavimo šaltinis ESFIP) vertinimo anketomis, nurodoma tik ta vertinimo anketos dalis, kuri aktuali finansuotinai veiklai)</w:t>
                    </w:r>
                  </w:p>
                  <w:p>
                    <w:pPr>
                      <w:jc w:val="both"/>
                      <w:rPr>
                        <w:rFonts w:eastAsia="Calibri"/>
                        <w:b/>
                        <w:bCs/>
                        <w:i/>
                        <w:szCs w:val="24"/>
                      </w:rPr>
                    </w:pPr>
                    <w:r>
                      <w:rPr>
                        <w:rFonts w:eastAsia="Calibri"/>
                        <w:bCs/>
                        <w:i/>
                        <w:szCs w:val="24"/>
                      </w:rPr>
                      <w:t>(papildomai gali būti nurodomi nacionaliniai teisės aktai, kuriais įgyvendinami vertinimo anketose minimi Europos Sąjungos teisės aktai)</w:t>
                    </w:r>
                  </w:p>
                </w:tc>
                <w:tc>
                  <w:tcPr>
                    <w:tcW w:w="5387" w:type="dxa"/>
                  </w:tcPr>
                  <w:p>
                    <w:pPr>
                      <w:jc w:val="center"/>
                      <w:rPr>
                        <w:rFonts w:eastAsia="Calibri"/>
                        <w:b/>
                        <w:i/>
                        <w:sz w:val="20"/>
                      </w:rPr>
                    </w:pPr>
                    <w:r>
                      <w:rPr>
                        <w:rFonts w:eastAsia="Calibri"/>
                        <w:b/>
                        <w:szCs w:val="24"/>
                      </w:rPr>
                      <w:t>Pagrindimo dokumentai</w:t>
                    </w:r>
                  </w:p>
                  <w:p>
                    <w:pPr>
                      <w:jc w:val="both"/>
                      <w:rPr>
                        <w:rFonts w:eastAsia="Calibri"/>
                        <w:i/>
                        <w:szCs w:val="24"/>
                      </w:rPr>
                    </w:pPr>
                    <w:r>
                      <w:rPr>
                        <w:rFonts w:eastAsia="Calibri"/>
                        <w:i/>
                        <w:szCs w:val="24"/>
                      </w:rPr>
                      <w:t>(nurodomas dokumentas, kuris bus vertinamas siekiant įvertinti projekto atitiktį aplinkos tikslams, arba pateikiama šią atitiktį pagrindžianti informacija)</w:t>
                    </w:r>
                  </w:p>
                </w:tc>
              </w:tr>
              <w:tr>
                <w:tc>
                  <w:tcPr>
                    <w:tcW w:w="4933" w:type="dxa"/>
                  </w:tcPr>
                  <w:p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1.</w:t>
                      <w:tab/>
                      <w:t>Klimato kaitos švelninimas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both"/>
                      <w:rPr>
                        <w:rFonts w:eastAsia="Calibri"/>
                        <w:bCs/>
                        <w:i/>
                        <w:sz w:val="20"/>
                      </w:rPr>
                    </w:pPr>
                  </w:p>
                </w:tc>
                <w:tc>
                  <w:tcPr>
                    <w:tcW w:w="5387" w:type="dxa"/>
                  </w:tcPr>
                  <w:p>
                    <w:pPr>
                      <w:tabs>
                        <w:tab w:val="left" w:pos="589"/>
                      </w:tabs>
                      <w:jc w:val="both"/>
                      <w:rPr>
                        <w:rFonts w:eastAsia="Calibri"/>
                        <w:i/>
                        <w:sz w:val="20"/>
                      </w:rPr>
                    </w:pPr>
                    <w:r>
                      <w:rPr>
                        <w:rFonts w:eastAsia="Calibri"/>
                        <w:i/>
                        <w:sz w:val="20"/>
                      </w:rPr>
                      <w:t>Pvz., pirkimo dokumentai, komerciniai pasiūlymai, sutartys su prekių tiekėjais ar paslaugų teikėjais, projektavimo dokumentai ir pan.</w:t>
                    </w:r>
                  </w:p>
                </w:tc>
              </w:tr>
              <w:tr>
                <w:tc>
                  <w:tcPr>
                    <w:tcW w:w="4933" w:type="dxa"/>
                  </w:tcPr>
                  <w:p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2.</w:t>
                      <w:tab/>
                      <w:t>Prisitaikymas prie klimato kaitos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center"/>
                      <w:rPr>
                        <w:rFonts w:eastAsia="Calibri"/>
                        <w:bCs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933" w:type="dxa"/>
                  </w:tcPr>
                  <w:p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3.</w:t>
                      <w:tab/>
                      <w:t>Tausus vandens ir jūrų išteklių naudojimas ir apsauga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>
                    <w:pPr>
                      <w:jc w:val="both"/>
                      <w:rPr>
                        <w:rFonts w:eastAsia="Calibri"/>
                        <w:bCs/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933" w:type="dxa"/>
                  </w:tcPr>
                  <w:p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4.</w:t>
                      <w:tab/>
                      <w:t>Perėjimas prie žiedinės ekonomikos, įskaitant atliekų prevenciją ir perdirbimą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center"/>
                      <w:rPr>
                        <w:rFonts w:eastAsia="Calibri"/>
                        <w:bCs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933" w:type="dxa"/>
                  </w:tcPr>
                  <w:p>
                    <w:pPr>
                      <w:tabs>
                        <w:tab w:val="left" w:pos="289"/>
                      </w:tabs>
                      <w:ind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5.</w:t>
                      <w:tab/>
                    </w:r>
                    <w:r>
                      <w:rPr>
                        <w:rFonts w:eastAsia="Calibri"/>
                        <w:bCs/>
                        <w:szCs w:val="24"/>
                      </w:rPr>
                      <w:t>Oro, vandens ar žemės taršos prevencija ir kontrolė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  <w:tr>
                <w:tc>
                  <w:tcPr>
                    <w:tcW w:w="4933" w:type="dxa"/>
                  </w:tcPr>
                  <w:p>
                    <w:pPr>
                      <w:tabs>
                        <w:tab w:val="left" w:pos="289"/>
                      </w:tabs>
                      <w:ind w:left="5" w:firstLine="5"/>
                      <w:jc w:val="both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>6.</w:t>
                      <w:tab/>
                      <w:t>Biologinės įvairovės ir ekosistemų apsauga ir atkūrimas</w:t>
                    </w:r>
                  </w:p>
                </w:tc>
                <w:tc>
                  <w:tcPr>
                    <w:tcW w:w="4678" w:type="dxa"/>
                  </w:tcPr>
                  <w:p>
                    <w:pPr>
                      <w:jc w:val="center"/>
                      <w:rPr>
                        <w:rFonts w:eastAsia="Calibri"/>
                        <w:szCs w:val="24"/>
                      </w:rPr>
                    </w:pPr>
                  </w:p>
                </w:tc>
                <w:tc>
                  <w:tcPr>
                    <w:tcW w:w="5387" w:type="dxa"/>
                  </w:tcPr>
                  <w:p>
                    <w:pPr>
                      <w:jc w:val="both"/>
                      <w:rPr>
                        <w:rFonts w:eastAsia="Calibri"/>
                        <w:szCs w:val="24"/>
                      </w:rPr>
                    </w:pPr>
                  </w:p>
                </w:tc>
              </w:tr>
            </w:tbl>
            <w:p/>
          </w:sdtContent>
        </w:sdt>
        <w:sdt>
          <w:sdtPr>
            <w:alias w:val="pabaiga"/>
            <w:tag w:val="part_38afc088b2034d169ce4fc7ad9992637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sz w:val="22"/>
                  <w:szCs w:val="22"/>
                </w:rPr>
              </w:pPr>
              <w:r>
                <w:rPr>
                  <w:rFonts w:eastAsia="Calibri"/>
                  <w:sz w:val="22"/>
                  <w:szCs w:val="22"/>
                </w:rPr>
                <w:t>________________</w:t>
              </w:r>
            </w:p>
          </w:sdtContent>
        </w:sdt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701" w:right="567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>
      <w:pPr>
        <w:rPr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>
      <w:pPr>
        <w:rPr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675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."/>
  <w:listSeparator w:val=","/>
  <w15:docId w15:val="{D209EA57-5530-4107-AA16-BD2FDC0C58F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35E5C6B5C11DD4A99D266AAA95E55E0" ma:contentTypeVersion="9" ma:contentTypeDescription="Kurkite naują dokumentą." ma:contentTypeScope="" ma:versionID="3a17c1143c6d57a0102f74ad9bf11476">
  <xsd:schema xmlns:xsd="http://www.w3.org/2001/XMLSchema" xmlns:xs="http://www.w3.org/2001/XMLSchema" xmlns:p="http://schemas.microsoft.com/office/2006/metadata/properties" xmlns:ns2="81bdba5e-b18c-4c8c-b425-bdf6d075d995" xmlns:ns3="db96e512-6920-4eea-b1bf-b81a54d2aa3c" targetNamespace="http://schemas.microsoft.com/office/2006/metadata/properties" ma:root="true" ma:fieldsID="4f8535f91b4c37af57db0afb5d0a3312" ns2:_="" ns3:_="">
    <xsd:import namespace="81bdba5e-b18c-4c8c-b425-bdf6d075d995"/>
    <xsd:import namespace="db96e512-6920-4eea-b1bf-b81a54d2aa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Nr_x002e_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dba5e-b18c-4c8c-b425-bdf6d075d9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Nr_x002e_" ma:index="12" nillable="true" ma:displayName="Nr." ma:format="Dropdown" ma:internalName="Nr_x002e_" ma:percentage="FALSE">
      <xsd:simpleType>
        <xsd:restriction base="dms:Number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96e512-6920-4eea-b1bf-b81a54d2aa3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r_x002e_ xmlns="81bdba5e-b18c-4c8c-b425-bdf6d075d995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priedas" Nr="4" Abbr="4 pr." Title="(Projekto (įskaitant jungtinį projektą) atitikties reikšmingos žalos nedarymo horizontaliajam principui vertinimo reikalavimų aprašo forma)" DocPartId="d56a159bb4c24caca17f8e78261805fd" PartId="8b136d74ebed4e4c8061a45048650cfe">
    <Part Type="skirsnis" Title="PROJEKTO (ĮSKAITANT JUNGTINĮ PROJEKTĄ) ATITIKTIES REIKŠMINGOS ŽALOS NEDARYMO HORIZONTALIAJAM PRINCIPUI VERTINIMO REIKALAVIMŲ APRAŠAS" DocPartId="7d2cf5dae3804dc1967c11cc4edd7d72" PartId="3b956a300bea42e8a56046e43d912a17"/>
    <Part Type="pabaiga" DocPartId="98f578658dbe4fa49a63d03faaf7684d" PartId="38afc088b2034d169ce4fc7ad9992637"/>
  </Part>
</Parts>
</file>

<file path=customXml/itemProps1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FC77032-B7E0-491D-96D6-42882CFA78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dba5e-b18c-4c8c-b425-bdf6d075d995"/>
    <ds:schemaRef ds:uri="db96e512-6920-4eea-b1bf-b81a54d2aa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F7E5569-D793-4217-B232-E816039AF86D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81bdba5e-b18c-4c8c-b425-bdf6d075d995"/>
    <ds:schemaRef ds:uri="db96e512-6920-4eea-b1bf-b81a54d2aa3c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7E20FFBF-7D04-407A-9E62-86E8C71B2B06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4A46A08-B748-494F-8A38-E6D15F4EE0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233</Words>
  <Characters>1701</Characters>
  <Application>Microsoft Office Word</Application>
  <DocSecurity>4</DocSecurity>
  <Lines>63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 Inc.</Company>
  <LinksUpToDate>false</LinksUpToDate>
  <CharactersWithSpaces>1909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2023-04-05T06:53:00Z</dcterms:created>
  <dc:creator>Virginija Levinskienė</dc:creator>
  <lastModifiedBy>adlibuser</lastModifiedBy>
  <dcterms:modified xsi:type="dcterms:W3CDTF">2023-04-05T06:53:00Z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0x010100335E5C6B5C11DD4A99D266AAA95E55E0</vt:lpwstr>
  </property>
</Properties>
</file>