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f95e2c628e947cfaf64c2476b503487"/>
        <w:lock w:val="sdtLocked"/>
        <w:richText/>
      </w:sdtPr>
      <w:sdtContent>
        <w:p>
          <w:pPr>
            <w:tabs>
              <w:tab w:val="left" w:pos="5529"/>
              <w:tab w:val="left" w:pos="5812"/>
            </w:tabs>
            <w:ind w:left="5670"/>
            <w:rPr>
              <w:rFonts w:eastAsia="Calibri"/>
              <w:szCs w:val="24"/>
              <w:lang w:eastAsia="lt-LT"/>
            </w:rPr>
          </w:pPr>
          <w:r>
            <w:rPr>
              <w:rFonts w:eastAsia="Calibri"/>
              <w:szCs w:val="24"/>
              <w:lang w:eastAsia="lt-LT"/>
            </w:rPr>
            <w:t xml:space="preserve">2021–2027 metų Europos Sąjungos fondų investicijų programos ir </w:t>
          </w:r>
          <w:r>
            <w:rPr>
              <w:bCs/>
              <w:szCs w:val="24"/>
              <w:lang w:eastAsia="lt-LT"/>
            </w:rPr>
            <w:t xml:space="preserve">Ekonomikos gaivinimo ir atsparumo didinimo </w:t>
          </w:r>
          <w:r>
            <w:rPr>
              <w:rFonts w:eastAsia="Calibri"/>
              <w:szCs w:val="24"/>
              <w:lang w:eastAsia="lt-LT"/>
            </w:rPr>
            <w:t>plano „Naujos kartos Lietuva“ administravimo taisyklių</w:t>
          </w:r>
        </w:p>
        <w:p>
          <w:pPr>
            <w:tabs>
              <w:tab w:val="left" w:pos="5529"/>
              <w:tab w:val="left" w:pos="5812"/>
            </w:tabs>
            <w:ind w:left="5670"/>
            <w:rPr>
              <w:szCs w:val="24"/>
              <w:lang w:eastAsia="lt-LT"/>
            </w:rPr>
          </w:pPr>
          <w:sdt>
            <w:sdtPr>
              <w:alias w:val="Numeris"/>
              <w:tag w:val="nr_bf95e2c628e947cfaf64c2476b503487"/>
              <w:lock w:val="sdtLocked"/>
              <w:richText/>
            </w:sdtPr>
            <w:sdtContent>
              <w:r>
                <w:rPr>
                  <w:rFonts w:eastAsia="Calibri"/>
                  <w:szCs w:val="24"/>
                  <w:lang w:eastAsia="lt-LT"/>
                </w:rPr>
                <w:t>1</w:t>
              </w:r>
            </w:sdtContent>
          </w:sdt>
          <w:r>
            <w:rPr>
              <w:szCs w:val="24"/>
              <w:lang w:eastAsia="lt-LT"/>
            </w:rPr>
            <w:t xml:space="preserve"> priedas</w:t>
          </w:r>
        </w:p>
        <w:p>
          <w:pPr>
            <w:tabs>
              <w:tab w:val="left" w:pos="0"/>
            </w:tabs>
            <w:jc w:val="center"/>
            <w:rPr>
              <w:szCs w:val="24"/>
              <w:lang w:eastAsia="lt-LT"/>
            </w:rPr>
          </w:pPr>
        </w:p>
        <w:p>
          <w:pPr>
            <w:tabs>
              <w:tab w:val="left" w:pos="0"/>
            </w:tabs>
            <w:jc w:val="center"/>
            <w:rPr>
              <w:b/>
              <w:szCs w:val="24"/>
              <w:lang w:eastAsia="lt-LT"/>
            </w:rPr>
          </w:pPr>
          <w:sdt>
            <w:sdtPr>
              <w:alias w:val="Pavadinimas"/>
              <w:tag w:val="title_bf95e2c628e947cfaf64c2476b503487"/>
              <w:lock w:val="sdtLocked"/>
              <w:richText/>
            </w:sdtPr>
            <w:sdtContent>
              <w:r>
                <w:rPr>
                  <w:b/>
                  <w:iCs/>
                  <w:szCs w:val="24"/>
                </w:rPr>
                <w:t>(Pasiūlymo keisti Lietuvos Respublikos partnerystės sutartį ir 2021–2027 metų Europos Sąjungos fondų investicijų programą forma)</w:t>
              </w:r>
            </w:sdtContent>
          </w:sdt>
        </w:p>
        <w:p>
          <w:pPr>
            <w:widowControl w:val="0"/>
            <w:spacing w:line="360" w:lineRule="atLeast"/>
            <w:jc w:val="center"/>
            <w:textAlignment w:val="baseline"/>
            <w:rPr>
              <w:szCs w:val="24"/>
            </w:rPr>
          </w:pPr>
          <w:r>
            <w:rPr>
              <w:szCs w:val="24"/>
            </w:rPr>
            <w:t>__________________________</w:t>
          </w:r>
        </w:p>
        <w:p>
          <w:pPr>
            <w:widowControl w:val="0"/>
            <w:spacing w:line="360" w:lineRule="atLeast"/>
            <w:jc w:val="center"/>
            <w:textAlignment w:val="baseline"/>
            <w:rPr>
              <w:szCs w:val="24"/>
            </w:rPr>
          </w:pPr>
          <w:r>
            <w:rPr>
              <w:szCs w:val="24"/>
            </w:rPr>
            <w:t>(institucijos pavadinimas)</w:t>
          </w:r>
        </w:p>
        <w:p>
          <w:pPr>
            <w:widowControl w:val="0"/>
            <w:spacing w:line="360" w:lineRule="atLeast"/>
            <w:jc w:val="center"/>
            <w:textAlignment w:val="baseline"/>
            <w:rPr>
              <w:szCs w:val="24"/>
            </w:rPr>
          </w:pPr>
        </w:p>
        <w:p>
          <w:pPr>
            <w:widowControl w:val="0"/>
            <w:spacing w:line="360" w:lineRule="atLeast"/>
            <w:textAlignment w:val="baseline"/>
            <w:rPr>
              <w:szCs w:val="24"/>
            </w:rPr>
          </w:pPr>
          <w:r>
            <w:rPr>
              <w:szCs w:val="24"/>
            </w:rPr>
            <w:t>Lietuvos Respublikos finansų ministerijai</w:t>
          </w:r>
        </w:p>
        <w:p>
          <w:pPr>
            <w:widowControl w:val="0"/>
            <w:spacing w:line="360" w:lineRule="atLeast"/>
            <w:textAlignment w:val="baseline"/>
            <w:rPr>
              <w:szCs w:val="24"/>
            </w:rPr>
          </w:pPr>
        </w:p>
        <w:sdt>
          <w:sdtPr>
            <w:alias w:val="skirsnis"/>
            <w:tag w:val="part_0f80cc549ac14a7bb5fae5f235de5baa"/>
            <w:lock w:val="sdtLocked"/>
            <w:richText/>
          </w:sdtPr>
          <w:sdtContent>
            <w:p>
              <w:pPr>
                <w:widowControl w:val="0"/>
                <w:jc w:val="center"/>
                <w:textAlignment w:val="baseline"/>
                <w:rPr>
                  <w:b/>
                  <w:szCs w:val="24"/>
                </w:rPr>
              </w:pPr>
              <w:sdt>
                <w:sdtPr>
                  <w:alias w:val="Pavadinimas"/>
                  <w:tag w:val="title_0f80cc549ac14a7bb5fae5f235de5baa"/>
                  <w:lock w:val="sdtLocked"/>
                  <w:richText/>
                </w:sdtPr>
                <w:sdtContent>
                  <w:r>
                    <w:rPr>
                      <w:b/>
                      <w:caps/>
                      <w:szCs w:val="24"/>
                    </w:rPr>
                    <w:t>PasiūlymAS keisti LIETUVOS RESPUBLIKOS Partnerystės sutartį ir 2021–2027 metų Europos Sąjungos fondų investicijų programą</w:t>
                  </w:r>
                </w:sdtContent>
              </w:sdt>
            </w:p>
            <w:p>
              <w:pPr>
                <w:widowControl w:val="0"/>
                <w:jc w:val="center"/>
                <w:textAlignment w:val="baseline"/>
                <w:rPr>
                  <w:szCs w:val="24"/>
                </w:rPr>
              </w:pPr>
            </w:p>
            <w:p>
              <w:pPr>
                <w:widowControl w:val="0"/>
                <w:spacing w:line="240" w:lineRule="exact"/>
                <w:jc w:val="center"/>
                <w:textAlignment w:val="baseline"/>
                <w:rPr>
                  <w:szCs w:val="24"/>
                </w:rPr>
              </w:pPr>
              <w:r>
                <w:rPr>
                  <w:szCs w:val="24"/>
                </w:rPr>
                <w:t>20__ m. ________d.</w:t>
              </w:r>
            </w:p>
            <w:p>
              <w:pPr>
                <w:widowControl w:val="0"/>
                <w:spacing w:line="360" w:lineRule="atLeast"/>
                <w:jc w:val="center"/>
                <w:textAlignment w:val="baseline"/>
                <w:rPr>
                  <w:szCs w:val="24"/>
                </w:rPr>
              </w:pP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5"/>
              </w:tblGrid>
              <w:tr>
                <w:tc>
                  <w:tcPr>
                    <w:tcW w:w="5000" w:type="pct"/>
                    <w:tcBorders>
                      <w:top w:val="single" w:sz="4" w:space="0" w:color="auto"/>
                      <w:left w:val="single" w:sz="4" w:space="0" w:color="auto"/>
                      <w:bottom w:val="single" w:sz="4" w:space="0" w:color="auto"/>
                      <w:right w:val="single" w:sz="4" w:space="0" w:color="auto"/>
                    </w:tcBorders>
                    <w:vAlign w:val="center"/>
                  </w:tcPr>
                  <w:p>
                    <w:pPr>
                      <w:widowControl w:val="0"/>
                      <w:jc w:val="both"/>
                      <w:textAlignment w:val="baseline"/>
                      <w:rPr>
                        <w:szCs w:val="24"/>
                      </w:rPr>
                    </w:pPr>
                    <w:r>
                      <w:rPr>
                        <w:b/>
                        <w:szCs w:val="24"/>
                      </w:rPr>
                      <w:t>LIETUVOS RESPUBLIKOS PARTNERYSTĖS SUTARTIES</w:t>
                    </w:r>
                    <w:r>
                      <w:rPr>
                        <w:rFonts w:eastAsia="Calibri"/>
                        <w:b/>
                        <w:szCs w:val="24"/>
                        <w:lang w:eastAsia="lt-LT"/>
                      </w:rPr>
                      <w:t>, PATVIRTINTOS EUROPOS KOMISIJOS 2022 M. BALANDŽIO 22 D. ĮGYVENDINIMO SPRENDIMU, KURIUO PATVIRTINAMA PARTNERYSTĖS SUTARTIS SU LIETUVOS RESPUBLIKA (APIE NURODYTĄ SPRENDIMĄ EUROPOS KOMISIJA PRANEŠĖ DOKUMENTU NR. C(2022)2427)</w:t>
                    </w:r>
                    <w:r>
                      <w:rPr>
                        <w:rFonts w:eastAsia="Calibri"/>
                        <w:b/>
                        <w:i/>
                        <w:szCs w:val="24"/>
                        <w:lang w:eastAsia="lt-LT"/>
                      </w:rPr>
                      <w:t xml:space="preserve"> </w:t>
                    </w:r>
                    <w:r>
                      <w:rPr>
                        <w:b/>
                        <w:szCs w:val="24"/>
                      </w:rPr>
                      <w:t>(TOLIAU – PARTNERYSTĖS SUTARTIS), SKYRIUS IR (AR) 2021–2027 METŲ EUROPOS SĄJUNGOS FONDŲ INVESTICIJŲ PROGRAMOS (TOLIAU – INVESTICIJŲ PROGRAMA) PRIORITETAS</w:t>
                    </w:r>
                    <w:r>
                      <w:rPr>
                        <w:szCs w:val="24"/>
                      </w:rPr>
                      <w:t xml:space="preserve"> (</w:t>
                    </w:r>
                    <w:r>
                      <w:rPr>
                        <w:i/>
                      </w:rPr>
                      <w:t>nurodomas</w:t>
                    </w:r>
                    <w:r>
                      <w:rPr>
                        <w:szCs w:val="24"/>
                      </w:rPr>
                      <w:t xml:space="preserve"> </w:t>
                    </w:r>
                    <w:r>
                      <w:rPr>
                        <w:i/>
                      </w:rPr>
                      <w:t>keičiamo Partnerystės sutarties skyriaus ir (ar) keičiamo Investicijų programos prioriteto pavadinimas</w:t>
                    </w:r>
                    <w:r>
                      <w:rPr>
                        <w:szCs w:val="24"/>
                      </w:rPr>
                      <w:t>)</w:t>
                    </w:r>
                  </w:p>
                </w:tc>
              </w:tr>
              <w:tr>
                <w:tc>
                  <w:tcPr>
                    <w:tcW w:w="5000" w:type="pct"/>
                    <w:tcBorders>
                      <w:top w:val="single" w:sz="4" w:space="0" w:color="auto"/>
                      <w:left w:val="single" w:sz="4" w:space="0" w:color="auto"/>
                      <w:bottom w:val="single" w:sz="4" w:space="0" w:color="auto"/>
                      <w:right w:val="single" w:sz="4" w:space="0" w:color="auto"/>
                    </w:tcBorders>
                    <w:vAlign w:val="center"/>
                  </w:tcPr>
                  <w:p>
                    <w:pPr>
                      <w:widowControl w:val="0"/>
                      <w:jc w:val="both"/>
                      <w:textAlignment w:val="baseline"/>
                      <w:rPr>
                        <w:szCs w:val="24"/>
                      </w:rPr>
                    </w:pPr>
                    <w:r>
                      <w:rPr>
                        <w:b/>
                        <w:szCs w:val="24"/>
                      </w:rPr>
                      <w:t>SIŪLOMAS PAKEITIMAS</w:t>
                    </w:r>
                    <w:r>
                      <w:rPr>
                        <w:szCs w:val="24"/>
                      </w:rPr>
                      <w:t xml:space="preserve"> (</w:t>
                    </w:r>
                    <w:r>
                      <w:rPr>
                        <w:i/>
                      </w:rPr>
                      <w:t>pateikiamas pakeitimo projektas ir jo lyginamasis variantas</w:t>
                    </w:r>
                    <w:r>
                      <w:rPr>
                        <w:szCs w:val="24"/>
                      </w:rPr>
                      <w:t>)</w:t>
                    </w:r>
                  </w:p>
                </w:tc>
              </w:tr>
              <w:tr>
                <w:tc>
                  <w:tcPr>
                    <w:tcW w:w="5000" w:type="pct"/>
                    <w:tcBorders>
                      <w:top w:val="single" w:sz="4" w:space="0" w:color="auto"/>
                      <w:left w:val="single" w:sz="4" w:space="0" w:color="auto"/>
                      <w:bottom w:val="single" w:sz="4" w:space="0" w:color="auto"/>
                      <w:right w:val="single" w:sz="4" w:space="0" w:color="auto"/>
                    </w:tcBorders>
                    <w:vAlign w:val="center"/>
                  </w:tcPr>
                  <w:p>
                    <w:pPr>
                      <w:widowControl w:val="0"/>
                      <w:jc w:val="both"/>
                      <w:textAlignment w:val="baseline"/>
                      <w:rPr>
                        <w:szCs w:val="24"/>
                      </w:rPr>
                    </w:pPr>
                    <w:r>
                      <w:rPr>
                        <w:b/>
                        <w:szCs w:val="24"/>
                      </w:rPr>
                      <w:t>TEISINIS PAGRINDAS</w:t>
                    </w:r>
                    <w:r>
                      <w:rPr>
                        <w:szCs w:val="24"/>
                      </w:rPr>
                      <w:t xml:space="preserve"> (</w:t>
                    </w:r>
                    <w:r>
                      <w:rPr>
                        <w:i/>
                      </w:rPr>
                      <w:t>nurodomi 2021 m. birželio 24 d. Europos Parlamento ir Tarybos reglamento (ES) 2021/1060,</w:t>
                    </w:r>
                    <w:r>
                      <w:rPr>
                        <w:color w:val="000000"/>
                        <w:szCs w:val="24"/>
                      </w:rPr>
                      <w:t xml:space="preserve"> </w:t>
                    </w:r>
                    <w:r>
                      <w:rPr>
                        <w:i/>
                        <w:color w:val="000000"/>
                        <w:szCs w:val="24"/>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w:t>
                    </w:r>
                    <w:r>
                      <w:rPr>
                        <w:i/>
                      </w:rPr>
                      <w:t xml:space="preserve"> 13, 19 ir (arba) 24 straipsniai</w:t>
                    </w:r>
                    <w:r>
                      <w:rPr>
                        <w:szCs w:val="24"/>
                      </w:rPr>
                      <w:t>)</w:t>
                    </w:r>
                  </w:p>
                </w:tc>
              </w:tr>
              <w:tr>
                <w:tc>
                  <w:tcPr>
                    <w:tcW w:w="5000" w:type="pct"/>
                    <w:tcBorders>
                      <w:top w:val="single" w:sz="4" w:space="0" w:color="auto"/>
                      <w:left w:val="single" w:sz="4" w:space="0" w:color="auto"/>
                      <w:bottom w:val="single" w:sz="4" w:space="0" w:color="auto"/>
                      <w:right w:val="single" w:sz="4" w:space="0" w:color="auto"/>
                    </w:tcBorders>
                    <w:vAlign w:val="center"/>
                  </w:tcPr>
                  <w:p>
                    <w:pPr>
                      <w:widowControl w:val="0"/>
                      <w:jc w:val="both"/>
                      <w:textAlignment w:val="baseline"/>
                      <w:rPr>
                        <w:szCs w:val="24"/>
                      </w:rPr>
                    </w:pPr>
                    <w:r>
                      <w:rPr>
                        <w:b/>
                        <w:szCs w:val="24"/>
                      </w:rPr>
                      <w:t>PAKEITIMO PAGRINDIMAS</w:t>
                    </w:r>
                    <w:r>
                      <w:rPr>
                        <w:szCs w:val="24"/>
                      </w:rPr>
                      <w:t xml:space="preserve"> (</w:t>
                    </w:r>
                    <w:r>
                      <w:rPr>
                        <w:i/>
                        <w:szCs w:val="24"/>
                      </w:rPr>
                      <w:t>jeigu siūloma pakeitimo projektą teikti skubos tvarka, pakeitimo pagrindimo dokumentai pateikiami ir anglų kalba</w:t>
                    </w:r>
                    <w:r>
                      <w:rPr>
                        <w:szCs w:val="24"/>
                      </w:rPr>
                      <w:t>):</w:t>
                    </w:r>
                  </w:p>
                  <w:p>
                    <w:pPr>
                      <w:widowControl w:val="0"/>
                      <w:tabs>
                        <w:tab w:val="left" w:pos="567"/>
                      </w:tabs>
                      <w:jc w:val="both"/>
                      <w:textAlignment w:val="baseline"/>
                      <w:rPr>
                        <w:i/>
                      </w:rPr>
                    </w:pPr>
                    <w:r>
                      <w:rPr>
                        <w:i/>
                      </w:rPr>
                      <w:t>1. Siūlomo pakeitimo priežastys ir svarba (</w:t>
                    </w:r>
                    <w:r>
                      <w:rPr>
                        <w:i/>
                        <w:szCs w:val="24"/>
                      </w:rPr>
                      <w:t>jeigu siūloma</w:t>
                    </w:r>
                    <w:r>
                      <w:rPr>
                        <w:i/>
                      </w:rPr>
                      <w:t xml:space="preserve"> pakeitimo projektą teikti </w:t>
                    </w:r>
                    <w:r>
                      <w:rPr>
                        <w:i/>
                        <w:szCs w:val="24"/>
                      </w:rPr>
                      <w:t xml:space="preserve">Europos Komisijai </w:t>
                    </w:r>
                    <w:r>
                      <w:rPr>
                        <w:i/>
                      </w:rPr>
                      <w:t>skubos tvarka</w:t>
                    </w:r>
                    <w:r>
                      <w:rPr>
                        <w:i/>
                        <w:szCs w:val="24"/>
                      </w:rPr>
                      <w:t>,</w:t>
                    </w:r>
                    <w:r>
                      <w:rPr>
                        <w:i/>
                      </w:rPr>
                      <w:t xml:space="preserve"> vadovaujantis </w:t>
                    </w:r>
                    <w:r>
                      <w:rPr>
                        <w:i/>
                        <w:szCs w:val="24"/>
                      </w:rPr>
                      <w:t xml:space="preserve">Planų ir programų atrankos dėl strateginio pasekmių aplinkai vertinimo tvarkos aprašu, patvirtintu </w:t>
                    </w:r>
                    <w:r>
                      <w:rPr>
                        <w:i/>
                      </w:rPr>
                      <w:t xml:space="preserve">Lietuvos Respublikos aplinkos ministro 2004 m. rugpjūčio 27 d. </w:t>
                    </w:r>
                    <w:r>
                      <w:rPr>
                        <w:i/>
                        <w:szCs w:val="24"/>
                      </w:rPr>
                      <w:t xml:space="preserve">įsakymu </w:t>
                    </w:r>
                    <w:r>
                      <w:rPr>
                        <w:i/>
                      </w:rPr>
                      <w:t xml:space="preserve">Nr. D1-456 „Dėl Planų ir programų atrankos dėl strateginio pasekmių aplinkai vertinimo tvarkos aprašo patvirtinimo“, turi būti atlikta atranka </w:t>
                    </w:r>
                    <w:r>
                      <w:rPr>
                        <w:i/>
                        <w:szCs w:val="24"/>
                      </w:rPr>
                      <w:t xml:space="preserve">dėl Partnerystės sutarties ir (ar) </w:t>
                    </w:r>
                    <w:r>
                      <w:rPr>
                        <w:i/>
                      </w:rPr>
                      <w:t xml:space="preserve">Investicijų programos pakeitimo projekto </w:t>
                    </w:r>
                    <w:r>
                      <w:rPr>
                        <w:i/>
                        <w:szCs w:val="24"/>
                      </w:rPr>
                      <w:t>strateginio</w:t>
                    </w:r>
                    <w:r>
                      <w:rPr>
                        <w:i/>
                      </w:rPr>
                      <w:t xml:space="preserve"> pasekmių aplinkai </w:t>
                    </w:r>
                    <w:r>
                      <w:rPr>
                        <w:i/>
                        <w:szCs w:val="24"/>
                      </w:rPr>
                      <w:t>vertinimo</w:t>
                    </w:r>
                    <w:r>
                      <w:rPr>
                        <w:i/>
                      </w:rPr>
                      <w:t xml:space="preserve"> (kai atliekami pakeitimai susiję su Europos regioninės plėtros fondu ir Sanglaudos fondu)).</w:t>
                    </w:r>
                  </w:p>
                  <w:p>
                    <w:pPr>
                      <w:widowControl w:val="0"/>
                      <w:jc w:val="both"/>
                      <w:textAlignment w:val="baseline"/>
                      <w:rPr>
                        <w:i/>
                      </w:rPr>
                    </w:pPr>
                    <w:r>
                      <w:rPr>
                        <w:i/>
                      </w:rPr>
                      <w:t>2. Siūlomo pakeitimo indėlis siekiant Europos Sąjungos tikslų.</w:t>
                    </w:r>
                  </w:p>
                  <w:p>
                    <w:pPr>
                      <w:widowControl w:val="0"/>
                      <w:tabs>
                        <w:tab w:val="left" w:pos="567"/>
                      </w:tabs>
                      <w:jc w:val="both"/>
                      <w:textAlignment w:val="baseline"/>
                      <w:rPr>
                        <w:i/>
                      </w:rPr>
                    </w:pPr>
                    <w:r>
                      <w:rPr>
                        <w:i/>
                      </w:rPr>
                      <w:t xml:space="preserve">3. Siūlomo pakeitimo indėlis siekiant numatytų </w:t>
                    </w:r>
                    <w:r>
                      <w:rPr>
                        <w:i/>
                        <w:szCs w:val="24"/>
                      </w:rPr>
                      <w:t>Partnerystės sutarties</w:t>
                    </w:r>
                    <w:r>
                      <w:rPr>
                        <w:rFonts w:eastAsia="Calibri"/>
                        <w:i/>
                        <w:szCs w:val="24"/>
                        <w:lang w:eastAsia="lt-LT"/>
                      </w:rPr>
                      <w:t xml:space="preserve"> </w:t>
                    </w:r>
                    <w:r>
                      <w:rPr>
                        <w:i/>
                      </w:rPr>
                      <w:t>ir Investicijų programos tikslų ir prioritetų.</w:t>
                    </w:r>
                  </w:p>
                  <w:p>
                    <w:pPr>
                      <w:widowControl w:val="0"/>
                      <w:tabs>
                        <w:tab w:val="left" w:pos="567"/>
                      </w:tabs>
                      <w:jc w:val="both"/>
                      <w:textAlignment w:val="baseline"/>
                      <w:rPr>
                        <w:i/>
                      </w:rPr>
                    </w:pPr>
                    <w:r>
                      <w:rPr>
                        <w:i/>
                      </w:rPr>
                      <w:t>4. Siūlomo pakeitimo įtaka Investicijų programos stebėsenos rodikliams, jų pasiekimui.</w:t>
                    </w:r>
                  </w:p>
                  <w:p>
                    <w:pPr>
                      <w:widowControl w:val="0"/>
                      <w:tabs>
                        <w:tab w:val="left" w:pos="567"/>
                      </w:tabs>
                      <w:jc w:val="both"/>
                      <w:textAlignment w:val="baseline"/>
                      <w:rPr>
                        <w:i/>
                      </w:rPr>
                    </w:pPr>
                    <w:r>
                      <w:rPr>
                        <w:i/>
                      </w:rPr>
                      <w:t xml:space="preserve">5. Siūlomo pakeitimo poveikis Investicijų programos finansavimo planui (lėšų paskirstymui pagal Investicijų programos prioritetus), išlaidų pasiskirstymui pagal intervencinių priemonių sritis, finansavimo formas, teritorinį įgyvendinimo mechanizmą ir pagrindinę teritorinę sritį, </w:t>
                    </w:r>
                    <w:r>
                      <w:rPr>
                        <w:rFonts w:eastAsia="Calibri"/>
                        <w:i/>
                      </w:rPr>
                      <w:t>„Europos socialinio fondo +“, Europos regioninės plėtros fondo, Sanglaudos fondo ir Teisingos pertvarkos fondo lyčių lygybės matmenis</w:t>
                    </w:r>
                    <w:r>
                      <w:rPr>
                        <w:i/>
                      </w:rPr>
                      <w:t>, nustatytas Investicijų programoje.</w:t>
                    </w:r>
                  </w:p>
                  <w:p>
                    <w:pPr>
                      <w:widowControl w:val="0"/>
                      <w:tabs>
                        <w:tab w:val="left" w:pos="567"/>
                      </w:tabs>
                      <w:jc w:val="both"/>
                      <w:textAlignment w:val="baseline"/>
                      <w:rPr>
                        <w:i/>
                      </w:rPr>
                    </w:pPr>
                    <w:r>
                      <w:rPr>
                        <w:i/>
                      </w:rPr>
                      <w:t xml:space="preserve">6. Siūlomo pakeitimo poveikis Europos Sąjungos struktūrinių fondų lėšų panaudojimui ir </w:t>
                    </w:r>
                    <w:r>
                      <w:rPr>
                        <w:i/>
                        <w:szCs w:val="24"/>
                      </w:rPr>
                      <w:t xml:space="preserve">Lietuvos Respublikos Vyriausybės tvirtinamo </w:t>
                    </w:r>
                    <w:r>
                      <w:rPr>
                        <w:i/>
                      </w:rPr>
                      <w:t>Europos Sąjungos struktūrinių fondų lėšų naudojimo plano vykdymui.</w:t>
                    </w:r>
                  </w:p>
                  <w:p>
                    <w:pPr>
                      <w:widowControl w:val="0"/>
                      <w:tabs>
                        <w:tab w:val="left" w:pos="567"/>
                      </w:tabs>
                      <w:jc w:val="both"/>
                      <w:textAlignment w:val="baseline"/>
                      <w:rPr>
                        <w:i/>
                      </w:rPr>
                    </w:pPr>
                    <w:r>
                      <w:rPr>
                        <w:i/>
                      </w:rPr>
                      <w:t>7. Siūlomo pakeitimo poveikis Europos Sąjungos struktūrinių fondų lėšų, nacionalinių lėšų ir lankstumo sumos paskirstymui Investicijų programos prioritetams įgyvendinti.</w:t>
                    </w:r>
                  </w:p>
                  <w:p>
                    <w:pPr>
                      <w:widowControl w:val="0"/>
                      <w:tabs>
                        <w:tab w:val="left" w:pos="567"/>
                      </w:tabs>
                      <w:jc w:val="both"/>
                      <w:textAlignment w:val="baseline"/>
                      <w:rPr>
                        <w:szCs w:val="24"/>
                      </w:rPr>
                    </w:pPr>
                    <w:r>
                      <w:rPr>
                        <w:i/>
                      </w:rPr>
                      <w:t>8. Siūlomo pakeitimo poveikio analizė (nurodoma esama situacija, numatomas (-i) pokytis (-čiai) ir tikėtinas jo (jų) poveikis.</w:t>
                    </w:r>
                  </w:p>
                </w:tc>
              </w:tr>
            </w:tbl>
            <w:p/>
          </w:sdtContent>
        </w:sdt>
        <w:sdt>
          <w:sdtPr>
            <w:alias w:val="pabaiga"/>
            <w:tag w:val="part_e87aa45a00b54b4d8295be89f95d0714"/>
            <w:lock w:val="sdtLocked"/>
            <w:richText/>
          </w:sdtPr>
          <w:sdtContent>
            <w:p>
              <w:pPr>
                <w:spacing w:line="276" w:lineRule="auto"/>
                <w:jc w:val="center"/>
              </w:pPr>
              <w:r>
                <w:rPr>
                  <w:rFonts w:eastAsia="Calibri"/>
                </w:rPr>
                <w:t>________________</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9FF650-7BBB-469A-8EA0-C07157352C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51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riedas" Nr="1" Abbr="1 pr." Title="(Pasiūlymo keisti Lietuvos Respublikos partnerystės sutartį ir 2021–2027 metų Europos Sąjungos fondų investicijų programą forma)" DocPartId="e97c5358b7fd4f33bfb56821520d3f9f" PartId="bf95e2c628e947cfaf64c2476b503487">
    <Part Type="skirsnis" Title="PASIŪLYMAS KEISTI LIETUVOS RESPUBLIKOS PARTNERYSTĖS SUTARTĮ IR 2021–2027 METŲ EUROPOS SĄJUNGOS FONDŲ INVESTICIJŲ PROGRAMĄ" DocPartId="85a745c204314f69a242ca3bfe532796" PartId="0f80cc549ac14a7bb5fae5f235de5baa"/>
    <Part Type="pabaiga" DocPartId="06f6ddd0b3d64ef79cc7b20fbead4404" PartId="e87aa45a00b54b4d8295be89f95d0714"/>
  </Part>
</Parts>
</file>

<file path=customXml/itemProps1.xml><?xml version="1.0" encoding="utf-8"?>
<ds:datastoreItem xmlns:ds="http://schemas.openxmlformats.org/officeDocument/2006/customXml" ds:itemID="{2AC4AAB1-A8D2-4F95-93C2-AF8F8302004B}">
  <ds:schemaRefs>
    <ds:schemaRef ds:uri="http://schemas.openxmlformats.org/officeDocument/2006/bibliography"/>
  </ds:schemaRefs>
</ds:datastoreItem>
</file>

<file path=customXml/itemProps2.xml><?xml version="1.0" encoding="utf-8"?>
<ds:datastoreItem xmlns:ds="http://schemas.openxmlformats.org/officeDocument/2006/customXml" ds:itemID="{FD2681C5-4D60-4847-B72B-E717A1686489}">
  <ds:schemaRefs>
    <ds:schemaRef ds:uri="http://schemas.openxmlformats.org/officeDocument/2006/bibliography"/>
  </ds:schemaRefs>
</ds:datastoreItem>
</file>

<file path=customXml/itemProps3.xml><?xml version="1.0" encoding="utf-8"?>
<ds:datastoreItem xmlns:ds="http://schemas.openxmlformats.org/officeDocument/2006/customXml" ds:itemID="{09780E83-BA91-44F5-BC36-4299CA702A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443</Words>
  <Characters>3265</Characters>
  <Application>Microsoft Office Word</Application>
  <DocSecurity>4</DocSecurity>
  <Lines>61</Lines>
  <Paragraphs>23</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3685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2023-04-05T06:53:00Z</dcterms:created>
  <dc:creator>Rimantas Garbštas</dc:creator>
  <lastModifiedBy>adlibuser</lastModifiedBy>
  <dcterms:modified xsi:type="dcterms:W3CDTF">2023-04-05T06:53:00Z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-775013716</vt:i4>
  </property>
  <property fmtid="{D5CDD505-2E9C-101B-9397-08002B2CF9AE}" pid="3" name="_NewReviewCycle">
    <vt:lpwstr/>
  </property>
  <property fmtid="{D5CDD505-2E9C-101B-9397-08002B2CF9AE}" pid="4" name="_EmailSubject">
    <vt:lpwstr>gal esmae tokią nesamonę pildę?</vt:lpwstr>
  </property>
  <property fmtid="{D5CDD505-2E9C-101B-9397-08002B2CF9AE}" pid="5" name="_AuthorEmail">
    <vt:lpwstr>Rimantas.Garbstas@socmin.lt</vt:lpwstr>
  </property>
  <property fmtid="{D5CDD505-2E9C-101B-9397-08002B2CF9AE}" pid="6" name="_AuthorEmailDisplayName">
    <vt:lpwstr>Rimantas Garbštas</vt:lpwstr>
  </property>
  <property fmtid="{D5CDD505-2E9C-101B-9397-08002B2CF9AE}" pid="7" name="_ReviewingToolsShownOnce">
    <vt:lpwstr/>
  </property>
</Properties>
</file>