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71f519a1153f4b9dbcfafa0e8191aa23"/>
        <w:id w:val="-963420682"/>
        <w:lock w:val="sdtLocked"/>
      </w:sdtPr>
      <w:sdtEndPr/>
      <w:sdtContent>
        <w:p w14:paraId="3CBF3C93" w14:textId="77777777" w:rsidR="00AD0551" w:rsidRDefault="00AD0551">
          <w:pPr>
            <w:tabs>
              <w:tab w:val="center" w:pos="4819"/>
              <w:tab w:val="right" w:pos="9638"/>
            </w:tabs>
            <w:rPr>
              <w:sz w:val="22"/>
              <w:szCs w:val="22"/>
            </w:rPr>
          </w:pPr>
        </w:p>
        <w:p w14:paraId="6B6D3FD1" w14:textId="1F2B42F3" w:rsidR="00AD0551" w:rsidRDefault="009876BD">
          <w:pPr>
            <w:ind w:left="8505"/>
            <w:jc w:val="both"/>
            <w:rPr>
              <w:szCs w:val="24"/>
            </w:rPr>
          </w:pPr>
          <w:r>
            <w:rPr>
              <w:szCs w:val="24"/>
            </w:rPr>
            <w:t>8 priedo „2021–2030 m. plėtros programos valdytojos Lietuvos Respublikos švietimo, mokslo ir sporto ministerijos švietimo plėtros programos pažangos</w:t>
          </w:r>
          <w:r>
            <w:rPr>
              <w:szCs w:val="24"/>
              <w:lang w:eastAsia="lt-LT"/>
            </w:rPr>
            <w:t xml:space="preserve"> priemonės Nr. </w:t>
          </w:r>
          <w:r>
            <w:rPr>
              <w:szCs w:val="24"/>
            </w:rPr>
            <w:t>12-003-03-04-03</w:t>
          </w:r>
          <w:r>
            <w:rPr>
              <w:szCs w:val="24"/>
              <w:lang w:eastAsia="lt-LT"/>
            </w:rPr>
            <w:t xml:space="preserve"> </w:t>
          </w:r>
          <w:r>
            <w:rPr>
              <w:szCs w:val="24"/>
            </w:rPr>
            <w:t>„</w:t>
          </w:r>
          <w:r>
            <w:t>Sukurti rinkos poreikius atliepiančią profesinio mokymo sistemą</w:t>
          </w:r>
          <w:r>
            <w:rPr>
              <w:szCs w:val="24"/>
            </w:rPr>
            <w:t>“ projektų finansavimo sąlygų aprašo Nr. 8“</w:t>
          </w:r>
        </w:p>
        <w:p w14:paraId="59361F19" w14:textId="16D4F6AE" w:rsidR="00AD0551" w:rsidRDefault="009876BD">
          <w:pPr>
            <w:ind w:left="8505"/>
            <w:jc w:val="both"/>
            <w:rPr>
              <w:szCs w:val="24"/>
            </w:rPr>
          </w:pPr>
          <w:r>
            <w:rPr>
              <w:szCs w:val="24"/>
            </w:rPr>
            <w:t>priedas</w:t>
          </w:r>
        </w:p>
        <w:p w14:paraId="37B52666" w14:textId="77777777" w:rsidR="00AD0551" w:rsidRDefault="00AD0551">
          <w:pPr>
            <w:jc w:val="center"/>
            <w:rPr>
              <w:szCs w:val="24"/>
            </w:rPr>
          </w:pPr>
        </w:p>
        <w:p w14:paraId="3B8EE97A" w14:textId="77777777" w:rsidR="00AD0551" w:rsidRDefault="001D74E6">
          <w:pPr>
            <w:jc w:val="center"/>
            <w:rPr>
              <w:rFonts w:eastAsia="Calibri"/>
              <w:b/>
              <w:bCs/>
              <w:szCs w:val="24"/>
            </w:rPr>
          </w:pPr>
          <w:sdt>
            <w:sdtPr>
              <w:alias w:val="Pavadinimas"/>
              <w:tag w:val="title_71f519a1153f4b9dbcfafa0e8191aa23"/>
              <w:id w:val="1226728507"/>
              <w:lock w:val="sdtLocked"/>
            </w:sdtPr>
            <w:sdtEndPr/>
            <w:sdtContent>
              <w:r w:rsidR="009876BD">
                <w:rPr>
                  <w:rFonts w:eastAsia="Calibri"/>
                  <w:b/>
                  <w:bCs/>
                  <w:szCs w:val="24"/>
                </w:rPr>
                <w:t>PROJEKTO (ĮSKAITANT JUNGTINĮ PROJEKTĄ) ATITIKTIES REIKŠMINGOS ŽALOS NEDARYMO HORIZONTALIAJAM PRINCIPUI VERTINIMO REIKALAVIMŲ APRAŠAS</w:t>
              </w:r>
            </w:sdtContent>
          </w:sdt>
        </w:p>
        <w:p w14:paraId="749FBFAA" w14:textId="77777777" w:rsidR="00AD0551" w:rsidRDefault="00AD0551">
          <w:pPr>
            <w:jc w:val="center"/>
            <w:rPr>
              <w:rFonts w:eastAsia="Calibri"/>
              <w:b/>
              <w:bCs/>
              <w:szCs w:val="24"/>
            </w:rPr>
          </w:pPr>
        </w:p>
        <w:p w14:paraId="2F88CE80" w14:textId="77777777" w:rsidR="00AD0551" w:rsidRDefault="009876B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E66D426" w14:textId="77777777" w:rsidR="00AD0551" w:rsidRDefault="009876BD">
          <w:pPr>
            <w:spacing w:line="276" w:lineRule="auto"/>
            <w:ind w:firstLine="124"/>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sidR="001D74E6">
            <w:rPr>
              <w:rFonts w:eastAsia="Calibri"/>
              <w:sz w:val="22"/>
              <w:szCs w:val="22"/>
              <w:shd w:val="clear" w:color="auto" w:fill="FFFFFF"/>
            </w:rPr>
          </w:r>
          <w:r w:rsidR="001D74E6">
            <w:rPr>
              <w:rFonts w:eastAsia="Calibri"/>
              <w:sz w:val="22"/>
              <w:szCs w:val="22"/>
              <w:shd w:val="clear" w:color="auto" w:fill="FFFFFF"/>
            </w:rPr>
            <w:fldChar w:fldCharType="separate"/>
          </w:r>
          <w:r>
            <w:rPr>
              <w:rFonts w:eastAsia="Calibri"/>
              <w:sz w:val="22"/>
              <w:szCs w:val="22"/>
              <w:shd w:val="clear" w:color="auto" w:fill="FFFFFF"/>
            </w:rPr>
            <w:fldChar w:fldCharType="end"/>
          </w:r>
          <w:r>
            <w:rPr>
              <w:rFonts w:eastAsia="Calibri"/>
              <w:bCs/>
              <w:szCs w:val="24"/>
            </w:rPr>
            <w:t>Ekonomikos gaivinimo ir atsparumo didinimo priemonė (toliau – EGADP)</w:t>
          </w:r>
        </w:p>
        <w:p w14:paraId="39E592DE" w14:textId="77777777" w:rsidR="00AD0551" w:rsidRDefault="009876BD">
          <w:pPr>
            <w:spacing w:line="276" w:lineRule="auto"/>
            <w:ind w:firstLine="114"/>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sidR="001D74E6">
            <w:rPr>
              <w:rFonts w:eastAsia="Calibri"/>
              <w:sz w:val="22"/>
              <w:szCs w:val="22"/>
            </w:rPr>
          </w:r>
          <w:r w:rsidR="001D74E6">
            <w:rPr>
              <w:rFonts w:eastAsia="Calibri"/>
              <w:sz w:val="22"/>
              <w:szCs w:val="22"/>
            </w:rPr>
            <w:fldChar w:fldCharType="separate"/>
          </w:r>
          <w:r>
            <w:rPr>
              <w:rFonts w:eastAsia="Calibri"/>
              <w:sz w:val="22"/>
              <w:szCs w:val="22"/>
            </w:rPr>
            <w:fldChar w:fldCharType="end"/>
          </w:r>
          <w:r>
            <w:t>Europos Sąjungos fondų i</w:t>
          </w:r>
          <w:r>
            <w:rPr>
              <w:rFonts w:eastAsia="Calibri"/>
              <w:bCs/>
              <w:szCs w:val="24"/>
            </w:rPr>
            <w:t>nvesticijų programa (toliau – ESIP)</w:t>
          </w:r>
        </w:p>
        <w:p w14:paraId="3740190E" w14:textId="77777777" w:rsidR="00AD0551" w:rsidRDefault="00AD0551">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AD0551" w14:paraId="122D8CE9" w14:textId="77777777">
            <w:tc>
              <w:tcPr>
                <w:tcW w:w="4933" w:type="dxa"/>
                <w:tcBorders>
                  <w:top w:val="single" w:sz="4" w:space="0" w:color="auto"/>
                  <w:left w:val="single" w:sz="4" w:space="0" w:color="auto"/>
                  <w:bottom w:val="single" w:sz="4" w:space="0" w:color="auto"/>
                  <w:right w:val="single" w:sz="4" w:space="0" w:color="auto"/>
                </w:tcBorders>
              </w:tcPr>
              <w:p w14:paraId="310DEFB9" w14:textId="77777777" w:rsidR="00AD0551" w:rsidRDefault="009876BD">
                <w:pPr>
                  <w:jc w:val="center"/>
                  <w:rPr>
                    <w:rFonts w:eastAsia="Calibri"/>
                    <w:szCs w:val="24"/>
                  </w:rPr>
                </w:pPr>
                <w:r>
                  <w:rPr>
                    <w:rFonts w:eastAsia="Calibri"/>
                    <w:szCs w:val="24"/>
                  </w:rPr>
                  <w:t>Aplinkos tikslai</w:t>
                </w:r>
              </w:p>
              <w:p w14:paraId="7EB26A8A" w14:textId="77777777" w:rsidR="00AD0551" w:rsidRDefault="009876BD">
                <w:pPr>
                  <w:jc w:val="center"/>
                  <w:rPr>
                    <w:rFonts w:eastAsia="Calibri"/>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1DAE2446" w14:textId="77777777" w:rsidR="00AD0551" w:rsidRDefault="009876BD">
                <w:pPr>
                  <w:jc w:val="center"/>
                  <w:rPr>
                    <w:rFonts w:eastAsia="Calibri"/>
                    <w:szCs w:val="24"/>
                  </w:rPr>
                </w:pPr>
                <w:r>
                  <w:rPr>
                    <w:rFonts w:eastAsia="Calibri"/>
                    <w:szCs w:val="24"/>
                  </w:rPr>
                  <w:t>Pagrindimas</w:t>
                </w:r>
              </w:p>
              <w:p w14:paraId="3CB259E3" w14:textId="77777777" w:rsidR="00AD0551" w:rsidRDefault="009876BD">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212F25BE" w14:textId="77777777" w:rsidR="00AD0551" w:rsidRDefault="009876BD">
                <w:pPr>
                  <w:jc w:val="center"/>
                  <w:rPr>
                    <w:rFonts w:eastAsia="Calibri"/>
                    <w:szCs w:val="24"/>
                  </w:rPr>
                </w:pPr>
                <w:r>
                  <w:rPr>
                    <w:rFonts w:eastAsia="Calibri"/>
                    <w:szCs w:val="24"/>
                  </w:rPr>
                  <w:t>Pagrindimo dokumentai</w:t>
                </w:r>
              </w:p>
              <w:p w14:paraId="28C7C06B" w14:textId="77777777" w:rsidR="00AD0551" w:rsidRDefault="009876BD">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rsidR="00AD0551" w14:paraId="0CFE4EA7" w14:textId="77777777">
            <w:tc>
              <w:tcPr>
                <w:tcW w:w="4933" w:type="dxa"/>
                <w:tcBorders>
                  <w:top w:val="single" w:sz="4" w:space="0" w:color="auto"/>
                  <w:left w:val="single" w:sz="4" w:space="0" w:color="auto"/>
                  <w:bottom w:val="single" w:sz="4" w:space="0" w:color="auto"/>
                  <w:right w:val="single" w:sz="4" w:space="0" w:color="auto"/>
                </w:tcBorders>
              </w:tcPr>
              <w:p w14:paraId="7883776B" w14:textId="77777777" w:rsidR="00AD0551" w:rsidRDefault="009876BD">
                <w:pPr>
                  <w:ind w:left="29"/>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0F734D31" w14:textId="51107BED" w:rsidR="00AD0551" w:rsidRDefault="009876BD">
                <w:pPr>
                  <w:jc w:val="both"/>
                  <w:rPr>
                    <w:szCs w:val="24"/>
                    <w:lang w:eastAsia="lt-LT"/>
                  </w:rPr>
                </w:pPr>
                <w:r>
                  <w:rPr>
                    <w:szCs w:val="24"/>
                    <w:lang w:eastAsia="lt-LT"/>
                  </w:rPr>
                  <w:t>Įgyvendinant 4.5 uždavinio 4.5.5 veiklas bus investuojama į profesinių mokyklų infrastruktūros gerinimą (aprūpinant praktiniam profesiniam mokymui regionuose reikalinga įranga ir priemonėmis, susijusiomis su „Pramone 4.0“, skaitmeninimu ir žaliąja transformacija, siekiant didinti dalyvavimą MVG).</w:t>
                </w:r>
              </w:p>
              <w:p w14:paraId="556502DA" w14:textId="7D4DD22A" w:rsidR="00AD0551" w:rsidRDefault="009876BD">
                <w:pPr>
                  <w:jc w:val="both"/>
                  <w:rPr>
                    <w:i/>
                    <w:iCs/>
                    <w:szCs w:val="24"/>
                    <w:lang w:eastAsia="lt-LT"/>
                  </w:rPr>
                </w:pPr>
                <w:r>
                  <w:rPr>
                    <w:i/>
                    <w:iCs/>
                    <w:szCs w:val="24"/>
                    <w:lang w:eastAsia="lt-LT"/>
                  </w:rPr>
                  <w:t xml:space="preserve">Šios veiklos neturės neigiamo tiesioginio ar netiesioginio poveikio klimato kaitos švelninimo tikslui, nes nenumatoma, kad </w:t>
                </w:r>
                <w:r>
                  <w:rPr>
                    <w:i/>
                    <w:iCs/>
                    <w:szCs w:val="24"/>
                    <w:lang w:eastAsia="lt-LT"/>
                  </w:rPr>
                  <w:lastRenderedPageBreak/>
                  <w:t>įgyvendinant veiklas galėtų būti ŠESD išsiskyrimas.</w:t>
                </w:r>
              </w:p>
              <w:p w14:paraId="37C43103" w14:textId="41C88868" w:rsidR="00AD0551" w:rsidRDefault="009876BD">
                <w:pPr>
                  <w:jc w:val="both"/>
                  <w:rPr>
                    <w:szCs w:val="24"/>
                    <w:lang w:eastAsia="lt-LT"/>
                  </w:rPr>
                </w:pPr>
                <w:r>
                  <w:rPr>
                    <w:szCs w:val="24"/>
                    <w:lang w:eastAsia="lt-LT"/>
                  </w:rPr>
                  <w:t>Įgyvendinant 4.5.5 veiklas bus vadovaujamasi 2021 m. birželio 4 d. Komisijos deleguoto reglamento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1 straipsnio I priedo atitinkamoms veikloms taikomuose punktuose (modernizuojant esamą i</w:t>
                </w:r>
                <w:r>
                  <w:rPr>
                    <w:szCs w:val="18"/>
                    <w:lang w:eastAsia="lt-LT"/>
                  </w:rPr>
                  <w:t xml:space="preserve">nfrastruktūrą </w:t>
                </w:r>
                <w:r>
                  <w:rPr>
                    <w:szCs w:val="24"/>
                    <w:lang w:eastAsia="lt-LT"/>
                  </w:rPr>
                  <w:t xml:space="preserve">taikomi 7 punkte nustatyti techninės analizės kriterijai </w:t>
                </w:r>
                <w:r>
                  <w:rPr>
                    <w:szCs w:val="18"/>
                    <w:lang w:eastAsia="lt-LT"/>
                  </w:rPr>
                  <w:t>(jei jie taikomi naujai įsigyjamai įrangai)</w:t>
                </w:r>
                <w:r>
                  <w:rPr>
                    <w:szCs w:val="24"/>
                    <w:lang w:eastAsia="lt-LT"/>
                  </w:rPr>
                  <w:t>; įsigyjant IT įrangą taikomi 8 punkte nustatyti techninės analizės kriterijai) reikalavimais, tai numatant atitinkamuose dokumentuose (pvz., pirkimo ir kt. dokumentuose).</w:t>
                </w:r>
              </w:p>
              <w:p w14:paraId="66894D96" w14:textId="32E77885" w:rsidR="00AD0551" w:rsidRDefault="009876BD">
                <w:pPr>
                  <w:jc w:val="both"/>
                  <w:rPr>
                    <w:rFonts w:eastAsia="Calibri"/>
                    <w:szCs w:val="24"/>
                    <w:lang w:eastAsia="lt-LT"/>
                  </w:rPr>
                </w:pPr>
                <w:r>
                  <w:rPr>
                    <w:szCs w:val="24"/>
                    <w:lang w:eastAsia="lt-LT"/>
                  </w:rPr>
                  <w:t>Planuojama įsigyti IT įranga privalės atitikti (tai bus numatoma atitinkamuose IT įrangos įsigijimo dokumentuose) efektyvumo, tvarumo, ilgaamžiškumo reikalavimus pagal Direktyvą 2009/125/EC (serveriams ir duomenims saugoti, kompiuteriams ir kompiuterių serveriams ar elektroniniams ekranams) ir Direktyvą 2011/65/EU.</w:t>
                </w:r>
              </w:p>
            </w:tc>
            <w:tc>
              <w:tcPr>
                <w:tcW w:w="5387" w:type="dxa"/>
                <w:tcBorders>
                  <w:top w:val="single" w:sz="4" w:space="0" w:color="auto"/>
                  <w:left w:val="single" w:sz="4" w:space="0" w:color="auto"/>
                  <w:bottom w:val="single" w:sz="4" w:space="0" w:color="auto"/>
                  <w:right w:val="single" w:sz="4" w:space="0" w:color="auto"/>
                </w:tcBorders>
              </w:tcPr>
              <w:p w14:paraId="340AB026" w14:textId="79FC2E81" w:rsidR="00AD0551" w:rsidRDefault="009876BD">
                <w:pPr>
                  <w:jc w:val="both"/>
                  <w:rPr>
                    <w:szCs w:val="24"/>
                  </w:rPr>
                </w:pPr>
                <w:r>
                  <w:rPr>
                    <w:szCs w:val="24"/>
                  </w:rPr>
                  <w:lastRenderedPageBreak/>
                  <w:t>Pirkimo dokumentai, techninės specifikacijos, įsigytų prekių energetinio efektyvumo sertifikatai, pagrindžiantys įsigyjamų prekių palankumą aplinkai.</w:t>
                </w:r>
              </w:p>
              <w:p w14:paraId="3C726E4D" w14:textId="7E3AE25B" w:rsidR="00AD0551" w:rsidRDefault="00AD0551">
                <w:pPr>
                  <w:jc w:val="both"/>
                  <w:rPr>
                    <w:rFonts w:eastAsia="Calibri"/>
                    <w:szCs w:val="24"/>
                  </w:rPr>
                </w:pPr>
              </w:p>
            </w:tc>
          </w:tr>
          <w:tr w:rsidR="00AD0551" w14:paraId="5880F787" w14:textId="77777777">
            <w:tc>
              <w:tcPr>
                <w:tcW w:w="4933" w:type="dxa"/>
                <w:tcBorders>
                  <w:top w:val="single" w:sz="4" w:space="0" w:color="auto"/>
                  <w:left w:val="single" w:sz="4" w:space="0" w:color="auto"/>
                  <w:bottom w:val="single" w:sz="4" w:space="0" w:color="auto"/>
                  <w:right w:val="single" w:sz="4" w:space="0" w:color="auto"/>
                </w:tcBorders>
              </w:tcPr>
              <w:p w14:paraId="131C0582" w14:textId="77777777" w:rsidR="00AD0551" w:rsidRDefault="009876BD">
                <w:pPr>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14F249EE" w14:textId="4525E542" w:rsidR="00AD0551" w:rsidRDefault="009876BD">
                <w:pPr>
                  <w:jc w:val="both"/>
                  <w:rPr>
                    <w:szCs w:val="24"/>
                  </w:rPr>
                </w:pPr>
                <w:r>
                  <w:rPr>
                    <w:szCs w:val="24"/>
                  </w:rPr>
                  <w:t xml:space="preserve">Įgyvendinant 4.5 uždavinio 4.5.5 veiksmą (veiklas), bus investuojama į profesinių mokyklų infrastruktūros gerinimą (aprūpinant praktiniam profesiniam mokymui regionuose </w:t>
                </w:r>
                <w:r>
                  <w:rPr>
                    <w:szCs w:val="24"/>
                  </w:rPr>
                  <w:lastRenderedPageBreak/>
                  <w:t>reikalinga įranga ir priemonėmis, susijusiomis su „Pramone 4.0“, skaitmeninimu ir žaliąja transformacija, siekiant didinti dalyvavimą MVG).</w:t>
                </w:r>
              </w:p>
              <w:p w14:paraId="2E0AE0FD" w14:textId="77777777" w:rsidR="00AD0551" w:rsidRDefault="009876BD">
                <w:pPr>
                  <w:jc w:val="both"/>
                  <w:rPr>
                    <w:i/>
                    <w:iCs/>
                    <w:szCs w:val="24"/>
                  </w:rPr>
                </w:pPr>
                <w:r>
                  <w:rPr>
                    <w:i/>
                    <w:iCs/>
                    <w:szCs w:val="24"/>
                  </w:rPr>
                  <w:t>Šie veiksmai (veiklos) neturės neigiamo tiesioginio ar netiesioginio poveikio prisitaikymo prie klimato kaitos tikslui, nes neplanuojamos kurti jokios infrastruktūros potvynių zonoje.</w:t>
                </w:r>
              </w:p>
              <w:p w14:paraId="350BFF7A" w14:textId="73235006" w:rsidR="00AD0551" w:rsidRDefault="009876BD">
                <w:pPr>
                  <w:jc w:val="both"/>
                  <w:rPr>
                    <w:rFonts w:eastAsia="Calibri"/>
                    <w:szCs w:val="24"/>
                    <w:lang w:eastAsia="lt-LT"/>
                  </w:rPr>
                </w:pPr>
                <w:r>
                  <w:rPr>
                    <w:szCs w:val="24"/>
                    <w:lang w:eastAsia="lt-LT"/>
                  </w:rPr>
                  <w:t xml:space="preserve">Įgyvendinant 4.5.5 veiksmą (veiklas) bus vadovaujamasi 2021 m. birželio 4 d. Komisijos deleguoto reglamento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2 straipsnio II priedo atitinkamoms veikloms taikomuose punktuose (modernizuojant esamą infrastruktūrą taikomi 7 punkte nustatyti techninės analizės kriterijai </w:t>
                </w:r>
                <w:r>
                  <w:rPr>
                    <w:szCs w:val="18"/>
                    <w:lang w:eastAsia="lt-LT"/>
                  </w:rPr>
                  <w:t>(jei taikomi naujai įsigyjamai įrangai)</w:t>
                </w:r>
                <w:r>
                  <w:rPr>
                    <w:szCs w:val="24"/>
                    <w:lang w:eastAsia="lt-LT"/>
                  </w:rPr>
                  <w:t>; įsigyjant IT įrangą taikomi 8 punkte nustatyti techninės analizės kriterijai) reikalavimais, tai numatant atitinkamuose dokumentuose (pvz., pirkimo ir kt. dokumentuose).</w:t>
                </w:r>
              </w:p>
            </w:tc>
            <w:tc>
              <w:tcPr>
                <w:tcW w:w="5387" w:type="dxa"/>
                <w:tcBorders>
                  <w:top w:val="single" w:sz="4" w:space="0" w:color="auto"/>
                  <w:left w:val="single" w:sz="4" w:space="0" w:color="auto"/>
                  <w:bottom w:val="single" w:sz="4" w:space="0" w:color="auto"/>
                  <w:right w:val="single" w:sz="4" w:space="0" w:color="auto"/>
                </w:tcBorders>
              </w:tcPr>
              <w:p w14:paraId="5D2889F6" w14:textId="645E2E38" w:rsidR="00AD0551" w:rsidRDefault="009876BD">
                <w:pPr>
                  <w:jc w:val="both"/>
                  <w:rPr>
                    <w:szCs w:val="24"/>
                  </w:rPr>
                </w:pPr>
                <w:r>
                  <w:rPr>
                    <w:szCs w:val="24"/>
                  </w:rPr>
                  <w:lastRenderedPageBreak/>
                  <w:t>Pirkimo dokumentai, techninės specifikacijos, įsigytų prekių energetinio efektyvumo sertifikatai, pagrindžiantys įsigyjamų prekių palankumą aplinkai.</w:t>
                </w:r>
              </w:p>
              <w:p w14:paraId="2854CE74" w14:textId="668E6B63" w:rsidR="00AD0551" w:rsidRDefault="00AD0551">
                <w:pPr>
                  <w:jc w:val="both"/>
                  <w:rPr>
                    <w:rFonts w:eastAsia="Calibri"/>
                    <w:szCs w:val="24"/>
                  </w:rPr>
                </w:pPr>
              </w:p>
            </w:tc>
          </w:tr>
          <w:tr w:rsidR="00AD0551" w14:paraId="7107005C" w14:textId="77777777">
            <w:tc>
              <w:tcPr>
                <w:tcW w:w="4933" w:type="dxa"/>
                <w:tcBorders>
                  <w:top w:val="single" w:sz="4" w:space="0" w:color="auto"/>
                  <w:left w:val="single" w:sz="4" w:space="0" w:color="auto"/>
                  <w:bottom w:val="single" w:sz="4" w:space="0" w:color="auto"/>
                  <w:right w:val="single" w:sz="4" w:space="0" w:color="auto"/>
                </w:tcBorders>
              </w:tcPr>
              <w:p w14:paraId="66A4E981" w14:textId="77777777" w:rsidR="00AD0551" w:rsidRDefault="009876BD">
                <w:pPr>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1655C5A4" w14:textId="284F5CC3" w:rsidR="00AD0551" w:rsidRDefault="009876BD">
                <w:pPr>
                  <w:jc w:val="both"/>
                  <w:rPr>
                    <w:szCs w:val="24"/>
                  </w:rPr>
                </w:pPr>
                <w:r>
                  <w:rPr>
                    <w:szCs w:val="24"/>
                  </w:rPr>
                  <w:t xml:space="preserve">Įgyvendinant 4.5 uždavinio 4.5.5 veiksmą (veiklas), bus investuojama į profesinių mokyklų infrastruktūros gerinimą (aprūpinant praktiniam profesiniam mokymui regionuose reikalinga įranga ir priemonėmis, susijusiomis </w:t>
                </w:r>
                <w:r>
                  <w:rPr>
                    <w:szCs w:val="24"/>
                  </w:rPr>
                  <w:lastRenderedPageBreak/>
                  <w:t>su „Pramone 4.0“, skaitmeninimu ir žaliąja transformacija, siekiant didinti dalyvavimą MVG).</w:t>
                </w:r>
              </w:p>
              <w:p w14:paraId="5F9EF68B" w14:textId="17D35E2F" w:rsidR="00AD0551" w:rsidRDefault="009876BD">
                <w:pPr>
                  <w:jc w:val="both"/>
                  <w:rPr>
                    <w:rFonts w:eastAsia="Calibri"/>
                    <w:szCs w:val="24"/>
                  </w:rPr>
                </w:pPr>
                <w:r>
                  <w:rPr>
                    <w:i/>
                    <w:iCs/>
                    <w:szCs w:val="24"/>
                  </w:rPr>
                  <w:t>Šis veiksmas (veiklos) neturės neigiamo tiesioginio ir netiesioginio poveikio šiam aplinkos tikslui, nes nenumatoma kurti jokia infrastruktūra šalia vandens telkinių, kas galėtų turėti įtakos tausiam vandens ir jūrų išteklių naudojimui.</w:t>
                </w:r>
              </w:p>
            </w:tc>
            <w:tc>
              <w:tcPr>
                <w:tcW w:w="5387" w:type="dxa"/>
                <w:tcBorders>
                  <w:top w:val="single" w:sz="4" w:space="0" w:color="auto"/>
                  <w:left w:val="single" w:sz="4" w:space="0" w:color="auto"/>
                  <w:bottom w:val="single" w:sz="4" w:space="0" w:color="auto"/>
                  <w:right w:val="single" w:sz="4" w:space="0" w:color="auto"/>
                </w:tcBorders>
              </w:tcPr>
              <w:p w14:paraId="66F10E7A" w14:textId="77777777" w:rsidR="00AD0551" w:rsidRDefault="009876BD">
                <w:pPr>
                  <w:jc w:val="both"/>
                  <w:rPr>
                    <w:szCs w:val="24"/>
                  </w:rPr>
                </w:pPr>
                <w:r>
                  <w:rPr>
                    <w:szCs w:val="24"/>
                  </w:rPr>
                  <w:lastRenderedPageBreak/>
                  <w:t>Netaikoma. Numatomos veiklos neturi neigiamo poveikio, todėl papildomi dokumentai neteikiami.</w:t>
                </w:r>
              </w:p>
              <w:p w14:paraId="706515EC" w14:textId="4E96659A" w:rsidR="00AD0551" w:rsidRDefault="00AD0551">
                <w:pPr>
                  <w:jc w:val="both"/>
                  <w:rPr>
                    <w:rFonts w:eastAsia="Calibri"/>
                    <w:szCs w:val="24"/>
                  </w:rPr>
                </w:pPr>
              </w:p>
            </w:tc>
          </w:tr>
          <w:tr w:rsidR="00AD0551" w14:paraId="006C06F2" w14:textId="77777777">
            <w:tc>
              <w:tcPr>
                <w:tcW w:w="4933" w:type="dxa"/>
                <w:tcBorders>
                  <w:top w:val="single" w:sz="4" w:space="0" w:color="auto"/>
                  <w:left w:val="single" w:sz="4" w:space="0" w:color="auto"/>
                  <w:bottom w:val="single" w:sz="4" w:space="0" w:color="auto"/>
                  <w:right w:val="single" w:sz="4" w:space="0" w:color="auto"/>
                </w:tcBorders>
              </w:tcPr>
              <w:p w14:paraId="34A5AC8E" w14:textId="77777777" w:rsidR="00AD0551" w:rsidRDefault="009876BD">
                <w:pPr>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101AA448" w14:textId="19764976" w:rsidR="00AD0551" w:rsidRDefault="009876BD">
                <w:pPr>
                  <w:jc w:val="both"/>
                  <w:rPr>
                    <w:szCs w:val="24"/>
                  </w:rPr>
                </w:pPr>
                <w:r>
                  <w:rPr>
                    <w:szCs w:val="24"/>
                  </w:rPr>
                  <w:t>Įgyvendinant 4.5 uždavinio 4.5.5 veiksmą (veiklas), bus investuojama į profesinių mokyklų infrastruktūros gerinimą (aprūpinant praktiniam profesiniam mokymui regionuose reikalinga įranga ir priemonėmis, susijusiomis su „Pramone 4.0“, skaitmeninimu ir žaliąja transformacija, siekiant didinti dalyvavimą MVG).</w:t>
                </w:r>
              </w:p>
              <w:p w14:paraId="691D1C58" w14:textId="3A7B3B0C" w:rsidR="00AD0551" w:rsidRDefault="009876BD">
                <w:pPr>
                  <w:jc w:val="both"/>
                  <w:rPr>
                    <w:rFonts w:eastAsia="Calibri"/>
                    <w:i/>
                    <w:szCs w:val="24"/>
                  </w:rPr>
                </w:pPr>
                <w:r>
                  <w:rPr>
                    <w:rFonts w:eastAsia="Calibri"/>
                    <w:i/>
                    <w:szCs w:val="24"/>
                  </w:rPr>
                  <w:t>Šie veiksmai (veiklos) neturės neigiamo tiesioginio ir netiesioginio poveikio šiam aplinkos tikslui, nes įsigyjant naują trūkstamą įrangą ir / arba priemones atliekos nebus generuojamos, todėl neaktualus ir atliekų surinkimas ar atskirų dalių ar medžiagų pakartotinas naudojimas ar perdirbimas, nesusidarys statybinių atliekų.</w:t>
                </w:r>
              </w:p>
              <w:p w14:paraId="1CD55308" w14:textId="297ABCE6" w:rsidR="00AD0551" w:rsidRDefault="009876BD">
                <w:pPr>
                  <w:jc w:val="both"/>
                  <w:rPr>
                    <w:rFonts w:eastAsia="Calibri"/>
                    <w:i/>
                    <w:szCs w:val="24"/>
                  </w:rPr>
                </w:pPr>
                <w:r>
                  <w:rPr>
                    <w:rFonts w:eastAsia="Calibri"/>
                    <w:szCs w:val="24"/>
                  </w:rPr>
                  <w:t>Įgyvendinant veiklas bus užtikrinta (bus nurodyta pirkimo ir kt. dokumentuose), kad naudojama IRT įranga atitiks medžiagų efektyvumo reikalavimus, nustatytus pagal Direktyvą 2009/125 / EB serveriams ir duomenų saugykloms, kompiuteriams ir kompiuterių serveriams ar elektroniniams ekranams.</w:t>
                </w:r>
              </w:p>
              <w:p w14:paraId="52D9830D" w14:textId="7FE00A52" w:rsidR="00AD0551" w:rsidRDefault="009876BD">
                <w:pPr>
                  <w:jc w:val="both"/>
                  <w:rPr>
                    <w:rFonts w:eastAsia="Calibri"/>
                    <w:szCs w:val="24"/>
                  </w:rPr>
                </w:pPr>
                <w:r>
                  <w:rPr>
                    <w:rFonts w:eastAsia="Calibri"/>
                    <w:szCs w:val="24"/>
                  </w:rPr>
                  <w:lastRenderedPageBreak/>
                  <w:t>Pasibaigus įrangos eksploatavimo laikui ji bus saugiai paruošta pakartotiniam naudojimui ar perdirbimui pagal parengtą atliekų tvarkymo planą, užtikrinant maksimalų elektros ir elektroninės įrangos perdirbimą pasibaigus jų eksploatavimo laikui, kaip tai numato Direktyva 2012/19 / ES.</w:t>
                </w:r>
              </w:p>
            </w:tc>
            <w:tc>
              <w:tcPr>
                <w:tcW w:w="5387" w:type="dxa"/>
                <w:tcBorders>
                  <w:top w:val="single" w:sz="4" w:space="0" w:color="auto"/>
                  <w:left w:val="single" w:sz="4" w:space="0" w:color="auto"/>
                  <w:bottom w:val="single" w:sz="4" w:space="0" w:color="auto"/>
                  <w:right w:val="single" w:sz="4" w:space="0" w:color="auto"/>
                </w:tcBorders>
              </w:tcPr>
              <w:p w14:paraId="1F89F31C" w14:textId="77777777" w:rsidR="00AD0551" w:rsidRDefault="009876BD">
                <w:pPr>
                  <w:jc w:val="both"/>
                  <w:rPr>
                    <w:szCs w:val="24"/>
                  </w:rPr>
                </w:pPr>
                <w:r>
                  <w:rPr>
                    <w:szCs w:val="24"/>
                  </w:rPr>
                  <w:lastRenderedPageBreak/>
                  <w:t>Netaikoma. Numatomos veiklos neturi neigiamo poveikio, todėl papildomi dokumentai neteikiami.</w:t>
                </w:r>
              </w:p>
              <w:p w14:paraId="7D855DCA" w14:textId="27E4F2B4" w:rsidR="00AD0551" w:rsidRDefault="00AD0551">
                <w:pPr>
                  <w:jc w:val="both"/>
                  <w:rPr>
                    <w:rFonts w:eastAsia="Calibri"/>
                    <w:szCs w:val="24"/>
                  </w:rPr>
                </w:pPr>
              </w:p>
            </w:tc>
          </w:tr>
          <w:tr w:rsidR="00AD0551" w14:paraId="0118DDF1" w14:textId="77777777">
            <w:tc>
              <w:tcPr>
                <w:tcW w:w="4933" w:type="dxa"/>
                <w:tcBorders>
                  <w:top w:val="single" w:sz="4" w:space="0" w:color="auto"/>
                  <w:left w:val="single" w:sz="4" w:space="0" w:color="auto"/>
                  <w:bottom w:val="single" w:sz="4" w:space="0" w:color="auto"/>
                  <w:right w:val="single" w:sz="4" w:space="0" w:color="auto"/>
                </w:tcBorders>
              </w:tcPr>
              <w:p w14:paraId="4B532F6E" w14:textId="77777777" w:rsidR="00AD0551" w:rsidRDefault="009876BD">
                <w:pPr>
                  <w:jc w:val="both"/>
                  <w:rPr>
                    <w:rFonts w:eastAsia="Calibri"/>
                    <w:szCs w:val="24"/>
                  </w:rPr>
                </w:pPr>
                <w:r>
                  <w:rPr>
                    <w:rFonts w:eastAsia="Calibri"/>
                    <w:szCs w:val="24"/>
                  </w:rPr>
                  <w:t>5.</w:t>
                </w:r>
                <w:r>
                  <w:rPr>
                    <w:rFonts w:eastAsia="Calibri"/>
                    <w:szCs w:val="24"/>
                  </w:rPr>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57649D21" w14:textId="4517173B" w:rsidR="00AD0551" w:rsidRDefault="009876BD">
                <w:pPr>
                  <w:jc w:val="both"/>
                  <w:rPr>
                    <w:szCs w:val="24"/>
                  </w:rPr>
                </w:pPr>
                <w:r>
                  <w:rPr>
                    <w:szCs w:val="24"/>
                  </w:rPr>
                  <w:t>Įgyvendinant 4.5 uždavinio 4.5.5 veiksmą (veiklas), bus investuojama į profesinių mokyklų infrastruktūros gerinimą (aprūpinant praktiniam profesiniam mokymui regionuose reikalinga įranga ir priemonėmis, susijusiomis su „Pramone 4.0“, skaitmeninimu ir žaliąja transformacija, siekiant didinti dalyvavimą MVG).</w:t>
                </w:r>
              </w:p>
              <w:p w14:paraId="514F6DAC" w14:textId="280D261A" w:rsidR="00AD0551" w:rsidRDefault="009876BD">
                <w:pPr>
                  <w:jc w:val="both"/>
                  <w:rPr>
                    <w:rFonts w:eastAsia="Calibri"/>
                    <w:szCs w:val="24"/>
                  </w:rPr>
                </w:pPr>
                <w:r>
                  <w:rPr>
                    <w:i/>
                    <w:iCs/>
                    <w:szCs w:val="24"/>
                  </w:rPr>
                  <w:t xml:space="preserve">Šie veiksmai (veiklos) neturės neigiamo tiesioginio ir netiesioginio poveikio šiam aplinkos tikslui, nes vykdant veiklą nebus atliekami jokie statybos ir remonto darbai. </w:t>
                </w:r>
                <w:r>
                  <w:rPr>
                    <w:i/>
                    <w:iCs/>
                    <w:color w:val="000000"/>
                    <w:szCs w:val="24"/>
                  </w:rPr>
                  <w:t>Nenumatoma, kad įgyvendinant šiuos veiksmus (veiklas), susijusias su infrastruktūros modernizavimu (įsigyjant trūkstamą įrangą ir / arba priemones) susidarytų reikšminga oro, vandens ir dirvožemio tarša.</w:t>
                </w:r>
              </w:p>
            </w:tc>
            <w:tc>
              <w:tcPr>
                <w:tcW w:w="5387" w:type="dxa"/>
                <w:tcBorders>
                  <w:top w:val="single" w:sz="4" w:space="0" w:color="auto"/>
                  <w:left w:val="single" w:sz="4" w:space="0" w:color="auto"/>
                  <w:bottom w:val="single" w:sz="4" w:space="0" w:color="auto"/>
                  <w:right w:val="single" w:sz="4" w:space="0" w:color="auto"/>
                </w:tcBorders>
              </w:tcPr>
              <w:p w14:paraId="4EA9AD01" w14:textId="77777777" w:rsidR="00AD0551" w:rsidRDefault="009876BD">
                <w:pPr>
                  <w:jc w:val="both"/>
                  <w:rPr>
                    <w:szCs w:val="24"/>
                  </w:rPr>
                </w:pPr>
                <w:r>
                  <w:rPr>
                    <w:szCs w:val="24"/>
                  </w:rPr>
                  <w:t>Netaikoma. Numatomos veiklos neturi neigiamo poveikio, todėl papildomi dokumentai neteikiami.</w:t>
                </w:r>
              </w:p>
              <w:p w14:paraId="6F2F3533" w14:textId="21AC7171" w:rsidR="00AD0551" w:rsidRDefault="00AD0551">
                <w:pPr>
                  <w:jc w:val="both"/>
                  <w:rPr>
                    <w:rFonts w:eastAsia="Calibri"/>
                    <w:szCs w:val="24"/>
                  </w:rPr>
                </w:pPr>
              </w:p>
            </w:tc>
          </w:tr>
          <w:tr w:rsidR="00AD0551" w14:paraId="7AA42760" w14:textId="77777777">
            <w:tc>
              <w:tcPr>
                <w:tcW w:w="4933" w:type="dxa"/>
                <w:tcBorders>
                  <w:top w:val="single" w:sz="4" w:space="0" w:color="auto"/>
                  <w:left w:val="single" w:sz="4" w:space="0" w:color="auto"/>
                  <w:bottom w:val="single" w:sz="4" w:space="0" w:color="auto"/>
                  <w:right w:val="single" w:sz="4" w:space="0" w:color="auto"/>
                </w:tcBorders>
              </w:tcPr>
              <w:p w14:paraId="32071622" w14:textId="77777777" w:rsidR="00AD0551" w:rsidRDefault="009876BD">
                <w:pPr>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4A4CB792" w14:textId="1C2FE410" w:rsidR="00AD0551" w:rsidRDefault="009876BD">
                <w:pPr>
                  <w:jc w:val="both"/>
                  <w:rPr>
                    <w:szCs w:val="24"/>
                  </w:rPr>
                </w:pPr>
                <w:r>
                  <w:rPr>
                    <w:szCs w:val="24"/>
                  </w:rPr>
                  <w:t>Įgyvendinant 4.5 uždavinio 4.5.5 veiksmą (veiklas), bus investuojama į profesinių mokyklų infrastruktūros gerinimą (aprūpinant praktiniam profesiniam mokymui regionuose reikalinga įranga ir priemonėmis, susijusiomis su „Pramone 4.0“, skaitmeninimu ir žaliąja transformacija, siekiant didinti dalyvavimą MVG).</w:t>
                </w:r>
              </w:p>
              <w:p w14:paraId="54E8D6F1" w14:textId="15D7FD01" w:rsidR="00AD0551" w:rsidRDefault="009876BD">
                <w:pPr>
                  <w:jc w:val="both"/>
                  <w:rPr>
                    <w:rFonts w:eastAsia="Calibri"/>
                    <w:i/>
                    <w:iCs/>
                    <w:szCs w:val="24"/>
                  </w:rPr>
                </w:pPr>
                <w:r>
                  <w:rPr>
                    <w:i/>
                    <w:iCs/>
                    <w:szCs w:val="24"/>
                  </w:rPr>
                  <w:lastRenderedPageBreak/>
                  <w:t xml:space="preserve">Šie veiksmai (veiklos) neturės neigiamo tiesioginio ir netiesioginio poveikio šiam aplinkos tikslui, nes veiklos bus vykdomos jau urbanizuotose vietovėse, kai taikoma, atlikus planuojamos ūkinės veiklos poveikio aplinkai vertinimą, ir taikant kitiems tikslams nurodytas priemones, kartu padėsiančias išvengti bet kokios žalos biologinei įvairovei bei ekosistemoms. </w:t>
                </w:r>
              </w:p>
            </w:tc>
            <w:tc>
              <w:tcPr>
                <w:tcW w:w="5387" w:type="dxa"/>
                <w:tcBorders>
                  <w:top w:val="single" w:sz="4" w:space="0" w:color="auto"/>
                  <w:left w:val="single" w:sz="4" w:space="0" w:color="auto"/>
                  <w:bottom w:val="single" w:sz="4" w:space="0" w:color="auto"/>
                  <w:right w:val="single" w:sz="4" w:space="0" w:color="auto"/>
                </w:tcBorders>
              </w:tcPr>
              <w:p w14:paraId="1E729C09" w14:textId="77777777" w:rsidR="00AD0551" w:rsidRDefault="009876BD">
                <w:pPr>
                  <w:jc w:val="both"/>
                  <w:rPr>
                    <w:szCs w:val="24"/>
                  </w:rPr>
                </w:pPr>
                <w:r>
                  <w:rPr>
                    <w:szCs w:val="24"/>
                  </w:rPr>
                  <w:lastRenderedPageBreak/>
                  <w:t>Netaikoma. Numatomos veiklos neturi neigiamo poveikio, todėl papildomi dokumentai neteikiami.</w:t>
                </w:r>
              </w:p>
              <w:p w14:paraId="038AB090" w14:textId="6601C3ED" w:rsidR="00AD0551" w:rsidRDefault="00AD0551">
                <w:pPr>
                  <w:jc w:val="both"/>
                  <w:rPr>
                    <w:rFonts w:eastAsia="Calibri"/>
                    <w:szCs w:val="24"/>
                  </w:rPr>
                </w:pPr>
              </w:p>
            </w:tc>
          </w:tr>
        </w:tbl>
        <w:p w14:paraId="06878E61" w14:textId="77777777" w:rsidR="00AD0551" w:rsidRDefault="00AD0551">
          <w:pPr>
            <w:spacing w:line="276" w:lineRule="auto"/>
            <w:jc w:val="center"/>
            <w:rPr>
              <w:rFonts w:ascii="Calibri" w:eastAsia="Calibri" w:hAnsi="Calibri"/>
              <w:sz w:val="22"/>
              <w:szCs w:val="22"/>
            </w:rPr>
          </w:pPr>
        </w:p>
        <w:p w14:paraId="196DE67F" w14:textId="77777777" w:rsidR="00AD0551" w:rsidRDefault="00AD0551">
          <w:pPr>
            <w:rPr>
              <w:sz w:val="18"/>
              <w:szCs w:val="18"/>
            </w:rPr>
          </w:pPr>
        </w:p>
        <w:sdt>
          <w:sdtPr>
            <w:alias w:val="pabaiga"/>
            <w:tag w:val="part_27c675782e42475784b83c0e600dfea4"/>
            <w:id w:val="2145856442"/>
            <w:lock w:val="sdtLocked"/>
          </w:sdtPr>
          <w:sdtEndPr/>
          <w:sdtContent>
            <w:p w14:paraId="28306603" w14:textId="77777777" w:rsidR="00AD0551" w:rsidRDefault="009876BD">
              <w:pPr>
                <w:spacing w:line="276" w:lineRule="auto"/>
                <w:jc w:val="center"/>
                <w:rPr>
                  <w:szCs w:val="24"/>
                </w:rPr>
              </w:pPr>
              <w:r>
                <w:rPr>
                  <w:rFonts w:ascii="Calibri" w:eastAsia="Calibri" w:hAnsi="Calibri"/>
                  <w:sz w:val="22"/>
                  <w:szCs w:val="22"/>
                </w:rPr>
                <w:t>________________</w:t>
              </w:r>
            </w:p>
            <w:p w14:paraId="63C64CB1" w14:textId="77777777" w:rsidR="00AD0551" w:rsidRDefault="00AD0551"/>
            <w:p w14:paraId="423FB057" w14:textId="77777777" w:rsidR="00AD0551" w:rsidRDefault="001D74E6"/>
          </w:sdtContent>
        </w:sdt>
      </w:sdtContent>
    </w:sdt>
    <w:sectPr w:rsidR="00AD0551" w:rsidSect="009876BD">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80E5CA" w14:textId="77777777" w:rsidR="00AD0551" w:rsidRDefault="009876BD">
      <w:r>
        <w:separator/>
      </w:r>
    </w:p>
  </w:endnote>
  <w:endnote w:type="continuationSeparator" w:id="0">
    <w:p w14:paraId="76C62809" w14:textId="77777777" w:rsidR="00AD0551" w:rsidRDefault="00987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F0524" w14:textId="77777777" w:rsidR="00AD0551" w:rsidRDefault="00AD055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1F12E" w14:textId="77777777" w:rsidR="00AD0551" w:rsidRDefault="00AD055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439B5" w14:textId="77777777" w:rsidR="00AD0551" w:rsidRDefault="00AD055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88374D" w14:textId="77777777" w:rsidR="00AD0551" w:rsidRDefault="009876BD">
      <w:r>
        <w:separator/>
      </w:r>
    </w:p>
  </w:footnote>
  <w:footnote w:type="continuationSeparator" w:id="0">
    <w:p w14:paraId="0EBEABFA" w14:textId="77777777" w:rsidR="00AD0551" w:rsidRDefault="009876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2714A" w14:textId="77777777" w:rsidR="00AD0551" w:rsidRDefault="00AD0551">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CBA4A" w14:textId="6C3A07FC" w:rsidR="00AD0551" w:rsidRDefault="009876B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D74E6">
      <w:rPr>
        <w:noProof/>
        <w:szCs w:val="22"/>
      </w:rPr>
      <w:t>2</w:t>
    </w:r>
    <w:r>
      <w:rPr>
        <w:szCs w:val="22"/>
      </w:rPr>
      <w:fldChar w:fldCharType="end"/>
    </w:r>
  </w:p>
  <w:p w14:paraId="15837E9B" w14:textId="77777777" w:rsidR="00AD0551" w:rsidRDefault="00AD0551">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1743A" w14:textId="77777777" w:rsidR="00AD0551" w:rsidRDefault="00AD055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 w:val="001D74E6"/>
    <w:rsid w:val="0077238C"/>
    <w:rsid w:val="009876BD"/>
    <w:rsid w:val="00AD05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BA5B"/>
  <w15:chartTrackingRefBased/>
  <w15:docId w15:val="{D6D2683B-55C8-466D-9C15-6C42EDD5A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571161">
      <w:bodyDiv w:val="1"/>
      <w:marLeft w:val="0"/>
      <w:marRight w:val="0"/>
      <w:marTop w:val="0"/>
      <w:marBottom w:val="0"/>
      <w:divBdr>
        <w:top w:val="none" w:sz="0" w:space="0" w:color="auto"/>
        <w:left w:val="none" w:sz="0" w:space="0" w:color="auto"/>
        <w:bottom w:val="none" w:sz="0" w:space="0" w:color="auto"/>
        <w:right w:val="none" w:sz="0" w:space="0" w:color="auto"/>
      </w:divBdr>
    </w:div>
    <w:div w:id="1517766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Abbr="pr." Title="PROJEKTO (ĮSKAITANT JUNGTINĮ PROJEKTĄ) ATITIKTIES REIKŠMINGOS ŽALOS NEDARYMO HORIZONTALIAJAM PRINCIPUI VERTINIMO REIKALAVIMŲ APRAŠAS" DocPartId="a98a9f88cd3c452680337eefcd6d507d" PartId="71f519a1153f4b9dbcfafa0e8191aa23">
    <Part Type="pabaiga" DocPartId="a6326a60f8d04ed9b01cead601b8d723" PartId="27c675782e42475784b83c0e600dfea4"/>
  </Part>
</Parts>
</file>

<file path=customXml/itemProps1.xml><?xml version="1.0" encoding="utf-8"?>
<ds:datastoreItem xmlns:ds="http://schemas.openxmlformats.org/officeDocument/2006/customXml" ds:itemID="{33D7C976-E244-46C1-BBAE-2374AA8E37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5353</Words>
  <Characters>3052</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DZIKAITĖ Jolanta</cp:lastModifiedBy>
  <cp:revision>2</cp:revision>
  <dcterms:created xsi:type="dcterms:W3CDTF">2024-06-04T07:53:00Z</dcterms:created>
  <dcterms:modified xsi:type="dcterms:W3CDTF">2024-06-04T07:53:00Z</dcterms:modified>
</cp:coreProperties>
</file>