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6 pr."/>
        <w:tag w:val="part_4ce082f6db6e4a9d927917f2b99bb883"/>
        <w:id w:val="-107359384"/>
        <w:lock w:val="sdtLocked"/>
      </w:sdtPr>
      <w:sdtEndPr/>
      <w:sdtContent>
        <w:p w:rsidR="000B526A" w:rsidRDefault="000B526A">
          <w:pPr>
            <w:tabs>
              <w:tab w:val="center" w:pos="4986"/>
              <w:tab w:val="right" w:pos="9972"/>
            </w:tabs>
          </w:pPr>
        </w:p>
        <w:p w:rsidR="000B526A" w:rsidRDefault="000B526A">
          <w:pPr>
            <w:tabs>
              <w:tab w:val="center" w:pos="4986"/>
              <w:tab w:val="right" w:pos="9972"/>
            </w:tabs>
            <w:jc w:val="both"/>
          </w:pPr>
        </w:p>
        <w:p w:rsidR="000B526A" w:rsidRDefault="00A43C09">
          <w:pPr>
            <w:ind w:left="10206"/>
            <w:jc w:val="both"/>
            <w:rPr>
              <w:szCs w:val="24"/>
            </w:rPr>
          </w:pPr>
          <w:r>
            <w:rPr>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0B526A" w:rsidRDefault="004125EB">
          <w:pPr>
            <w:ind w:left="10206"/>
            <w:jc w:val="both"/>
            <w:rPr>
              <w:szCs w:val="24"/>
            </w:rPr>
          </w:pPr>
          <w:sdt>
            <w:sdtPr>
              <w:alias w:val="Numeris"/>
              <w:tag w:val="nr_4ce082f6db6e4a9d927917f2b99bb883"/>
              <w:id w:val="2139374656"/>
              <w:lock w:val="sdtLocked"/>
            </w:sdtPr>
            <w:sdtEndPr/>
            <w:sdtContent>
              <w:r w:rsidR="00A43C09">
                <w:rPr>
                  <w:szCs w:val="24"/>
                </w:rPr>
                <w:t>6</w:t>
              </w:r>
            </w:sdtContent>
          </w:sdt>
          <w:r w:rsidR="00A43C09">
            <w:rPr>
              <w:szCs w:val="24"/>
            </w:rPr>
            <w:t xml:space="preserve"> priedas</w:t>
          </w:r>
        </w:p>
        <w:p w:rsidR="000B526A" w:rsidRDefault="000B526A">
          <w:pPr>
            <w:ind w:firstLine="9639"/>
            <w:rPr>
              <w:bCs/>
              <w:szCs w:val="24"/>
            </w:rPr>
          </w:pPr>
        </w:p>
        <w:p w:rsidR="000B526A" w:rsidRDefault="000B526A">
          <w:pPr>
            <w:jc w:val="both"/>
            <w:rPr>
              <w:bCs/>
              <w:szCs w:val="24"/>
            </w:rPr>
          </w:pPr>
        </w:p>
        <w:p w:rsidR="000B526A" w:rsidRDefault="000B526A"/>
        <w:sdt>
          <w:sdtPr>
            <w:alias w:val="Pavadinimas"/>
            <w:tag w:val="title_4ce082f6db6e4a9d927917f2b99bb883"/>
            <w:id w:val="-1696452416"/>
            <w:lock w:val="sdtLocked"/>
          </w:sdtPr>
          <w:sdtEndPr/>
          <w:sdtContent>
            <w:p w:rsidR="000B526A" w:rsidRDefault="00A43C09">
              <w:pPr>
                <w:jc w:val="center"/>
                <w:rPr>
                  <w:b/>
                  <w:bCs/>
                </w:rPr>
              </w:pPr>
              <w:r>
                <w:rPr>
                  <w:b/>
                  <w:bCs/>
                </w:rPr>
                <w:t xml:space="preserve">2021–2030 M. PLĖTROS PROGRAMOS VALDYTOJOS LIETUVOS RESPUBLIKOS ŠVIETIMO, MOKSLO IR SPORTO MINISTERIJOS ŠVIETIMO PLĖTROS PROGRAMOS PAŽANGOS PRIEMONĖS </w:t>
              </w:r>
            </w:p>
            <w:p w:rsidR="000B526A" w:rsidRDefault="00A43C09">
              <w:pPr>
                <w:jc w:val="center"/>
                <w:rPr>
                  <w:b/>
                  <w:bCs/>
                </w:rPr>
              </w:pPr>
              <w:r>
                <w:rPr>
                  <w:b/>
                  <w:bCs/>
                </w:rPr>
                <w:t xml:space="preserve">NR. 12-003-03-04-03 „SUKURTI RINKOS POREIKIUS ATLIEPIANČIĄ PROFESINIO UGDYMO SISTEMĄ“ </w:t>
              </w:r>
            </w:p>
            <w:p w:rsidR="000B526A" w:rsidRDefault="00A43C09">
              <w:pPr>
                <w:jc w:val="center"/>
                <w:rPr>
                  <w:b/>
                  <w:bCs/>
                </w:rPr>
              </w:pPr>
              <w:r>
                <w:rPr>
                  <w:b/>
                  <w:bCs/>
                </w:rPr>
                <w:t>PROJEKTŲ FINANSAVIMO SĄLYGŲ APRAŠAS NR. 6</w:t>
              </w:r>
            </w:p>
          </w:sdtContent>
        </w:sdt>
        <w:p w:rsidR="000B526A" w:rsidRDefault="000B526A">
          <w:pPr>
            <w:spacing w:line="259" w:lineRule="auto"/>
            <w:jc w:val="center"/>
            <w:rPr>
              <w:b/>
              <w:bCs/>
              <w:sz w:val="22"/>
              <w:szCs w:val="22"/>
            </w:rPr>
          </w:pPr>
        </w:p>
        <w:p w:rsidR="000B526A" w:rsidRDefault="000B526A">
          <w:pPr>
            <w:rPr>
              <w:sz w:val="14"/>
              <w:szCs w:val="14"/>
            </w:rPr>
          </w:pPr>
        </w:p>
        <w:tbl>
          <w:tblPr>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417"/>
            <w:gridCol w:w="1276"/>
            <w:gridCol w:w="1276"/>
            <w:gridCol w:w="1276"/>
            <w:gridCol w:w="1275"/>
            <w:gridCol w:w="993"/>
            <w:gridCol w:w="1417"/>
            <w:gridCol w:w="1276"/>
            <w:gridCol w:w="1134"/>
            <w:gridCol w:w="1110"/>
            <w:gridCol w:w="11"/>
          </w:tblGrid>
          <w:tr w:rsidR="000B526A">
            <w:tc>
              <w:tcPr>
                <w:tcW w:w="15008" w:type="dxa"/>
                <w:gridSpan w:val="13"/>
                <w:vAlign w:val="center"/>
              </w:tcPr>
              <w:p w:rsidR="000B526A" w:rsidRDefault="00A43C09">
                <w:pPr>
                  <w:jc w:val="center"/>
                  <w:rPr>
                    <w:b/>
                    <w:bCs/>
                    <w:sz w:val="22"/>
                    <w:szCs w:val="22"/>
                  </w:rPr>
                </w:pPr>
                <w:r>
                  <w:rPr>
                    <w:b/>
                    <w:bCs/>
                    <w:sz w:val="22"/>
                    <w:szCs w:val="22"/>
                  </w:rPr>
                  <w:t>VEIKLOS AR POVEIKLĖS, KURIOMS NUSTATOMOS PROJEKTŲ FINANSAVIMO SĄLYGOS</w:t>
                </w:r>
              </w:p>
            </w:tc>
          </w:tr>
          <w:tr w:rsidR="000B526A">
            <w:trPr>
              <w:gridAfter w:val="1"/>
              <w:wAfter w:w="11" w:type="dxa"/>
            </w:trPr>
            <w:tc>
              <w:tcPr>
                <w:tcW w:w="1271" w:type="dxa"/>
                <w:vAlign w:val="center"/>
              </w:tcPr>
              <w:p w:rsidR="000B526A" w:rsidRDefault="00A43C09">
                <w:pPr>
                  <w:jc w:val="center"/>
                  <w:rPr>
                    <w:b/>
                    <w:bCs/>
                    <w:sz w:val="22"/>
                    <w:szCs w:val="22"/>
                  </w:rPr>
                </w:pPr>
                <w:r>
                  <w:rPr>
                    <w:b/>
                    <w:bCs/>
                    <w:sz w:val="22"/>
                    <w:szCs w:val="22"/>
                  </w:rPr>
                  <w:t xml:space="preserve">Veiklos ar </w:t>
                </w:r>
                <w:proofErr w:type="spellStart"/>
                <w:r>
                  <w:rPr>
                    <w:b/>
                    <w:bCs/>
                    <w:sz w:val="22"/>
                    <w:szCs w:val="22"/>
                  </w:rPr>
                  <w:t>poveiklėspavadini-mas</w:t>
                </w:r>
                <w:proofErr w:type="spellEnd"/>
              </w:p>
            </w:tc>
            <w:tc>
              <w:tcPr>
                <w:tcW w:w="1276" w:type="dxa"/>
                <w:vAlign w:val="center"/>
              </w:tcPr>
              <w:p w:rsidR="000B526A" w:rsidRDefault="00A43C09">
                <w:pPr>
                  <w:jc w:val="center"/>
                  <w:rPr>
                    <w:b/>
                    <w:bCs/>
                    <w:sz w:val="22"/>
                    <w:szCs w:val="22"/>
                  </w:rPr>
                </w:pPr>
                <w:r>
                  <w:rPr>
                    <w:b/>
                    <w:bCs/>
                    <w:sz w:val="22"/>
                    <w:szCs w:val="22"/>
                  </w:rPr>
                  <w:t>Finansavimo šaltinis</w:t>
                </w:r>
              </w:p>
            </w:tc>
            <w:tc>
              <w:tcPr>
                <w:tcW w:w="1417" w:type="dxa"/>
                <w:vAlign w:val="center"/>
              </w:tcPr>
              <w:p w:rsidR="000B526A" w:rsidRDefault="00A43C09">
                <w:pPr>
                  <w:jc w:val="center"/>
                  <w:rPr>
                    <w:b/>
                    <w:bCs/>
                    <w:sz w:val="22"/>
                    <w:szCs w:val="22"/>
                  </w:rPr>
                </w:pPr>
                <w:r>
                  <w:rPr>
                    <w:b/>
                    <w:bCs/>
                    <w:sz w:val="22"/>
                    <w:szCs w:val="22"/>
                  </w:rPr>
                  <w:t xml:space="preserve">Prioritetas ar </w:t>
                </w:r>
                <w:proofErr w:type="spellStart"/>
                <w:r>
                  <w:rPr>
                    <w:b/>
                    <w:bCs/>
                    <w:sz w:val="22"/>
                    <w:szCs w:val="22"/>
                  </w:rPr>
                  <w:t>komponen</w:t>
                </w:r>
                <w:proofErr w:type="spellEnd"/>
                <w:r>
                  <w:rPr>
                    <w:b/>
                    <w:bCs/>
                    <w:sz w:val="22"/>
                    <w:szCs w:val="22"/>
                  </w:rPr>
                  <w:t>-tas</w:t>
                </w:r>
              </w:p>
            </w:tc>
            <w:tc>
              <w:tcPr>
                <w:tcW w:w="1276" w:type="dxa"/>
                <w:vAlign w:val="center"/>
              </w:tcPr>
              <w:p w:rsidR="000B526A" w:rsidRDefault="00A43C09">
                <w:pPr>
                  <w:jc w:val="center"/>
                  <w:rPr>
                    <w:b/>
                    <w:bCs/>
                    <w:sz w:val="22"/>
                    <w:szCs w:val="22"/>
                  </w:rPr>
                </w:pPr>
                <w:r>
                  <w:rPr>
                    <w:b/>
                    <w:bCs/>
                    <w:sz w:val="22"/>
                    <w:szCs w:val="22"/>
                  </w:rPr>
                  <w:t>Uždavinys ar priemonė</w:t>
                </w:r>
              </w:p>
            </w:tc>
            <w:tc>
              <w:tcPr>
                <w:tcW w:w="1276" w:type="dxa"/>
                <w:vAlign w:val="center"/>
              </w:tcPr>
              <w:p w:rsidR="000B526A" w:rsidRDefault="00A43C09">
                <w:pPr>
                  <w:jc w:val="center"/>
                  <w:rPr>
                    <w:b/>
                    <w:bCs/>
                    <w:sz w:val="22"/>
                    <w:szCs w:val="22"/>
                  </w:rPr>
                </w:pPr>
                <w:r>
                  <w:rPr>
                    <w:b/>
                    <w:bCs/>
                    <w:sz w:val="22"/>
                    <w:szCs w:val="22"/>
                  </w:rPr>
                  <w:t xml:space="preserve">Veikla ar </w:t>
                </w:r>
                <w:proofErr w:type="spellStart"/>
                <w:r>
                  <w:rPr>
                    <w:b/>
                    <w:bCs/>
                    <w:sz w:val="22"/>
                    <w:szCs w:val="22"/>
                  </w:rPr>
                  <w:t>poveiklė</w:t>
                </w:r>
                <w:proofErr w:type="spellEnd"/>
              </w:p>
            </w:tc>
            <w:tc>
              <w:tcPr>
                <w:tcW w:w="1276" w:type="dxa"/>
                <w:vAlign w:val="center"/>
              </w:tcPr>
              <w:p w:rsidR="000B526A" w:rsidRDefault="00A43C09">
                <w:pPr>
                  <w:jc w:val="center"/>
                  <w:rPr>
                    <w:b/>
                    <w:bCs/>
                    <w:sz w:val="22"/>
                    <w:szCs w:val="22"/>
                  </w:rPr>
                </w:pPr>
                <w:proofErr w:type="spellStart"/>
                <w:r>
                  <w:rPr>
                    <w:b/>
                    <w:bCs/>
                    <w:sz w:val="22"/>
                    <w:szCs w:val="22"/>
                  </w:rPr>
                  <w:t>Intervenci-nės</w:t>
                </w:r>
                <w:proofErr w:type="spellEnd"/>
                <w:r>
                  <w:rPr>
                    <w:b/>
                    <w:bCs/>
                    <w:sz w:val="22"/>
                    <w:szCs w:val="22"/>
                  </w:rPr>
                  <w:t xml:space="preserve"> priemonės kodas</w:t>
                </w:r>
              </w:p>
            </w:tc>
            <w:tc>
              <w:tcPr>
                <w:tcW w:w="1275" w:type="dxa"/>
                <w:vAlign w:val="center"/>
              </w:tcPr>
              <w:p w:rsidR="000B526A" w:rsidRDefault="00A43C09">
                <w:pPr>
                  <w:jc w:val="center"/>
                  <w:rPr>
                    <w:b/>
                    <w:bCs/>
                    <w:sz w:val="22"/>
                    <w:szCs w:val="22"/>
                  </w:rPr>
                </w:pPr>
                <w:r>
                  <w:rPr>
                    <w:b/>
                    <w:bCs/>
                    <w:sz w:val="22"/>
                    <w:szCs w:val="22"/>
                  </w:rPr>
                  <w:t>Regionas, kuriam priskiria-</w:t>
                </w:r>
                <w:proofErr w:type="spellStart"/>
                <w:r>
                  <w:rPr>
                    <w:b/>
                    <w:bCs/>
                    <w:sz w:val="22"/>
                    <w:szCs w:val="22"/>
                  </w:rPr>
                  <w:t>ma</w:t>
                </w:r>
                <w:proofErr w:type="spellEnd"/>
                <w:r>
                  <w:rPr>
                    <w:b/>
                    <w:bCs/>
                    <w:sz w:val="22"/>
                    <w:szCs w:val="22"/>
                  </w:rPr>
                  <w:t xml:space="preserve"> veikla ar </w:t>
                </w:r>
                <w:proofErr w:type="spellStart"/>
                <w:r>
                  <w:rPr>
                    <w:b/>
                    <w:bCs/>
                    <w:sz w:val="22"/>
                    <w:szCs w:val="22"/>
                  </w:rPr>
                  <w:t>poveiklė</w:t>
                </w:r>
                <w:proofErr w:type="spellEnd"/>
              </w:p>
            </w:tc>
            <w:tc>
              <w:tcPr>
                <w:tcW w:w="993" w:type="dxa"/>
                <w:vAlign w:val="center"/>
              </w:tcPr>
              <w:p w:rsidR="000B526A" w:rsidRDefault="00A43C09">
                <w:pPr>
                  <w:jc w:val="center"/>
                  <w:rPr>
                    <w:b/>
                    <w:bCs/>
                    <w:sz w:val="22"/>
                    <w:szCs w:val="22"/>
                  </w:rPr>
                </w:pPr>
                <w:r>
                  <w:rPr>
                    <w:b/>
                    <w:bCs/>
                    <w:sz w:val="22"/>
                    <w:szCs w:val="22"/>
                  </w:rPr>
                  <w:t>Para-mos formos kodas</w:t>
                </w:r>
              </w:p>
            </w:tc>
            <w:tc>
              <w:tcPr>
                <w:tcW w:w="1417" w:type="dxa"/>
                <w:vAlign w:val="center"/>
              </w:tcPr>
              <w:p w:rsidR="000B526A" w:rsidRDefault="00A43C09">
                <w:pPr>
                  <w:jc w:val="center"/>
                  <w:rPr>
                    <w:b/>
                    <w:bCs/>
                    <w:sz w:val="22"/>
                    <w:szCs w:val="22"/>
                  </w:rPr>
                </w:pPr>
                <w:r>
                  <w:rPr>
                    <w:b/>
                    <w:bCs/>
                    <w:sz w:val="22"/>
                    <w:szCs w:val="22"/>
                  </w:rPr>
                  <w:t>Pagrindinės teritorinės srities kodas (-ai)</w:t>
                </w:r>
              </w:p>
            </w:tc>
            <w:tc>
              <w:tcPr>
                <w:tcW w:w="1276" w:type="dxa"/>
                <w:vAlign w:val="center"/>
              </w:tcPr>
              <w:p w:rsidR="000B526A" w:rsidRDefault="00A43C09">
                <w:pPr>
                  <w:jc w:val="center"/>
                  <w:rPr>
                    <w:b/>
                    <w:bCs/>
                    <w:sz w:val="22"/>
                    <w:szCs w:val="22"/>
                  </w:rPr>
                </w:pPr>
                <w:proofErr w:type="spellStart"/>
                <w:r>
                  <w:rPr>
                    <w:b/>
                    <w:bCs/>
                    <w:sz w:val="22"/>
                    <w:szCs w:val="22"/>
                  </w:rPr>
                  <w:t>Ekonomi-nės</w:t>
                </w:r>
                <w:proofErr w:type="spellEnd"/>
                <w:r>
                  <w:rPr>
                    <w:b/>
                    <w:bCs/>
                    <w:sz w:val="22"/>
                    <w:szCs w:val="22"/>
                  </w:rPr>
                  <w:t xml:space="preserve"> veiklos kodas (-ai)</w:t>
                </w:r>
              </w:p>
            </w:tc>
            <w:tc>
              <w:tcPr>
                <w:tcW w:w="1134" w:type="dxa"/>
                <w:vAlign w:val="center"/>
              </w:tcPr>
              <w:p w:rsidR="000B526A" w:rsidRDefault="00A43C09">
                <w:pPr>
                  <w:jc w:val="center"/>
                  <w:rPr>
                    <w:b/>
                    <w:bCs/>
                    <w:sz w:val="22"/>
                    <w:szCs w:val="22"/>
                  </w:rPr>
                </w:pPr>
                <w:r>
                  <w:rPr>
                    <w:b/>
                    <w:bCs/>
                    <w:sz w:val="22"/>
                    <w:szCs w:val="22"/>
                  </w:rPr>
                  <w:t>„Europos socialinio fondo +“ antrinių temų kodai</w:t>
                </w:r>
              </w:p>
            </w:tc>
            <w:tc>
              <w:tcPr>
                <w:tcW w:w="1110" w:type="dxa"/>
                <w:vAlign w:val="center"/>
              </w:tcPr>
              <w:p w:rsidR="000B526A" w:rsidRDefault="00A43C09">
                <w:pPr>
                  <w:jc w:val="center"/>
                  <w:rPr>
                    <w:b/>
                    <w:bCs/>
                    <w:sz w:val="22"/>
                    <w:szCs w:val="22"/>
                  </w:rPr>
                </w:pPr>
                <w:r>
                  <w:rPr>
                    <w:b/>
                    <w:bCs/>
                    <w:sz w:val="22"/>
                    <w:szCs w:val="22"/>
                  </w:rPr>
                  <w:t>Lyčių lygybės matmens kodas</w:t>
                </w:r>
              </w:p>
            </w:tc>
          </w:tr>
          <w:tr w:rsidR="000B526A">
            <w:trPr>
              <w:gridAfter w:val="1"/>
              <w:wAfter w:w="11" w:type="dxa"/>
              <w:trHeight w:val="278"/>
            </w:trPr>
            <w:tc>
              <w:tcPr>
                <w:tcW w:w="1271" w:type="dxa"/>
                <w:tcMar>
                  <w:left w:w="28" w:type="dxa"/>
                  <w:right w:w="28" w:type="dxa"/>
                </w:tcMar>
              </w:tcPr>
              <w:p w:rsidR="000B526A" w:rsidRDefault="000B526A">
                <w:pPr>
                  <w:rPr>
                    <w:bCs/>
                    <w:sz w:val="22"/>
                    <w:szCs w:val="22"/>
                  </w:rPr>
                </w:pPr>
              </w:p>
            </w:tc>
            <w:tc>
              <w:tcPr>
                <w:tcW w:w="1276" w:type="dxa"/>
                <w:tcMar>
                  <w:left w:w="28" w:type="dxa"/>
                  <w:right w:w="28" w:type="dxa"/>
                </w:tcMar>
              </w:tcPr>
              <w:p w:rsidR="000B526A" w:rsidRDefault="000B526A">
                <w:pPr>
                  <w:rPr>
                    <w:sz w:val="22"/>
                    <w:szCs w:val="22"/>
                  </w:rPr>
                </w:pPr>
              </w:p>
            </w:tc>
            <w:tc>
              <w:tcPr>
                <w:tcW w:w="1417" w:type="dxa"/>
                <w:tcMar>
                  <w:left w:w="28" w:type="dxa"/>
                  <w:right w:w="28" w:type="dxa"/>
                </w:tcMar>
              </w:tcPr>
              <w:p w:rsidR="000B526A" w:rsidRDefault="000B526A">
                <w:pPr>
                  <w:rPr>
                    <w:sz w:val="22"/>
                    <w:szCs w:val="22"/>
                  </w:rPr>
                </w:pPr>
              </w:p>
            </w:tc>
            <w:tc>
              <w:tcPr>
                <w:tcW w:w="1276" w:type="dxa"/>
                <w:tcMar>
                  <w:left w:w="28" w:type="dxa"/>
                  <w:right w:w="28" w:type="dxa"/>
                </w:tcMar>
              </w:tcPr>
              <w:p w:rsidR="000B526A" w:rsidRDefault="000B526A">
                <w:pPr>
                  <w:rPr>
                    <w:b/>
                    <w:bCs/>
                    <w:sz w:val="22"/>
                    <w:szCs w:val="22"/>
                  </w:rPr>
                </w:pPr>
              </w:p>
            </w:tc>
            <w:tc>
              <w:tcPr>
                <w:tcW w:w="1276" w:type="dxa"/>
                <w:tcMar>
                  <w:left w:w="28" w:type="dxa"/>
                  <w:right w:w="28" w:type="dxa"/>
                </w:tcMar>
              </w:tcPr>
              <w:p w:rsidR="000B526A" w:rsidRDefault="000B526A">
                <w:pPr>
                  <w:rPr>
                    <w:sz w:val="22"/>
                    <w:szCs w:val="22"/>
                    <w:highlight w:val="yellow"/>
                  </w:rPr>
                </w:pPr>
              </w:p>
            </w:tc>
            <w:tc>
              <w:tcPr>
                <w:tcW w:w="1276" w:type="dxa"/>
                <w:tcMar>
                  <w:left w:w="28" w:type="dxa"/>
                  <w:right w:w="28" w:type="dxa"/>
                </w:tcMar>
              </w:tcPr>
              <w:p w:rsidR="000B526A" w:rsidRDefault="000B526A">
                <w:pPr>
                  <w:rPr>
                    <w:sz w:val="22"/>
                    <w:szCs w:val="22"/>
                  </w:rPr>
                </w:pPr>
              </w:p>
            </w:tc>
            <w:tc>
              <w:tcPr>
                <w:tcW w:w="1275" w:type="dxa"/>
                <w:tcMar>
                  <w:left w:w="28" w:type="dxa"/>
                  <w:right w:w="28" w:type="dxa"/>
                </w:tcMar>
              </w:tcPr>
              <w:p w:rsidR="000B526A" w:rsidRDefault="000B526A">
                <w:pPr>
                  <w:rPr>
                    <w:sz w:val="22"/>
                    <w:szCs w:val="22"/>
                  </w:rPr>
                </w:pPr>
              </w:p>
            </w:tc>
            <w:tc>
              <w:tcPr>
                <w:tcW w:w="993" w:type="dxa"/>
                <w:tcMar>
                  <w:left w:w="28" w:type="dxa"/>
                  <w:right w:w="28" w:type="dxa"/>
                </w:tcMar>
              </w:tcPr>
              <w:p w:rsidR="000B526A" w:rsidRDefault="000B526A">
                <w:pPr>
                  <w:rPr>
                    <w:b/>
                    <w:bCs/>
                    <w:sz w:val="22"/>
                    <w:szCs w:val="22"/>
                  </w:rPr>
                </w:pPr>
              </w:p>
            </w:tc>
            <w:tc>
              <w:tcPr>
                <w:tcW w:w="1417" w:type="dxa"/>
                <w:tcMar>
                  <w:left w:w="28" w:type="dxa"/>
                  <w:right w:w="28" w:type="dxa"/>
                </w:tcMar>
              </w:tcPr>
              <w:p w:rsidR="000B526A" w:rsidRDefault="000B526A">
                <w:pPr>
                  <w:rPr>
                    <w:b/>
                    <w:bCs/>
                    <w:sz w:val="22"/>
                    <w:szCs w:val="22"/>
                  </w:rPr>
                </w:pPr>
              </w:p>
            </w:tc>
            <w:tc>
              <w:tcPr>
                <w:tcW w:w="1276" w:type="dxa"/>
                <w:tcMar>
                  <w:left w:w="28" w:type="dxa"/>
                  <w:right w:w="28" w:type="dxa"/>
                </w:tcMar>
              </w:tcPr>
              <w:p w:rsidR="000B526A" w:rsidRDefault="000B526A">
                <w:pPr>
                  <w:rPr>
                    <w:b/>
                    <w:bCs/>
                    <w:sz w:val="22"/>
                    <w:szCs w:val="22"/>
                  </w:rPr>
                </w:pPr>
              </w:p>
            </w:tc>
            <w:tc>
              <w:tcPr>
                <w:tcW w:w="1134" w:type="dxa"/>
                <w:tcMar>
                  <w:left w:w="28" w:type="dxa"/>
                  <w:right w:w="28" w:type="dxa"/>
                </w:tcMar>
              </w:tcPr>
              <w:p w:rsidR="000B526A" w:rsidRDefault="000B526A">
                <w:pPr>
                  <w:rPr>
                    <w:sz w:val="22"/>
                    <w:szCs w:val="22"/>
                  </w:rPr>
                </w:pPr>
              </w:p>
            </w:tc>
            <w:tc>
              <w:tcPr>
                <w:tcW w:w="1110" w:type="dxa"/>
                <w:tcMar>
                  <w:left w:w="28" w:type="dxa"/>
                  <w:right w:w="28" w:type="dxa"/>
                </w:tcMar>
              </w:tcPr>
              <w:p w:rsidR="000B526A" w:rsidRDefault="000B526A">
                <w:pPr>
                  <w:jc w:val="center"/>
                  <w:rPr>
                    <w:sz w:val="22"/>
                    <w:szCs w:val="22"/>
                  </w:rPr>
                </w:pPr>
              </w:p>
            </w:tc>
          </w:tr>
          <w:tr w:rsidR="000B526A">
            <w:trPr>
              <w:gridAfter w:val="1"/>
              <w:wAfter w:w="11" w:type="dxa"/>
              <w:trHeight w:val="278"/>
            </w:trPr>
            <w:tc>
              <w:tcPr>
                <w:tcW w:w="1271" w:type="dxa"/>
                <w:tcMar>
                  <w:left w:w="28" w:type="dxa"/>
                  <w:right w:w="28" w:type="dxa"/>
                </w:tcMar>
              </w:tcPr>
              <w:p w:rsidR="000B526A" w:rsidRDefault="00A43C09">
                <w:pPr>
                  <w:rPr>
                    <w:sz w:val="22"/>
                    <w:szCs w:val="22"/>
                  </w:rPr>
                </w:pPr>
                <w:r>
                  <w:rPr>
                    <w:sz w:val="22"/>
                    <w:szCs w:val="22"/>
                  </w:rPr>
                  <w:t>8.  Profesinio mokymo, organizuoja-</w:t>
                </w:r>
                <w:proofErr w:type="spellStart"/>
                <w:r>
                  <w:rPr>
                    <w:sz w:val="22"/>
                    <w:szCs w:val="22"/>
                  </w:rPr>
                  <w:t>mo</w:t>
                </w:r>
                <w:proofErr w:type="spellEnd"/>
                <w:r>
                  <w:rPr>
                    <w:sz w:val="22"/>
                    <w:szCs w:val="22"/>
                  </w:rPr>
                  <w:t xml:space="preserve"> pameistrystės mokymo forma, veiklos viešinimo priemonių sukūrimas ir </w:t>
                </w:r>
                <w:r>
                  <w:rPr>
                    <w:sz w:val="22"/>
                    <w:szCs w:val="22"/>
                  </w:rPr>
                  <w:lastRenderedPageBreak/>
                  <w:t>įgyvendini-</w:t>
                </w:r>
                <w:proofErr w:type="spellStart"/>
                <w:r>
                  <w:rPr>
                    <w:sz w:val="22"/>
                    <w:szCs w:val="22"/>
                  </w:rPr>
                  <w:t>mas</w:t>
                </w:r>
                <w:proofErr w:type="spellEnd"/>
              </w:p>
              <w:p w:rsidR="000B526A" w:rsidRDefault="000B526A">
                <w:pPr>
                  <w:rPr>
                    <w:sz w:val="22"/>
                    <w:szCs w:val="22"/>
                  </w:rPr>
                </w:pPr>
              </w:p>
            </w:tc>
            <w:tc>
              <w:tcPr>
                <w:tcW w:w="1276" w:type="dxa"/>
                <w:tcMar>
                  <w:left w:w="28" w:type="dxa"/>
                  <w:right w:w="28" w:type="dxa"/>
                </w:tcMar>
              </w:tcPr>
              <w:p w:rsidR="000B526A" w:rsidRDefault="00A43C09">
                <w:pPr>
                  <w:rPr>
                    <w:sz w:val="22"/>
                    <w:szCs w:val="22"/>
                  </w:rPr>
                </w:pPr>
                <w:r>
                  <w:rPr>
                    <w:sz w:val="22"/>
                    <w:szCs w:val="22"/>
                  </w:rPr>
                  <w:lastRenderedPageBreak/>
                  <w:t>Ekonomikos gaivinimo ir atsparumo didinimo priemonės lėšos (toliau – EGADP)</w:t>
                </w:r>
              </w:p>
            </w:tc>
            <w:tc>
              <w:tcPr>
                <w:tcW w:w="1417" w:type="dxa"/>
                <w:tcMar>
                  <w:left w:w="28" w:type="dxa"/>
                  <w:right w:w="28" w:type="dxa"/>
                </w:tcMar>
              </w:tcPr>
              <w:p w:rsidR="000B526A" w:rsidRDefault="00A43C09">
                <w:pPr>
                  <w:rPr>
                    <w:sz w:val="22"/>
                    <w:szCs w:val="22"/>
                  </w:rPr>
                </w:pPr>
                <w:r>
                  <w:rPr>
                    <w:sz w:val="22"/>
                    <w:szCs w:val="22"/>
                  </w:rPr>
                  <w:t xml:space="preserve">4 </w:t>
                </w:r>
                <w:proofErr w:type="spellStart"/>
                <w:r>
                  <w:rPr>
                    <w:sz w:val="22"/>
                    <w:szCs w:val="22"/>
                  </w:rPr>
                  <w:t>komponent-as</w:t>
                </w:r>
                <w:proofErr w:type="spellEnd"/>
                <w:r>
                  <w:rPr>
                    <w:sz w:val="22"/>
                    <w:szCs w:val="22"/>
                  </w:rPr>
                  <w:t xml:space="preserve">. </w:t>
                </w:r>
              </w:p>
              <w:p w:rsidR="000B526A" w:rsidRDefault="00A43C09">
                <w:pPr>
                  <w:rPr>
                    <w:sz w:val="22"/>
                    <w:szCs w:val="22"/>
                  </w:rPr>
                </w:pPr>
                <w:r>
                  <w:rPr>
                    <w:sz w:val="22"/>
                    <w:szCs w:val="22"/>
                  </w:rPr>
                  <w:t>Kokybiškas ir prieinamas švietimas visą gyvenimą kiekvienam gyventojui</w:t>
                </w:r>
              </w:p>
            </w:tc>
            <w:tc>
              <w:tcPr>
                <w:tcW w:w="1276" w:type="dxa"/>
                <w:tcMar>
                  <w:left w:w="28" w:type="dxa"/>
                  <w:right w:w="28" w:type="dxa"/>
                </w:tcMar>
              </w:tcPr>
              <w:p w:rsidR="000B526A" w:rsidRDefault="00A43C09">
                <w:pPr>
                  <w:textAlignment w:val="baseline"/>
                  <w:rPr>
                    <w:rFonts w:ascii="Segoe UI" w:hAnsi="Segoe UI" w:cs="Segoe UI"/>
                    <w:sz w:val="22"/>
                    <w:szCs w:val="22"/>
                    <w:lang w:eastAsia="lt-LT"/>
                  </w:rPr>
                </w:pPr>
                <w:r>
                  <w:rPr>
                    <w:sz w:val="22"/>
                    <w:szCs w:val="22"/>
                    <w:lang w:eastAsia="lt-LT"/>
                  </w:rPr>
                  <w:t xml:space="preserve">D.1.4. </w:t>
                </w:r>
                <w:proofErr w:type="spellStart"/>
                <w:r>
                  <w:rPr>
                    <w:sz w:val="22"/>
                    <w:szCs w:val="22"/>
                    <w:lang w:eastAsia="lt-LT"/>
                  </w:rPr>
                  <w:t>Kompetenci</w:t>
                </w:r>
                <w:proofErr w:type="spellEnd"/>
                <w:r>
                  <w:rPr>
                    <w:sz w:val="22"/>
                    <w:szCs w:val="22"/>
                    <w:lang w:eastAsia="lt-LT"/>
                  </w:rPr>
                  <w:t>-jos žaliajai ir  </w:t>
                </w:r>
              </w:p>
              <w:p w:rsidR="000B526A" w:rsidRDefault="00A43C09">
                <w:pPr>
                  <w:textAlignment w:val="baseline"/>
                  <w:rPr>
                    <w:rFonts w:ascii="Segoe UI" w:hAnsi="Segoe UI" w:cs="Segoe UI"/>
                    <w:sz w:val="22"/>
                    <w:szCs w:val="22"/>
                    <w:lang w:eastAsia="lt-LT"/>
                  </w:rPr>
                </w:pPr>
                <w:r>
                  <w:rPr>
                    <w:sz w:val="22"/>
                    <w:szCs w:val="22"/>
                    <w:lang w:eastAsia="lt-LT"/>
                  </w:rPr>
                  <w:t>skaitmeninei </w:t>
                </w:r>
                <w:proofErr w:type="spellStart"/>
                <w:r>
                  <w:rPr>
                    <w:sz w:val="22"/>
                    <w:szCs w:val="22"/>
                    <w:lang w:eastAsia="lt-LT"/>
                  </w:rPr>
                  <w:t>transformaci</w:t>
                </w:r>
                <w:proofErr w:type="spellEnd"/>
                <w:r>
                  <w:rPr>
                    <w:sz w:val="22"/>
                    <w:szCs w:val="22"/>
                    <w:lang w:eastAsia="lt-LT"/>
                  </w:rPr>
                  <w:t>-jai įgyjamos  </w:t>
                </w:r>
              </w:p>
              <w:p w:rsidR="000B526A" w:rsidRDefault="00A43C09">
                <w:pPr>
                  <w:textAlignment w:val="baseline"/>
                  <w:rPr>
                    <w:rFonts w:ascii="Segoe UI" w:hAnsi="Segoe UI" w:cs="Segoe UI"/>
                    <w:sz w:val="22"/>
                    <w:szCs w:val="22"/>
                    <w:lang w:eastAsia="lt-LT"/>
                  </w:rPr>
                </w:pPr>
                <w:r>
                  <w:rPr>
                    <w:sz w:val="22"/>
                    <w:szCs w:val="22"/>
                    <w:lang w:eastAsia="lt-LT"/>
                  </w:rPr>
                  <w:t>profesinio  </w:t>
                </w:r>
              </w:p>
              <w:p w:rsidR="000B526A" w:rsidRDefault="00A43C09">
                <w:pPr>
                  <w:textAlignment w:val="baseline"/>
                  <w:rPr>
                    <w:rFonts w:ascii="Segoe UI" w:hAnsi="Segoe UI" w:cs="Segoe UI"/>
                    <w:sz w:val="22"/>
                    <w:szCs w:val="22"/>
                    <w:lang w:eastAsia="lt-LT"/>
                  </w:rPr>
                </w:pPr>
                <w:r>
                  <w:rPr>
                    <w:sz w:val="22"/>
                    <w:szCs w:val="22"/>
                    <w:lang w:eastAsia="lt-LT"/>
                  </w:rPr>
                  <w:t>mokymo  </w:t>
                </w:r>
              </w:p>
              <w:p w:rsidR="000B526A" w:rsidRDefault="00A43C09">
                <w:pPr>
                  <w:textAlignment w:val="baseline"/>
                  <w:rPr>
                    <w:rFonts w:ascii="Segoe UI" w:hAnsi="Segoe UI" w:cs="Segoe UI"/>
                    <w:sz w:val="22"/>
                    <w:szCs w:val="22"/>
                    <w:lang w:eastAsia="lt-LT"/>
                  </w:rPr>
                </w:pPr>
                <w:r>
                  <w:rPr>
                    <w:sz w:val="22"/>
                    <w:szCs w:val="22"/>
                    <w:lang w:eastAsia="lt-LT"/>
                  </w:rPr>
                  <w:t>sistemoje </w:t>
                </w:r>
              </w:p>
              <w:p w:rsidR="000B526A" w:rsidRDefault="000B526A">
                <w:pPr>
                  <w:textAlignment w:val="baseline"/>
                  <w:rPr>
                    <w:sz w:val="22"/>
                    <w:szCs w:val="22"/>
                    <w:lang w:eastAsia="lt-LT"/>
                  </w:rPr>
                </w:pPr>
              </w:p>
            </w:tc>
            <w:tc>
              <w:tcPr>
                <w:tcW w:w="1276" w:type="dxa"/>
                <w:tcMar>
                  <w:left w:w="28" w:type="dxa"/>
                  <w:right w:w="28" w:type="dxa"/>
                </w:tcMar>
              </w:tcPr>
              <w:p w:rsidR="000B526A" w:rsidRDefault="00A43C09">
                <w:pPr>
                  <w:rPr>
                    <w:sz w:val="22"/>
                    <w:szCs w:val="22"/>
                  </w:rPr>
                </w:pPr>
                <w:r>
                  <w:rPr>
                    <w:sz w:val="22"/>
                    <w:szCs w:val="22"/>
                  </w:rPr>
                  <w:t xml:space="preserve">D.1.4.3. </w:t>
                </w:r>
              </w:p>
              <w:p w:rsidR="000B526A" w:rsidRDefault="00A43C09">
                <w:pPr>
                  <w:rPr>
                    <w:sz w:val="22"/>
                    <w:szCs w:val="22"/>
                  </w:rPr>
                </w:pPr>
                <w:r>
                  <w:rPr>
                    <w:sz w:val="22"/>
                    <w:szCs w:val="22"/>
                  </w:rPr>
                  <w:t>3 priemonė.  Pameistrystė ir mokymasis darbo vietoje</w:t>
                </w:r>
              </w:p>
            </w:tc>
            <w:tc>
              <w:tcPr>
                <w:tcW w:w="1276" w:type="dxa"/>
                <w:tcMar>
                  <w:left w:w="28" w:type="dxa"/>
                  <w:right w:w="28" w:type="dxa"/>
                </w:tcMar>
              </w:tcPr>
              <w:p w:rsidR="000B526A" w:rsidRDefault="00A43C09">
                <w:pPr>
                  <w:rPr>
                    <w:sz w:val="22"/>
                    <w:szCs w:val="22"/>
                  </w:rPr>
                </w:pPr>
                <w:r>
                  <w:rPr>
                    <w:sz w:val="22"/>
                    <w:szCs w:val="22"/>
                  </w:rPr>
                  <w:t>103. Parama darbo rinkos poreikių tenkinimui ir pokyčiams</w:t>
                </w:r>
              </w:p>
              <w:p w:rsidR="000B526A" w:rsidRDefault="000B526A">
                <w:pPr>
                  <w:ind w:firstLine="57"/>
                  <w:rPr>
                    <w:sz w:val="22"/>
                    <w:szCs w:val="22"/>
                    <w:highlight w:val="yellow"/>
                  </w:rPr>
                </w:pPr>
              </w:p>
              <w:p w:rsidR="000B526A" w:rsidRDefault="000B526A">
                <w:pPr>
                  <w:rPr>
                    <w:sz w:val="22"/>
                    <w:szCs w:val="22"/>
                    <w:highlight w:val="yellow"/>
                  </w:rPr>
                </w:pPr>
              </w:p>
            </w:tc>
            <w:tc>
              <w:tcPr>
                <w:tcW w:w="1275" w:type="dxa"/>
                <w:tcMar>
                  <w:left w:w="28" w:type="dxa"/>
                  <w:right w:w="28" w:type="dxa"/>
                </w:tcMar>
              </w:tcPr>
              <w:p w:rsidR="000B526A" w:rsidRDefault="00A43C09">
                <w:pPr>
                  <w:jc w:val="center"/>
                  <w:rPr>
                    <w:sz w:val="22"/>
                    <w:szCs w:val="22"/>
                  </w:rPr>
                </w:pPr>
                <w:r>
                  <w:rPr>
                    <w:sz w:val="22"/>
                    <w:szCs w:val="22"/>
                  </w:rPr>
                  <w:t>-</w:t>
                </w:r>
              </w:p>
            </w:tc>
            <w:tc>
              <w:tcPr>
                <w:tcW w:w="993" w:type="dxa"/>
                <w:tcMar>
                  <w:left w:w="28" w:type="dxa"/>
                  <w:right w:w="28" w:type="dxa"/>
                </w:tcMar>
              </w:tcPr>
              <w:p w:rsidR="000B526A" w:rsidRDefault="00A43C09">
                <w:pPr>
                  <w:jc w:val="center"/>
                  <w:rPr>
                    <w:sz w:val="22"/>
                    <w:szCs w:val="22"/>
                  </w:rPr>
                </w:pPr>
                <w:r>
                  <w:rPr>
                    <w:sz w:val="22"/>
                    <w:szCs w:val="22"/>
                  </w:rPr>
                  <w:t>-</w:t>
                </w:r>
              </w:p>
            </w:tc>
            <w:tc>
              <w:tcPr>
                <w:tcW w:w="1417" w:type="dxa"/>
                <w:tcMar>
                  <w:left w:w="28" w:type="dxa"/>
                  <w:right w:w="28" w:type="dxa"/>
                </w:tcMar>
              </w:tcPr>
              <w:p w:rsidR="000B526A" w:rsidRDefault="00A43C09">
                <w:pPr>
                  <w:jc w:val="center"/>
                  <w:rPr>
                    <w:b/>
                    <w:bCs/>
                    <w:sz w:val="22"/>
                    <w:szCs w:val="22"/>
                  </w:rPr>
                </w:pPr>
                <w:r>
                  <w:rPr>
                    <w:b/>
                    <w:bCs/>
                    <w:sz w:val="22"/>
                    <w:szCs w:val="22"/>
                  </w:rPr>
                  <w:t>-</w:t>
                </w:r>
              </w:p>
            </w:tc>
            <w:tc>
              <w:tcPr>
                <w:tcW w:w="1276" w:type="dxa"/>
                <w:tcMar>
                  <w:left w:w="28" w:type="dxa"/>
                  <w:right w:w="28" w:type="dxa"/>
                </w:tcMar>
              </w:tcPr>
              <w:p w:rsidR="000B526A" w:rsidRDefault="00A43C09">
                <w:pPr>
                  <w:jc w:val="center"/>
                  <w:rPr>
                    <w:sz w:val="22"/>
                    <w:szCs w:val="22"/>
                  </w:rPr>
                </w:pPr>
                <w:r>
                  <w:rPr>
                    <w:sz w:val="22"/>
                    <w:szCs w:val="22"/>
                  </w:rPr>
                  <w:t>-</w:t>
                </w:r>
              </w:p>
            </w:tc>
            <w:tc>
              <w:tcPr>
                <w:tcW w:w="1134" w:type="dxa"/>
                <w:tcMar>
                  <w:left w:w="28" w:type="dxa"/>
                  <w:right w:w="28" w:type="dxa"/>
                </w:tcMar>
              </w:tcPr>
              <w:p w:rsidR="000B526A" w:rsidRDefault="00A43C09">
                <w:pPr>
                  <w:jc w:val="center"/>
                  <w:rPr>
                    <w:sz w:val="22"/>
                    <w:szCs w:val="22"/>
                  </w:rPr>
                </w:pPr>
                <w:r>
                  <w:rPr>
                    <w:sz w:val="22"/>
                    <w:szCs w:val="22"/>
                  </w:rPr>
                  <w:t>-</w:t>
                </w:r>
              </w:p>
              <w:p w:rsidR="000B526A" w:rsidRDefault="000B526A">
                <w:pPr>
                  <w:jc w:val="center"/>
                  <w:rPr>
                    <w:sz w:val="22"/>
                    <w:szCs w:val="22"/>
                  </w:rPr>
                </w:pPr>
              </w:p>
            </w:tc>
            <w:tc>
              <w:tcPr>
                <w:tcW w:w="1110" w:type="dxa"/>
                <w:tcMar>
                  <w:left w:w="28" w:type="dxa"/>
                  <w:right w:w="28" w:type="dxa"/>
                </w:tcMar>
              </w:tcPr>
              <w:p w:rsidR="000B526A" w:rsidRDefault="00A43C09">
                <w:pPr>
                  <w:jc w:val="center"/>
                  <w:rPr>
                    <w:sz w:val="22"/>
                    <w:szCs w:val="22"/>
                  </w:rPr>
                </w:pPr>
                <w:r>
                  <w:rPr>
                    <w:sz w:val="22"/>
                    <w:szCs w:val="22"/>
                  </w:rPr>
                  <w:t>-</w:t>
                </w:r>
              </w:p>
              <w:p w:rsidR="000B526A" w:rsidRDefault="000B526A">
                <w:pPr>
                  <w:jc w:val="center"/>
                  <w:rPr>
                    <w:sz w:val="22"/>
                    <w:szCs w:val="22"/>
                  </w:rPr>
                </w:pPr>
              </w:p>
              <w:p w:rsidR="000B526A" w:rsidRDefault="000B526A">
                <w:pPr>
                  <w:jc w:val="center"/>
                  <w:rPr>
                    <w:sz w:val="22"/>
                    <w:szCs w:val="22"/>
                  </w:rPr>
                </w:pPr>
              </w:p>
              <w:p w:rsidR="000B526A" w:rsidRDefault="000B526A">
                <w:pPr>
                  <w:jc w:val="center"/>
                  <w:rPr>
                    <w:sz w:val="22"/>
                    <w:szCs w:val="22"/>
                  </w:rPr>
                </w:pPr>
              </w:p>
              <w:p w:rsidR="000B526A" w:rsidRDefault="000B526A">
                <w:pPr>
                  <w:jc w:val="center"/>
                  <w:rPr>
                    <w:sz w:val="22"/>
                    <w:szCs w:val="22"/>
                  </w:rPr>
                </w:pPr>
              </w:p>
              <w:p w:rsidR="000B526A" w:rsidRDefault="000B526A">
                <w:pPr>
                  <w:jc w:val="center"/>
                  <w:rPr>
                    <w:sz w:val="22"/>
                    <w:szCs w:val="22"/>
                  </w:rPr>
                </w:pPr>
              </w:p>
              <w:p w:rsidR="000B526A" w:rsidRDefault="000B526A">
                <w:pPr>
                  <w:jc w:val="center"/>
                  <w:rPr>
                    <w:sz w:val="22"/>
                    <w:szCs w:val="22"/>
                  </w:rPr>
                </w:pPr>
              </w:p>
              <w:p w:rsidR="000B526A" w:rsidRDefault="000B526A">
                <w:pPr>
                  <w:jc w:val="center"/>
                  <w:rPr>
                    <w:sz w:val="22"/>
                    <w:szCs w:val="22"/>
                  </w:rPr>
                </w:pPr>
              </w:p>
              <w:p w:rsidR="000B526A" w:rsidRDefault="000B526A">
                <w:pPr>
                  <w:jc w:val="center"/>
                  <w:rPr>
                    <w:sz w:val="22"/>
                    <w:szCs w:val="22"/>
                  </w:rPr>
                </w:pPr>
              </w:p>
              <w:p w:rsidR="000B526A" w:rsidRDefault="000B526A">
                <w:pPr>
                  <w:jc w:val="center"/>
                  <w:rPr>
                    <w:sz w:val="22"/>
                    <w:szCs w:val="22"/>
                  </w:rPr>
                </w:pPr>
              </w:p>
              <w:p w:rsidR="000B526A" w:rsidRDefault="000B526A">
                <w:pPr>
                  <w:jc w:val="center"/>
                  <w:rPr>
                    <w:sz w:val="22"/>
                    <w:szCs w:val="22"/>
                  </w:rPr>
                </w:pPr>
              </w:p>
            </w:tc>
          </w:tr>
        </w:tbl>
        <w:p w:rsidR="000B526A" w:rsidRDefault="000B526A">
          <w:pPr>
            <w:ind w:firstLine="567"/>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0B526A">
            <w:trPr>
              <w:trHeight w:val="405"/>
            </w:trPr>
            <w:tc>
              <w:tcPr>
                <w:tcW w:w="3688" w:type="dxa"/>
                <w:shd w:val="clear" w:color="auto" w:fill="auto"/>
                <w:vAlign w:val="center"/>
              </w:tcPr>
              <w:p w:rsidR="000B526A" w:rsidRDefault="00A43C09">
                <w:pPr>
                  <w:jc w:val="center"/>
                  <w:rPr>
                    <w:szCs w:val="24"/>
                  </w:rPr>
                </w:pPr>
                <w:r>
                  <w:rPr>
                    <w:szCs w:val="24"/>
                  </w:rPr>
                  <w:t>Rodiklio pavadinimas</w:t>
                </w:r>
              </w:p>
            </w:tc>
            <w:tc>
              <w:tcPr>
                <w:tcW w:w="3688" w:type="dxa"/>
                <w:shd w:val="clear" w:color="auto" w:fill="auto"/>
                <w:vAlign w:val="center"/>
              </w:tcPr>
              <w:p w:rsidR="000B526A" w:rsidRDefault="00A43C09">
                <w:pPr>
                  <w:jc w:val="center"/>
                  <w:rPr>
                    <w:szCs w:val="24"/>
                  </w:rPr>
                </w:pPr>
                <w:r>
                  <w:rPr>
                    <w:szCs w:val="24"/>
                  </w:rPr>
                  <w:t>Rodiklio kodas</w:t>
                </w:r>
              </w:p>
            </w:tc>
            <w:tc>
              <w:tcPr>
                <w:tcW w:w="3688" w:type="dxa"/>
                <w:shd w:val="clear" w:color="auto" w:fill="auto"/>
                <w:vAlign w:val="center"/>
              </w:tcPr>
              <w:p w:rsidR="000B526A" w:rsidRDefault="00A43C09">
                <w:pPr>
                  <w:jc w:val="center"/>
                  <w:rPr>
                    <w:szCs w:val="24"/>
                  </w:rPr>
                </w:pPr>
                <w:r>
                  <w:rPr>
                    <w:szCs w:val="24"/>
                  </w:rPr>
                  <w:t>Matavimo vienetai</w:t>
                </w:r>
              </w:p>
            </w:tc>
            <w:tc>
              <w:tcPr>
                <w:tcW w:w="3957" w:type="dxa"/>
                <w:shd w:val="clear" w:color="auto" w:fill="auto"/>
                <w:vAlign w:val="center"/>
              </w:tcPr>
              <w:p w:rsidR="000B526A" w:rsidRDefault="00A43C09">
                <w:pPr>
                  <w:jc w:val="center"/>
                  <w:rPr>
                    <w:szCs w:val="24"/>
                  </w:rPr>
                </w:pPr>
                <w:r>
                  <w:rPr>
                    <w:szCs w:val="24"/>
                  </w:rPr>
                  <w:t>Siektina reikšmė</w:t>
                </w:r>
              </w:p>
            </w:tc>
          </w:tr>
          <w:tr w:rsidR="000B526A">
            <w:trPr>
              <w:trHeight w:val="725"/>
            </w:trPr>
            <w:tc>
              <w:tcPr>
                <w:tcW w:w="3688" w:type="dxa"/>
              </w:tcPr>
              <w:p w:rsidR="000B526A" w:rsidRDefault="00A43C09">
                <w:pPr>
                  <w:rPr>
                    <w:szCs w:val="24"/>
                  </w:rPr>
                </w:pPr>
                <w:r>
                  <w:rPr>
                    <w:szCs w:val="24"/>
                  </w:rPr>
                  <w:t>Profesinio mokymo įstaigų, organizuojančių profesinio mokymo programas pameistrystės forma, dalis</w:t>
                </w:r>
              </w:p>
            </w:tc>
            <w:tc>
              <w:tcPr>
                <w:tcW w:w="3688" w:type="dxa"/>
              </w:tcPr>
              <w:p w:rsidR="000B526A" w:rsidRDefault="00A43C09">
                <w:pPr>
                  <w:jc w:val="center"/>
                  <w:rPr>
                    <w:szCs w:val="24"/>
                  </w:rPr>
                </w:pPr>
                <w:r>
                  <w:rPr>
                    <w:szCs w:val="24"/>
                  </w:rPr>
                  <w:t>R-12-003-03-04-03-02</w:t>
                </w:r>
              </w:p>
              <w:p w:rsidR="000B526A" w:rsidRDefault="000B526A">
                <w:pPr>
                  <w:jc w:val="center"/>
                  <w:rPr>
                    <w:i/>
                    <w:iCs/>
                    <w:szCs w:val="24"/>
                  </w:rPr>
                </w:pPr>
              </w:p>
            </w:tc>
            <w:tc>
              <w:tcPr>
                <w:tcW w:w="3688" w:type="dxa"/>
              </w:tcPr>
              <w:p w:rsidR="000B526A" w:rsidRDefault="00A43C09">
                <w:pPr>
                  <w:jc w:val="center"/>
                  <w:rPr>
                    <w:szCs w:val="24"/>
                  </w:rPr>
                </w:pPr>
                <w:r>
                  <w:rPr>
                    <w:szCs w:val="24"/>
                  </w:rPr>
                  <w:t>Procentai</w:t>
                </w:r>
              </w:p>
            </w:tc>
            <w:tc>
              <w:tcPr>
                <w:tcW w:w="3957" w:type="dxa"/>
              </w:tcPr>
              <w:p w:rsidR="000B526A" w:rsidRDefault="00A43C09">
                <w:pPr>
                  <w:jc w:val="center"/>
                  <w:rPr>
                    <w:szCs w:val="24"/>
                  </w:rPr>
                </w:pPr>
                <w:r>
                  <w:rPr>
                    <w:szCs w:val="24"/>
                  </w:rPr>
                  <w:t>100</w:t>
                </w:r>
              </w:p>
            </w:tc>
          </w:tr>
        </w:tbl>
        <w:p w:rsidR="000B526A" w:rsidRDefault="000B526A">
          <w:pPr>
            <w:jc w:val="both"/>
            <w:rPr>
              <w:iCs/>
              <w:color w:val="0070C0"/>
              <w:sz w:val="8"/>
              <w:szCs w:val="8"/>
            </w:rPr>
          </w:pPr>
        </w:p>
        <w:p w:rsidR="000B526A" w:rsidRDefault="00A43C09">
          <w:pPr>
            <w:jc w:val="both"/>
            <w:rPr>
              <w:iCs/>
              <w:sz w:val="22"/>
              <w:szCs w:val="22"/>
            </w:rPr>
          </w:pPr>
          <w:r>
            <w:rPr>
              <w:iCs/>
              <w:sz w:val="22"/>
              <w:szCs w:val="22"/>
            </w:rPr>
            <w:t xml:space="preserve">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tinklalapyje </w:t>
          </w:r>
          <w:r>
            <w:rPr>
              <w:iCs/>
              <w:sz w:val="22"/>
              <w:szCs w:val="22"/>
              <w:u w:val="single"/>
            </w:rPr>
            <w:t>https://smsm.lrv.lt/svpp-priemones</w:t>
          </w:r>
          <w:r>
            <w:rPr>
              <w:iCs/>
              <w:sz w:val="22"/>
              <w:szCs w:val="22"/>
            </w:rPr>
            <w:t>.</w:t>
          </w:r>
        </w:p>
        <w:p w:rsidR="000B526A" w:rsidRDefault="000B526A">
          <w:pPr>
            <w:jc w:val="both"/>
            <w:rPr>
              <w:i/>
              <w:iCs/>
              <w:szCs w:val="24"/>
            </w:rPr>
          </w:pPr>
        </w:p>
        <w:p w:rsidR="000B526A" w:rsidRDefault="000B526A">
          <w:pPr>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0B526A">
            <w:tc>
              <w:tcPr>
                <w:tcW w:w="15021" w:type="dxa"/>
              </w:tcPr>
              <w:p w:rsidR="000B526A" w:rsidRDefault="00A43C09">
                <w:pPr>
                  <w:rPr>
                    <w:b/>
                    <w:szCs w:val="24"/>
                  </w:rPr>
                </w:pPr>
                <w:r>
                  <w:rPr>
                    <w:b/>
                    <w:szCs w:val="24"/>
                  </w:rPr>
                  <w:t>SPECIALIEJI FINANSAVIMO REIKALAVIMAI</w:t>
                </w:r>
              </w:p>
            </w:tc>
          </w:tr>
          <w:tr w:rsidR="000B526A">
            <w:tc>
              <w:tcPr>
                <w:tcW w:w="15021" w:type="dxa"/>
              </w:tcPr>
              <w:p w:rsidR="000B526A" w:rsidRDefault="00A43C09">
                <w:pPr>
                  <w:rPr>
                    <w:b/>
                    <w:bCs/>
                    <w:szCs w:val="24"/>
                  </w:rPr>
                </w:pPr>
                <w:r>
                  <w:rPr>
                    <w:b/>
                    <w:bCs/>
                    <w:szCs w:val="24"/>
                  </w:rPr>
                  <w:t>1. Taikomi teisės aktai</w:t>
                </w:r>
              </w:p>
            </w:tc>
          </w:tr>
          <w:tr w:rsidR="000B526A">
            <w:tc>
              <w:tcPr>
                <w:tcW w:w="15021" w:type="dxa"/>
              </w:tcPr>
              <w:p w:rsidR="000B526A" w:rsidRDefault="00A43C09">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6 (toliau – Aprašas Nr. 6) parengtas atsižvelgiant į:</w:t>
                </w:r>
              </w:p>
              <w:p w:rsidR="000B526A" w:rsidRDefault="000B526A">
                <w:pPr>
                  <w:rPr>
                    <w:sz w:val="6"/>
                    <w:szCs w:val="6"/>
                  </w:rPr>
                </w:pPr>
              </w:p>
              <w:p w:rsidR="000B526A" w:rsidRDefault="00A43C09">
                <w:pPr>
                  <w:ind w:left="360" w:hanging="360"/>
                  <w:jc w:val="both"/>
                  <w:rPr>
                    <w:szCs w:val="24"/>
                  </w:rPr>
                </w:pPr>
                <w:r>
                  <w:rPr>
                    <w:szCs w:val="24"/>
                  </w:rPr>
                  <w:t>1.1.Bendruosius teisės aktus:</w:t>
                </w:r>
              </w:p>
              <w:p w:rsidR="000B526A" w:rsidRDefault="00A43C09">
                <w:pPr>
                  <w:ind w:left="22" w:hanging="22"/>
                  <w:jc w:val="both"/>
                  <w:rPr>
                    <w:szCs w:val="24"/>
                  </w:rPr>
                </w:pPr>
                <w:r>
                  <w:rPr>
                    <w:szCs w:val="24"/>
                  </w:rPr>
                  <w:t xml:space="preserve">1.1.1. 2021 m. vasario 12 d. Europos Parlamento ir Tarybos reglamentą </w:t>
                </w:r>
                <w:r>
                  <w:rPr>
                    <w:szCs w:val="24"/>
                    <w:u w:val="single"/>
                  </w:rPr>
                  <w:t>(ES) 2021/241</w:t>
                </w:r>
                <w:r>
                  <w:rPr>
                    <w:szCs w:val="24"/>
                    <w:vertAlign w:val="superscript"/>
                  </w:rPr>
                  <w:footnoteReference w:id="2"/>
                </w:r>
                <w:r>
                  <w:rPr>
                    <w:szCs w:val="24"/>
                  </w:rPr>
                  <w:t>, kuriuo nustatoma ekonomikos gaivinimo ir atsparumo didinimo priemonė;</w:t>
                </w:r>
              </w:p>
              <w:p w:rsidR="000B526A" w:rsidRDefault="00A43C09">
                <w:pPr>
                  <w:ind w:left="22" w:hanging="22"/>
                  <w:jc w:val="both"/>
                  <w:rPr>
                    <w:szCs w:val="24"/>
                  </w:rPr>
                </w:pPr>
                <w:r>
                  <w:rPr>
                    <w:szCs w:val="24"/>
                  </w:rPr>
                  <w:t>1.1.2. 2021 m. liepos 28 d. Tarybos įgyvendinimo sprendimo Nr. CM 4171/21 dėl Lietuvos ekonomikos gaivinimo ir atsparumo didinimo plano įvertinimo patvirtinimo priedą</w:t>
                </w:r>
                <w:r>
                  <w:rPr>
                    <w:szCs w:val="24"/>
                    <w:vertAlign w:val="superscript"/>
                  </w:rPr>
                  <w:footnoteReference w:id="3"/>
                </w:r>
                <w:r>
                  <w:rPr>
                    <w:szCs w:val="24"/>
                  </w:rPr>
                  <w:t>;</w:t>
                </w:r>
              </w:p>
              <w:p w:rsidR="000B526A" w:rsidRDefault="00A43C09">
                <w:pPr>
                  <w:ind w:left="22" w:hanging="22"/>
                  <w:jc w:val="both"/>
                  <w:rPr>
                    <w:szCs w:val="24"/>
                  </w:rPr>
                </w:pPr>
                <w:r>
                  <w:rPr>
                    <w:szCs w:val="24"/>
                  </w:rPr>
                  <w:t xml:space="preserve">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rsidR="000B526A" w:rsidRDefault="00A43C09">
                <w:pPr>
                  <w:ind w:left="22" w:hanging="22"/>
                  <w:jc w:val="both"/>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4"/>
                </w:r>
                <w:r>
                  <w:rPr>
                    <w:szCs w:val="24"/>
                  </w:rPr>
                  <w:t xml:space="preserve"> (toliau – Projektų administravimo ir finansavimo taisyklės);</w:t>
                </w:r>
              </w:p>
              <w:p w:rsidR="000B526A" w:rsidRDefault="00A43C09">
                <w:pPr>
                  <w:ind w:left="22" w:hanging="22"/>
                  <w:jc w:val="both"/>
                  <w:rPr>
                    <w:szCs w:val="24"/>
                  </w:rPr>
                </w:pPr>
                <w:r>
                  <w:rPr>
                    <w:szCs w:val="24"/>
                  </w:rPr>
                  <w:lastRenderedPageBreak/>
                  <w:t>1.1.5. Strateginio valdymo metodiką, patvirtintą Lietuvos Respublikos Vyriausybės 2021 m. balandžio 28 d. nutarimu Nr. 292 „Dėl Strateginio valdymo metodikos patvirtinimo“ (toliau – Strateginio valdymo metodika)</w:t>
                </w:r>
                <w:r>
                  <w:rPr>
                    <w:szCs w:val="24"/>
                    <w:vertAlign w:val="superscript"/>
                  </w:rPr>
                  <w:footnoteReference w:id="5"/>
                </w:r>
                <w:r>
                  <w:rPr>
                    <w:szCs w:val="24"/>
                  </w:rPr>
                  <w:t>;</w:t>
                </w:r>
              </w:p>
              <w:p w:rsidR="000B526A" w:rsidRDefault="00A43C09">
                <w:pPr>
                  <w:ind w:left="22" w:hanging="22"/>
                  <w:jc w:val="both"/>
                  <w:rPr>
                    <w:szCs w:val="24"/>
                  </w:rPr>
                </w:pPr>
                <w:r>
                  <w:rPr>
                    <w:szCs w:val="24"/>
                  </w:rPr>
                  <w:t>1.1.6. 2021–2030 metų nacionalinį pažangos planą, patvirtintą Lietuvos Respublikos Vyriausybės 2020 m. rugsėjo 9 d. nutarimu Nr. 998 „Dėl 2021–2030 metų nacionalinio pažangos plano patvirtinimo“;</w:t>
                </w:r>
              </w:p>
              <w:p w:rsidR="000B526A" w:rsidRDefault="00A43C09">
                <w:pPr>
                  <w:ind w:left="22" w:hanging="22"/>
                  <w:jc w:val="both"/>
                  <w:rPr>
                    <w:szCs w:val="24"/>
                  </w:rPr>
                </w:pPr>
                <w:r>
                  <w:rPr>
                    <w:szCs w:val="24"/>
                  </w:rPr>
                  <w:t xml:space="preserve">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0B526A" w:rsidRDefault="00A43C09">
                <w:pPr>
                  <w:jc w:val="both"/>
                  <w:rPr>
                    <w:szCs w:val="24"/>
                  </w:rPr>
                </w:pPr>
                <w:r>
                  <w:rPr>
                    <w:szCs w:val="24"/>
                    <w:shd w:val="clear" w:color="auto" w:fill="FFFFFF"/>
                  </w:rPr>
                  <w:t>1.1.8. 2021–2030 m. plėtros programos valdytojos Lietuvos Respublikos švietimo, mokslo ir sporto ministerijos švietimo plėtros programos pažangos priemonės Nr. 12-003-03-04-03 „Sukurti rinkos poreikius atliepiančią profesinio ugdymo sistemą“ aprašą, patvirtintą 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 (toliau - Pažangos priemonės Nr. 12-003-03-04-03 aprašas).</w:t>
                </w:r>
              </w:p>
              <w:p w:rsidR="000B526A" w:rsidRDefault="00A43C09">
                <w:pPr>
                  <w:tabs>
                    <w:tab w:val="left" w:pos="447"/>
                  </w:tabs>
                  <w:jc w:val="both"/>
                  <w:rPr>
                    <w:szCs w:val="24"/>
                  </w:rPr>
                </w:pPr>
                <w:r>
                  <w:rPr>
                    <w:szCs w:val="24"/>
                  </w:rPr>
                  <w:t>1.2.</w:t>
                </w:r>
                <w:r>
                  <w:rPr>
                    <w:szCs w:val="24"/>
                  </w:rPr>
                  <w:tab/>
                  <w:t>Specialiuosius teisės aktus:</w:t>
                </w:r>
              </w:p>
              <w:p w:rsidR="000B526A" w:rsidRDefault="00A43C09">
                <w:pPr>
                  <w:tabs>
                    <w:tab w:val="left" w:pos="447"/>
                  </w:tabs>
                  <w:ind w:left="360" w:hanging="360"/>
                  <w:jc w:val="both"/>
                  <w:rPr>
                    <w:szCs w:val="24"/>
                  </w:rPr>
                </w:pPr>
                <w:r>
                  <w:rPr>
                    <w:szCs w:val="24"/>
                  </w:rPr>
                  <w:t xml:space="preserve">1.2.1. </w:t>
                </w:r>
                <w:r>
                  <w:rPr>
                    <w:szCs w:val="24"/>
                    <w:lang w:eastAsia="lt-LT"/>
                  </w:rPr>
                  <w:t>Lietuvos Respublikos švietimo įstatymą;</w:t>
                </w:r>
              </w:p>
              <w:p w:rsidR="000B526A" w:rsidRDefault="00A43C09">
                <w:pPr>
                  <w:tabs>
                    <w:tab w:val="left" w:pos="447"/>
                  </w:tabs>
                  <w:ind w:left="360" w:hanging="360"/>
                  <w:jc w:val="both"/>
                  <w:rPr>
                    <w:szCs w:val="24"/>
                  </w:rPr>
                </w:pPr>
                <w:r>
                  <w:rPr>
                    <w:szCs w:val="24"/>
                  </w:rPr>
                  <w:t xml:space="preserve">1.2.2. Lietuvos Respublikos profesinio mokymo įstatymą; </w:t>
                </w:r>
              </w:p>
              <w:p w:rsidR="000B526A" w:rsidRDefault="00A43C09">
                <w:pPr>
                  <w:tabs>
                    <w:tab w:val="left" w:pos="32"/>
                  </w:tabs>
                  <w:ind w:left="32" w:hanging="32"/>
                  <w:jc w:val="both"/>
                  <w:rPr>
                    <w:szCs w:val="24"/>
                  </w:rPr>
                </w:pPr>
                <w:r>
                  <w:rPr>
                    <w:szCs w:val="24"/>
                  </w:rPr>
                  <w:t>1.2.3. Profesinio mokymo organizavimo pameistrystės forma tvarkos aprašą, patvirtintą Lietuvos Respublikos Vyriausybės 2019 m. spalio 23 d. nutarimu Nr. 1065 „Dėl Profesinio mokymo organizavimo pameistrystės forma tvarkos aprašo patvirtinimo“ (toliau – Profesinio mokymo organizavimo pameistrystės forma tvarkos aprašas).</w:t>
                </w:r>
              </w:p>
              <w:p w:rsidR="000B526A" w:rsidRDefault="00A43C09">
                <w:pPr>
                  <w:ind w:left="22" w:hanging="4"/>
                  <w:jc w:val="both"/>
                  <w:rPr>
                    <w:color w:val="0070C0"/>
                    <w:szCs w:val="24"/>
                  </w:rPr>
                </w:pPr>
                <w:r>
                  <w:t>1.3. Apraše Nr. 6 vartojamos sąvokos suprantamos taip, kaip jos apibrėžtos Strateginio valdymo metodikoje, Taisyklėse, Projektų administravimo ir finansavimo taisyklėse, Lietuvos Respublikos švietimo įstatyme ir kituose anksčiau paminėtuose teisės aktuose.</w:t>
                </w:r>
                <w:r>
                  <w:rPr>
                    <w:szCs w:val="24"/>
                    <w:lang w:eastAsia="lt-LT"/>
                  </w:rPr>
                  <w:t xml:space="preserve"> </w:t>
                </w:r>
              </w:p>
            </w:tc>
          </w:tr>
          <w:tr w:rsidR="000B526A">
            <w:tc>
              <w:tcPr>
                <w:tcW w:w="15021" w:type="dxa"/>
              </w:tcPr>
              <w:p w:rsidR="000B526A" w:rsidRDefault="00A43C09">
                <w:pPr>
                  <w:rPr>
                    <w:b/>
                    <w:szCs w:val="24"/>
                  </w:rPr>
                </w:pPr>
                <w:r>
                  <w:rPr>
                    <w:b/>
                    <w:szCs w:val="24"/>
                  </w:rPr>
                  <w:lastRenderedPageBreak/>
                  <w:t>2. Reikalavimai projektams</w:t>
                </w:r>
              </w:p>
            </w:tc>
          </w:tr>
          <w:tr w:rsidR="000B526A">
            <w:tc>
              <w:tcPr>
                <w:tcW w:w="15021" w:type="dxa"/>
              </w:tcPr>
              <w:p w:rsidR="000B526A" w:rsidRDefault="00A43C09">
                <w:pPr>
                  <w:jc w:val="both"/>
                </w:pPr>
                <w:r>
                  <w:t>2.1. Pagal Aprašą Nr. 6 įgyvendinama Pažangos priemonės Nr. 12-003-03-04-03 aprašo III skyriaus 8 veikla „Profesinio mokymo, organizuojamo pameistrystės mokymo forma, veiklos viešinimo priemonių sukūrimas ir įgyvendinimas“.</w:t>
                </w:r>
              </w:p>
              <w:p w:rsidR="000B526A" w:rsidRDefault="00A43C09">
                <w:pPr>
                  <w:jc w:val="both"/>
                  <w:rPr>
                    <w:szCs w:val="24"/>
                  </w:rPr>
                </w:pPr>
                <w:r>
                  <w:rPr>
                    <w:szCs w:val="24"/>
                  </w:rPr>
                  <w:t>2.2. Pagal Aprašą Nr. 6 remiamai veiklai numatomas projektų atrankos būdas – valstybės projektų planavimas.</w:t>
                </w:r>
              </w:p>
              <w:p w:rsidR="000B526A" w:rsidRDefault="00A43C09">
                <w:pPr>
                  <w:jc w:val="both"/>
                  <w:rPr>
                    <w:szCs w:val="24"/>
                  </w:rPr>
                </w:pPr>
                <w:r>
                  <w:rPr>
                    <w:szCs w:val="24"/>
                  </w:rPr>
                  <w:t>2.3. Pagal Aprašą Nr. 6 numatoma skelbti 1 kvietimą teikti projekto įgyvendinimo planą (toliau – PĮP).</w:t>
                </w:r>
              </w:p>
              <w:p w:rsidR="000B526A" w:rsidRDefault="00A43C09">
                <w:pPr>
                  <w:jc w:val="both"/>
                  <w:rPr>
                    <w:szCs w:val="24"/>
                  </w:rPr>
                </w:pPr>
                <w:r>
                  <w:rPr>
                    <w:szCs w:val="24"/>
                  </w:rPr>
                  <w:t xml:space="preserve">2.4. Galimas projekto pareiškėjas – Europos socialinio fondo agentūra. Galimas partneris – Kvalifikacijų ir profesinio mokymo plėtros centras. </w:t>
                </w:r>
              </w:p>
              <w:p w:rsidR="000B526A" w:rsidRDefault="00A43C09">
                <w:pPr>
                  <w:jc w:val="both"/>
                  <w:rPr>
                    <w:szCs w:val="24"/>
                  </w:rPr>
                </w:pPr>
                <w:r>
                  <w:rPr>
                    <w:szCs w:val="24"/>
                  </w:rPr>
                  <w:t xml:space="preserve">2.5. Pagal Aprašą Nr. 6 </w:t>
                </w:r>
                <w:r>
                  <w:rPr>
                    <w:b/>
                    <w:bCs/>
                    <w:szCs w:val="24"/>
                  </w:rPr>
                  <w:t>finansuojama veikla</w:t>
                </w:r>
                <w:r>
                  <w:rPr>
                    <w:szCs w:val="24"/>
                  </w:rPr>
                  <w:t xml:space="preserve"> – Pameistrystės Lietuvoje viešinimo ir populiarinimo priemonių sukūrimas ir įgyvendinimas.</w:t>
                </w:r>
              </w:p>
              <w:p w:rsidR="000B526A" w:rsidRDefault="00A43C09">
                <w:pPr>
                  <w:jc w:val="both"/>
                  <w:rPr>
                    <w:szCs w:val="24"/>
                  </w:rPr>
                </w:pPr>
                <w:r>
                  <w:rPr>
                    <w:szCs w:val="24"/>
                  </w:rPr>
                  <w:t xml:space="preserve">2.6. Tinkama projekto </w:t>
                </w:r>
                <w:r>
                  <w:rPr>
                    <w:b/>
                    <w:bCs/>
                    <w:szCs w:val="24"/>
                  </w:rPr>
                  <w:t>tikslinė grupė</w:t>
                </w:r>
                <w:r>
                  <w:rPr>
                    <w:szCs w:val="24"/>
                  </w:rPr>
                  <w:t xml:space="preserve"> – </w:t>
                </w:r>
                <w:r>
                  <w:t>mokiniai, mokinių tėvai, mokyklų bendruomenės, darbdaviai, darbdavių atstovai ir darbdavių susivienijimai, visuomenė.</w:t>
                </w:r>
              </w:p>
              <w:p w:rsidR="000B526A" w:rsidRDefault="00A43C09">
                <w:pPr>
                  <w:jc w:val="both"/>
                  <w:rPr>
                    <w:szCs w:val="24"/>
                  </w:rPr>
                </w:pPr>
                <w:r>
                  <w:t>2.7. P</w:t>
                </w:r>
                <w:r>
                  <w:rPr>
                    <w:szCs w:val="24"/>
                  </w:rPr>
                  <w:t xml:space="preserve">rojekto vykdytojas privalo, įgyvendindamas projektą, pasiekti numatytus rezultatus, kurie nurodyti Apraše Nr. 6. </w:t>
                </w:r>
              </w:p>
              <w:p w:rsidR="000B526A" w:rsidRDefault="00A43C09">
                <w:pPr>
                  <w:jc w:val="both"/>
                </w:pPr>
                <w:r>
                  <w:rPr>
                    <w:szCs w:val="24"/>
                  </w:rPr>
                  <w:t>2.8. Projektų veiklos turi būti vykdomos Lietuvos Respublikoje.</w:t>
                </w:r>
              </w:p>
              <w:p w:rsidR="000B526A" w:rsidRDefault="00A43C09">
                <w:pPr>
                  <w:jc w:val="both"/>
                  <w:rPr>
                    <w:highlight w:val="yellow"/>
                  </w:rPr>
                </w:pPr>
                <w:r>
                  <w:t xml:space="preserve">2.9. </w:t>
                </w:r>
                <w:r w:rsidR="00713759">
                  <w:rPr>
                    <w:color w:val="000000"/>
                  </w:rPr>
                  <w:t xml:space="preserve">Projekto veiklų vykdymo pabaigos data nustatoma projekto sutartyje, kuri turi būti ne vėlesnė kaip 2026 m. birželio 1 d. Projekto veiklų vykdymo pabaigos data gali būti pratęsta ne ilgesniam nei Projektų administravimo ir finansavimo taisyklių 149.3 punkte nustatyta išlaidų deklaravimo data, bet ne </w:t>
                </w:r>
                <w:r w:rsidR="00713759">
                  <w:rPr>
                    <w:color w:val="000000"/>
                  </w:rPr>
                  <w:lastRenderedPageBreak/>
                  <w:t>ilgiau nei investicijų įgyvendinimo ir rodiklių pasiekimo data, numatyta 2021 m. liepos 28 d. Tarybos įgyvendinimo sprendimo CM4171/21 dėl Lietuvos ekonomikos gaivinimo ir atsparumo didinimo plano įvertinimo patvirtinimo priede, su paskutiniais pakeitimais, padarytais 2025 m. birželio 17 d. Tarybos įgyvendinimo sprendimu </w:t>
                </w:r>
                <w:r w:rsidR="00713759">
                  <w:fldChar w:fldCharType="begin"/>
                </w:r>
                <w:r w:rsidR="00713759">
                  <w:instrText xml:space="preserve"> HYPERLINK "http://eur-lex.europa.eu/legal-content/LIT/TXT/?uri=CELEX:39588D0025&amp;locale=lt" \t "_blank" </w:instrText>
                </w:r>
                <w:r w:rsidR="00713759">
                  <w:fldChar w:fldCharType="separate"/>
                </w:r>
                <w:r w:rsidR="00713759">
                  <w:rPr>
                    <w:rStyle w:val="Hipersaitas"/>
                  </w:rPr>
                  <w:t>9588/25</w:t>
                </w:r>
                <w:r w:rsidR="00713759">
                  <w:fldChar w:fldCharType="end"/>
                </w:r>
                <w:r w:rsidR="00713759">
                  <w:t>.</w:t>
                </w:r>
                <w:bookmarkStart w:id="0" w:name="_GoBack"/>
                <w:bookmarkEnd w:id="0"/>
              </w:p>
              <w:p w:rsidR="000B526A" w:rsidRDefault="00A43C09">
                <w:pPr>
                  <w:jc w:val="both"/>
                  <w:rPr>
                    <w:szCs w:val="24"/>
                  </w:rPr>
                </w:pPr>
                <w:r>
                  <w:rPr>
                    <w:szCs w:val="24"/>
                  </w:rPr>
                  <w:t>2.10. Projektas turi atitikti bendruosius projektų atrankos kriterijus, nurodytus Projektų administravimo ir finansavimo taisyklių 2 priede.</w:t>
                </w:r>
              </w:p>
              <w:p w:rsidR="000B526A" w:rsidRDefault="00A43C09">
                <w:pPr>
                  <w:jc w:val="both"/>
                </w:pPr>
                <w:r>
                  <w:t xml:space="preserve">2.11. Privalomi komunikacijos ir informavimo (viešinimo) veiksmai atliekami vadovaujantis Projektų administravimo ir finansavimo taisyklių VIII skyriaus pirmuoju skirsniu „Informavimas apie projektą ir komunikacija“. </w:t>
                </w:r>
              </w:p>
              <w:p w:rsidR="000B526A" w:rsidRDefault="00A43C09">
                <w:pPr>
                  <w:jc w:val="both"/>
                </w:pPr>
                <w:r>
                  <w:rPr>
                    <w:szCs w:val="24"/>
                  </w:rPr>
                  <w:t xml:space="preserve">2.12. </w:t>
                </w:r>
                <w:r>
                  <w:t xml:space="preserve">Iki PĮP pateikimo VšĮ Centrinei projektų valdymo agentūrai (toliau – CPVA) pareiškėjas turi pateikti Lietuvos Respublikos švietimo, mokslo ir sporto ministerijai (toliau – Ministerija) užpildytą projektinio pasiūlymo formą pagal Aprašo Nr. 6 2 priedą (toliau – projektinis pasiūlymas). </w:t>
                </w:r>
              </w:p>
              <w:p w:rsidR="000B526A" w:rsidRDefault="00A43C09">
                <w:pPr>
                  <w:jc w:val="both"/>
                </w:pPr>
                <w:r>
                  <w:t>2.13. Projektinis pasiūlymas turi būti atsiųstas elektroniniu paštu Ministerijos Informacinių sistemų ir asmenų aptarnavimo skyriui ir už veiklą „Profesinio mokymo, organizuojamo pameistrystės mokymo forma, veiklos viešinimo priemonių sukūrimas ir įgyvendinimas“ atsakingam darbuotojui, kurio kontaktiniai duomenys bus nurodyti Ministerijos rašte pareiškėjui. Už projektinio pasiūlymo pristatymą laiku atsako pareiškėjas. Pareiškėjui praleidus rašte nurodytą pateikimo terminą, sprendimą dėl projektinio pasiūlymo priėmimo, atsižvelgdama į termino praleidimo priežastis, gali priimti Ministerija.</w:t>
                </w:r>
              </w:p>
              <w:p w:rsidR="000B526A" w:rsidRDefault="00A43C09">
                <w:pPr>
                  <w:jc w:val="both"/>
                  <w:rPr>
                    <w:rFonts w:eastAsia="Segoe UI"/>
                  </w:rPr>
                </w:pPr>
                <w:r>
                  <w:t>2.14. Pareiškėjo pateiktą projektinį pasiūlymą įvertina</w:t>
                </w:r>
                <w:r>
                  <w:rPr>
                    <w:rFonts w:eastAsia="Segoe UI"/>
                  </w:rPr>
                  <w:t xml:space="preserve"> </w:t>
                </w:r>
                <w:r>
                  <w:t xml:space="preserve">Ministerijos mokymosi visą gyvenimą </w:t>
                </w:r>
                <w:r>
                  <w:rPr>
                    <w:rFonts w:eastAsia="Segoe UI"/>
                  </w:rPr>
                  <w:t>departamentas</w:t>
                </w:r>
                <w:r>
                  <w:t xml:space="preserve"> ir elektroniniu paštu informuoja pareiškėją apie priimtą sprendimą dėl PĮP teikimo CPVA vertinti.</w:t>
                </w:r>
              </w:p>
              <w:p w:rsidR="000B526A" w:rsidRDefault="00A43C09">
                <w:pPr>
                  <w:jc w:val="both"/>
                </w:pPr>
                <w:r>
                  <w:t xml:space="preserve">2.15. Pareiškėjas, gavęs iš Ministerijos informaciją apie priimtą sprendimą, gali teikti CPVA PĮP kartu pateikdamas </w:t>
                </w:r>
                <w:r>
                  <w:rPr>
                    <w:bCs/>
                  </w:rPr>
                  <w:t xml:space="preserve">gautą informaciją apie priimtą sprendimą ir projektinį pasiūlymą. </w:t>
                </w:r>
              </w:p>
              <w:p w:rsidR="000B526A" w:rsidRDefault="00A43C09">
                <w:pPr>
                  <w:tabs>
                    <w:tab w:val="left" w:pos="22"/>
                    <w:tab w:val="left" w:pos="589"/>
                  </w:tabs>
                  <w:jc w:val="both"/>
                </w:pPr>
                <w:r>
                  <w:t xml:space="preserve">2.16. Kartu su PĮP turi būti pateikta: </w:t>
                </w:r>
              </w:p>
              <w:p w:rsidR="000B526A" w:rsidRDefault="00A43C09">
                <w:pPr>
                  <w:tabs>
                    <w:tab w:val="left" w:pos="825"/>
                  </w:tabs>
                  <w:ind w:firstLine="316"/>
                  <w:jc w:val="both"/>
                </w:pPr>
                <w:r>
                  <w:rPr>
                    <w:rFonts w:ascii="Symbol" w:hAnsi="Symbol"/>
                  </w:rPr>
                  <w:t></w:t>
                </w:r>
                <w:r>
                  <w:rPr>
                    <w:rFonts w:ascii="Symbol" w:hAnsi="Symbol"/>
                  </w:rPr>
                  <w:t></w:t>
                </w:r>
                <w:r>
                  <w:rPr>
                    <w:rFonts w:ascii="Symbol" w:hAnsi="Symbol"/>
                  </w:rPr>
                  <w:t></w:t>
                </w:r>
                <w:r>
                  <w:rPr>
                    <w:rFonts w:ascii="Symbol" w:hAnsi="Symbol"/>
                  </w:rPr>
                  <w:t></w:t>
                </w:r>
                <w:r>
                  <w:rPr>
                    <w:rFonts w:ascii="Symbol" w:hAnsi="Symbol"/>
                  </w:rPr>
                  <w:t></w:t>
                </w:r>
                <w:r>
                  <w:rPr>
                    <w:rFonts w:ascii="Symbol" w:hAnsi="Symbol"/>
                  </w:rPr>
                  <w:t></w:t>
                </w:r>
                <w:r>
                  <w:rPr>
                    <w:rFonts w:ascii="Symbol" w:hAnsi="Symbol"/>
                  </w:rPr>
                  <w:t></w:t>
                </w:r>
                <w:r>
                  <w:rPr>
                    <w:rFonts w:ascii="Symbol" w:hAnsi="Symbol"/>
                  </w:rPr>
                  <w:t></w:t>
                </w:r>
                <w:r>
                  <w:t xml:space="preserve">informacija apie Ministerijos priimtą sprendimą dėl PĮP teikimo CPVA vertinimui; </w:t>
                </w:r>
              </w:p>
              <w:p w:rsidR="000B526A" w:rsidRDefault="00A43C09">
                <w:pPr>
                  <w:tabs>
                    <w:tab w:val="left" w:pos="825"/>
                  </w:tabs>
                  <w:ind w:firstLine="316"/>
                  <w:jc w:val="both"/>
                </w:pPr>
                <w:r>
                  <w:t xml:space="preserve">2.16.2. projektinis pasiūlymas, kuriam pritarė Ministerija; </w:t>
                </w:r>
              </w:p>
              <w:p w:rsidR="000B526A" w:rsidRDefault="00A43C09">
                <w:pPr>
                  <w:tabs>
                    <w:tab w:val="left" w:pos="825"/>
                  </w:tabs>
                  <w:ind w:firstLine="316"/>
                  <w:jc w:val="both"/>
                </w:pPr>
                <w:r>
                  <w:t xml:space="preserve">2.16.3. partnerio deklaracija pagal Projektų administravimo ir finansavimo taisyklių 1 priedo 1 priedą (kai projektas įgyvendinamas su partneriais); </w:t>
                </w:r>
              </w:p>
              <w:p w:rsidR="000B526A" w:rsidRDefault="00A43C09">
                <w:pPr>
                  <w:tabs>
                    <w:tab w:val="left" w:pos="825"/>
                  </w:tabs>
                  <w:ind w:firstLine="316"/>
                  <w:jc w:val="both"/>
                  <w:rPr>
                    <w:color w:val="000000"/>
                  </w:rPr>
                </w:pPr>
                <w:r>
                  <w:t xml:space="preserve">2.16.4. informacija apie projekto biudžeto paskirstymą pagal pareiškėjus ir partnerius pagal Projektų administravimo ir finansavimo taisyklių 1 priedo 2 priedą (jei taikoma). </w:t>
                </w:r>
              </w:p>
            </w:tc>
          </w:tr>
          <w:tr w:rsidR="000B526A">
            <w:tc>
              <w:tcPr>
                <w:tcW w:w="15021" w:type="dxa"/>
              </w:tcPr>
              <w:p w:rsidR="000B526A" w:rsidRDefault="00A43C09">
                <w:pPr>
                  <w:jc w:val="both"/>
                  <w:rPr>
                    <w:iCs/>
                    <w:szCs w:val="24"/>
                  </w:rPr>
                </w:pPr>
                <w:r>
                  <w:rPr>
                    <w:b/>
                    <w:szCs w:val="24"/>
                  </w:rPr>
                  <w:lastRenderedPageBreak/>
                  <w:t>2.1. Reikalavimai jungtinio projekto projektams</w:t>
                </w:r>
              </w:p>
            </w:tc>
          </w:tr>
          <w:tr w:rsidR="000B526A">
            <w:trPr>
              <w:trHeight w:val="203"/>
            </w:trPr>
            <w:tc>
              <w:tcPr>
                <w:tcW w:w="15021" w:type="dxa"/>
              </w:tcPr>
              <w:p w:rsidR="000B526A" w:rsidRDefault="00A43C09">
                <w:pPr>
                  <w:jc w:val="both"/>
                  <w:rPr>
                    <w:iCs/>
                    <w:szCs w:val="24"/>
                  </w:rPr>
                </w:pPr>
                <w:r>
                  <w:rPr>
                    <w:iCs/>
                    <w:szCs w:val="24"/>
                  </w:rPr>
                  <w:t>Netaikoma.</w:t>
                </w:r>
              </w:p>
            </w:tc>
          </w:tr>
          <w:tr w:rsidR="000B526A">
            <w:trPr>
              <w:trHeight w:val="285"/>
            </w:trPr>
            <w:tc>
              <w:tcPr>
                <w:tcW w:w="15021" w:type="dxa"/>
              </w:tcPr>
              <w:p w:rsidR="000B526A" w:rsidRDefault="00A43C09">
                <w:pPr>
                  <w:rPr>
                    <w:sz w:val="22"/>
                    <w:szCs w:val="22"/>
                  </w:rPr>
                </w:pPr>
                <w:r>
                  <w:rPr>
                    <w:b/>
                    <w:szCs w:val="24"/>
                  </w:rPr>
                  <w:t>3. Horizontaliųjų principų (toliau – HP) reikalavimai</w:t>
                </w:r>
              </w:p>
            </w:tc>
          </w:tr>
          <w:tr w:rsidR="000B526A">
            <w:tc>
              <w:tcPr>
                <w:tcW w:w="15021" w:type="dxa"/>
              </w:tcPr>
              <w:p w:rsidR="000B526A" w:rsidRDefault="00A43C09">
                <w:pPr>
                  <w:tabs>
                    <w:tab w:val="left" w:pos="459"/>
                  </w:tabs>
                  <w:jc w:val="both"/>
                  <w:rPr>
                    <w:szCs w:val="24"/>
                    <w:lang w:eastAsia="lt-LT"/>
                  </w:rPr>
                </w:pPr>
                <w:r>
                  <w:rPr>
                    <w:szCs w:val="24"/>
                  </w:rPr>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0B526A" w:rsidRDefault="00A43C09">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0B526A" w:rsidRDefault="00A43C09">
                <w:pPr>
                  <w:tabs>
                    <w:tab w:val="left" w:pos="459"/>
                  </w:tabs>
                  <w:jc w:val="both"/>
                </w:pPr>
                <w:r>
                  <w:t>3.3.</w:t>
                </w:r>
                <w:r>
                  <w:tab/>
                  <w:t xml:space="preserve">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Pr>
                    <w:u w:val="single"/>
                  </w:rPr>
                  <w:t>(ES) Nr. 2020/852</w:t>
                </w:r>
                <w:r>
                  <w:t xml:space="preserve"> dėl sistemos tvariam investavimui palengvinti sukūrimo, kuriuo iš dalies keičiamas Reglamentas </w:t>
                </w:r>
                <w:r>
                  <w:rPr>
                    <w:u w:val="single"/>
                  </w:rPr>
                  <w:t>(ES) 2019/2088</w:t>
                </w:r>
                <w:r>
                  <w:t>. Projektų (įskaitant jungtinį projektą) atitikties reikšmingos žalos nedarymo HP vertinimo reikalavimai pateikiami Aprašo Nr. 6 priede „Projekto (įskaitant jungtinį projektą) atitikties reikšmingos žalos nedarymo horizontaliajam principui vertinimo reikalavimų aprašas“.</w:t>
                </w:r>
              </w:p>
            </w:tc>
          </w:tr>
          <w:tr w:rsidR="000B526A">
            <w:tc>
              <w:tcPr>
                <w:tcW w:w="15021" w:type="dxa"/>
              </w:tcPr>
              <w:p w:rsidR="000B526A" w:rsidRDefault="00A43C09">
                <w:pPr>
                  <w:spacing w:line="259" w:lineRule="auto"/>
                  <w:jc w:val="both"/>
                  <w:rPr>
                    <w:b/>
                    <w:bCs/>
                  </w:rPr>
                </w:pPr>
                <w:r>
                  <w:rPr>
                    <w:b/>
                    <w:bCs/>
                  </w:rPr>
                  <w:t>3.1. Europos Sąjungos pagrindinių teisių chartijos (toliau – Chartija) reikalavimai</w:t>
                </w:r>
              </w:p>
            </w:tc>
          </w:tr>
          <w:tr w:rsidR="000B526A">
            <w:tc>
              <w:tcPr>
                <w:tcW w:w="15021" w:type="dxa"/>
              </w:tcPr>
              <w:p w:rsidR="000B526A" w:rsidRDefault="00A43C09">
                <w:pPr>
                  <w:jc w:val="both"/>
                  <w:rPr>
                    <w:iCs/>
                    <w:szCs w:val="24"/>
                  </w:rPr>
                </w:pPr>
                <w:r>
                  <w:rPr>
                    <w:iCs/>
                    <w:szCs w:val="24"/>
                  </w:rPr>
                  <w:lastRenderedPageBreak/>
                  <w:t>Projektuose neturi būti numatyti veiksmai, kurie galėtų riboti ar pažeisti Chartijoje numatytas pagrindines teises.</w:t>
                </w:r>
              </w:p>
            </w:tc>
          </w:tr>
          <w:tr w:rsidR="000B526A">
            <w:tc>
              <w:tcPr>
                <w:tcW w:w="15021" w:type="dxa"/>
              </w:tcPr>
              <w:p w:rsidR="000B526A" w:rsidRDefault="00A43C09">
                <w:pPr>
                  <w:rPr>
                    <w:b/>
                    <w:szCs w:val="24"/>
                  </w:rPr>
                </w:pPr>
                <w:r>
                  <w:rPr>
                    <w:b/>
                    <w:szCs w:val="24"/>
                  </w:rPr>
                  <w:t>4. Apskritis, kurioje gali būti įgyvendinami projektai</w:t>
                </w:r>
              </w:p>
            </w:tc>
          </w:tr>
          <w:tr w:rsidR="000B526A">
            <w:tc>
              <w:tcPr>
                <w:tcW w:w="15021" w:type="dxa"/>
              </w:tcPr>
              <w:p w:rsidR="000B526A" w:rsidRDefault="00A43C09">
                <w:pPr>
                  <w:jc w:val="both"/>
                  <w:rPr>
                    <w:szCs w:val="24"/>
                  </w:rPr>
                </w:pPr>
                <w:r>
                  <w:rPr>
                    <w:szCs w:val="24"/>
                  </w:rPr>
                  <w:t>Netaikoma.</w:t>
                </w:r>
              </w:p>
            </w:tc>
          </w:tr>
          <w:tr w:rsidR="000B526A">
            <w:tc>
              <w:tcPr>
                <w:tcW w:w="15021" w:type="dxa"/>
              </w:tcPr>
              <w:p w:rsidR="000B526A" w:rsidRDefault="00A43C09">
                <w:pPr>
                  <w:jc w:val="both"/>
                  <w:rPr>
                    <w:b/>
                    <w:szCs w:val="24"/>
                  </w:rPr>
                </w:pPr>
                <w:r>
                  <w:rPr>
                    <w:b/>
                    <w:szCs w:val="24"/>
                  </w:rPr>
                  <w:t xml:space="preserve">5. Reikalavimai valstybės pagalbai </w:t>
                </w:r>
              </w:p>
            </w:tc>
          </w:tr>
          <w:tr w:rsidR="000B526A">
            <w:tc>
              <w:tcPr>
                <w:tcW w:w="15021" w:type="dxa"/>
              </w:tcPr>
              <w:p w:rsidR="000B526A" w:rsidRDefault="00A43C09">
                <w:pPr>
                  <w:jc w:val="both"/>
                  <w:rPr>
                    <w:i/>
                    <w:iCs/>
                  </w:rPr>
                </w:pPr>
                <w:r>
                  <w:t xml:space="preserve">Pagal Aprašą Nr. 6 valstybės pagalba, kaip ji apibrėžta Sutarties dėl Europos Sąjungos veikimo 107 straipsnyje, ir </w:t>
                </w:r>
                <w:r>
                  <w:rPr>
                    <w:i/>
                  </w:rPr>
                  <w:t xml:space="preserve">de </w:t>
                </w:r>
                <w:proofErr w:type="spellStart"/>
                <w:r>
                  <w:rPr>
                    <w:i/>
                  </w:rPr>
                  <w:t>minimis</w:t>
                </w:r>
                <w:proofErr w:type="spellEnd"/>
                <w:r>
                  <w:t xml:space="preserve"> pagalba, kuri atitinka 2013 m. gruodžio 18 d. Komisijos reglamento </w:t>
                </w:r>
                <w:r>
                  <w:rPr>
                    <w:u w:val="single"/>
                  </w:rPr>
                  <w:t>(ES) Nr. 1407/2013</w:t>
                </w:r>
                <w:r>
                  <w:t xml:space="preserve"> dėl Sutarties dėl Europos Sąjungos veikimo 107 ir 108 straipsnių taikymo </w:t>
                </w:r>
                <w:r>
                  <w:rPr>
                    <w:i/>
                  </w:rPr>
                  <w:t>de</w:t>
                </w:r>
                <w:r>
                  <w:t xml:space="preserve"> </w:t>
                </w:r>
                <w:proofErr w:type="spellStart"/>
                <w:r>
                  <w:rPr>
                    <w:i/>
                  </w:rPr>
                  <w:t>minimis</w:t>
                </w:r>
                <w:proofErr w:type="spellEnd"/>
                <w:r>
                  <w:t xml:space="preserve"> pagalbai nuostatas, neteikiama.</w:t>
                </w:r>
              </w:p>
            </w:tc>
          </w:tr>
          <w:tr w:rsidR="000B526A">
            <w:tc>
              <w:tcPr>
                <w:tcW w:w="15021" w:type="dxa"/>
              </w:tcPr>
              <w:p w:rsidR="000B526A" w:rsidRDefault="00A43C09">
                <w:pPr>
                  <w:ind w:left="426" w:hanging="426"/>
                  <w:jc w:val="both"/>
                  <w:rPr>
                    <w:i/>
                    <w:szCs w:val="24"/>
                  </w:rPr>
                </w:pPr>
                <w:r>
                  <w:rPr>
                    <w:b/>
                    <w:szCs w:val="24"/>
                  </w:rPr>
                  <w:t>6. Projektų atrankos kriterijai</w:t>
                </w:r>
              </w:p>
            </w:tc>
          </w:tr>
          <w:tr w:rsidR="000B526A">
            <w:trPr>
              <w:trHeight w:val="281"/>
            </w:trPr>
            <w:tc>
              <w:tcPr>
                <w:tcW w:w="15021" w:type="dxa"/>
              </w:tcPr>
              <w:p w:rsidR="000B526A" w:rsidRDefault="00A43C09">
                <w:pPr>
                  <w:jc w:val="both"/>
                  <w:rPr>
                    <w:iCs/>
                    <w:szCs w:val="24"/>
                  </w:rPr>
                </w:pPr>
                <w:r>
                  <w:rPr>
                    <w:iCs/>
                    <w:szCs w:val="24"/>
                  </w:rPr>
                  <w:t>Projekto prioritetiniai ir specialieji atrankos kriterijai nėra nustatomi.</w:t>
                </w:r>
              </w:p>
            </w:tc>
          </w:tr>
          <w:tr w:rsidR="000B526A">
            <w:trPr>
              <w:trHeight w:val="309"/>
            </w:trPr>
            <w:tc>
              <w:tcPr>
                <w:tcW w:w="15021" w:type="dxa"/>
              </w:tcPr>
              <w:p w:rsidR="000B526A" w:rsidRDefault="00A43C09">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0B526A">
            <w:trPr>
              <w:trHeight w:val="236"/>
            </w:trPr>
            <w:tc>
              <w:tcPr>
                <w:tcW w:w="15021" w:type="dxa"/>
              </w:tcPr>
              <w:p w:rsidR="000B526A" w:rsidRDefault="00A43C09">
                <w:pPr>
                  <w:jc w:val="both"/>
                  <w:rPr>
                    <w:iCs/>
                    <w:szCs w:val="24"/>
                  </w:rPr>
                </w:pPr>
                <w:r>
                  <w:rPr>
                    <w:iCs/>
                    <w:szCs w:val="24"/>
                  </w:rPr>
                  <w:t>Netaikoma.</w:t>
                </w:r>
              </w:p>
            </w:tc>
          </w:tr>
          <w:tr w:rsidR="000B526A">
            <w:tc>
              <w:tcPr>
                <w:tcW w:w="15021" w:type="dxa"/>
              </w:tcPr>
              <w:p w:rsidR="000B526A" w:rsidRDefault="00A43C09">
                <w:pPr>
                  <w:rPr>
                    <w:b/>
                    <w:szCs w:val="24"/>
                  </w:rPr>
                </w:pPr>
                <w:r>
                  <w:rPr>
                    <w:b/>
                    <w:szCs w:val="24"/>
                  </w:rPr>
                  <w:t xml:space="preserve">7. Reikalavimai įgyvendinus projektų veiklas </w:t>
                </w:r>
              </w:p>
            </w:tc>
          </w:tr>
          <w:tr w:rsidR="000B526A">
            <w:tc>
              <w:tcPr>
                <w:tcW w:w="15021" w:type="dxa"/>
              </w:tcPr>
              <w:p w:rsidR="000B526A" w:rsidRDefault="00A43C09">
                <w:pPr>
                  <w:rPr>
                    <w:iCs/>
                    <w:szCs w:val="24"/>
                  </w:rPr>
                </w:pPr>
                <w:r>
                  <w:rPr>
                    <w:iCs/>
                    <w:szCs w:val="24"/>
                  </w:rPr>
                  <w:t>Papildomi reikalavimai įgyvendinus projekto veiklas, kurie nenumatyti Projektų administravimo ir finansavimo taisyklėse, nėra taikomi.</w:t>
                </w:r>
              </w:p>
            </w:tc>
          </w:tr>
          <w:tr w:rsidR="000B526A">
            <w:tc>
              <w:tcPr>
                <w:tcW w:w="15021" w:type="dxa"/>
              </w:tcPr>
              <w:p w:rsidR="000B526A" w:rsidRDefault="00A43C09">
                <w:pPr>
                  <w:rPr>
                    <w:szCs w:val="24"/>
                  </w:rPr>
                </w:pPr>
                <w:r>
                  <w:rPr>
                    <w:b/>
                    <w:szCs w:val="24"/>
                  </w:rPr>
                  <w:t>8. Kiti reikalavimai</w:t>
                </w:r>
              </w:p>
            </w:tc>
          </w:tr>
          <w:tr w:rsidR="000B526A">
            <w:tc>
              <w:tcPr>
                <w:tcW w:w="15021" w:type="dxa"/>
              </w:tcPr>
              <w:p w:rsidR="000B526A" w:rsidRDefault="00A43C09">
                <w:pPr>
                  <w:tabs>
                    <w:tab w:val="left" w:pos="1134"/>
                  </w:tabs>
                  <w:jc w:val="both"/>
                </w:pPr>
                <w:r>
                  <w:t xml:space="preserve">Kiti reikalavimai, kurie nenumatyti Projektų administravimo ir finansavimo taisyklėse, nėra taikomi.  </w:t>
                </w:r>
              </w:p>
            </w:tc>
          </w:tr>
          <w:tr w:rsidR="000B526A">
            <w:tc>
              <w:tcPr>
                <w:tcW w:w="15021" w:type="dxa"/>
              </w:tcPr>
              <w:p w:rsidR="000B526A" w:rsidRDefault="00A43C09">
                <w:pPr>
                  <w:rPr>
                    <w:b/>
                    <w:szCs w:val="24"/>
                  </w:rPr>
                </w:pPr>
                <w:r>
                  <w:rPr>
                    <w:b/>
                    <w:szCs w:val="24"/>
                  </w:rPr>
                  <w:t>IŠLAIDŲ TINKAMUMO FINANSUOTI REIKALAVIMAI</w:t>
                </w:r>
              </w:p>
            </w:tc>
          </w:tr>
          <w:tr w:rsidR="000B526A">
            <w:tc>
              <w:tcPr>
                <w:tcW w:w="15021" w:type="dxa"/>
              </w:tcPr>
              <w:p w:rsidR="000B526A" w:rsidRDefault="00A43C09">
                <w:pPr>
                  <w:jc w:val="both"/>
                  <w:rPr>
                    <w:b/>
                    <w:szCs w:val="24"/>
                  </w:rPr>
                </w:pPr>
                <w:r>
                  <w:rPr>
                    <w:b/>
                    <w:szCs w:val="24"/>
                  </w:rPr>
                  <w:t>9. Išlaidų tinkamumo finansuoti reikalavimai</w:t>
                </w:r>
              </w:p>
            </w:tc>
          </w:tr>
          <w:tr w:rsidR="000B526A">
            <w:tc>
              <w:tcPr>
                <w:tcW w:w="15021" w:type="dxa"/>
              </w:tcPr>
              <w:p w:rsidR="000B526A" w:rsidRDefault="00A43C09">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rsidR="000B526A" w:rsidRDefault="00A43C09">
                <w:pPr>
                  <w:jc w:val="both"/>
                  <w:rPr>
                    <w:bCs/>
                    <w:szCs w:val="24"/>
                  </w:rPr>
                </w:pPr>
                <w:r>
                  <w:rPr>
                    <w:bCs/>
                    <w:szCs w:val="24"/>
                  </w:rPr>
                  <w:t>9.2. Pagal Aprašą Nr. 6 tinkamų finansuoti išlaidų rūšys yra šios:</w:t>
                </w:r>
              </w:p>
              <w:p w:rsidR="000B526A" w:rsidRDefault="000B526A">
                <w:pPr>
                  <w:jc w:val="both"/>
                  <w:rPr>
                    <w:bCs/>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4"/>
                  <w:gridCol w:w="3969"/>
                  <w:gridCol w:w="10206"/>
                </w:tblGrid>
                <w:tr w:rsidR="000B526A">
                  <w:tc>
                    <w:tcPr>
                      <w:tcW w:w="584" w:type="dxa"/>
                    </w:tcPr>
                    <w:p w:rsidR="000B526A" w:rsidRDefault="00A43C09">
                      <w:pPr>
                        <w:jc w:val="center"/>
                        <w:rPr>
                          <w:b/>
                          <w:szCs w:val="24"/>
                        </w:rPr>
                      </w:pPr>
                      <w:r>
                        <w:rPr>
                          <w:b/>
                          <w:szCs w:val="24"/>
                        </w:rPr>
                        <w:t>Eil. Nr.</w:t>
                      </w:r>
                    </w:p>
                  </w:tc>
                  <w:tc>
                    <w:tcPr>
                      <w:tcW w:w="3969" w:type="dxa"/>
                    </w:tcPr>
                    <w:p w:rsidR="000B526A" w:rsidRDefault="00A43C09">
                      <w:pPr>
                        <w:jc w:val="center"/>
                        <w:rPr>
                          <w:b/>
                          <w:szCs w:val="24"/>
                        </w:rPr>
                      </w:pPr>
                      <w:r>
                        <w:rPr>
                          <w:b/>
                          <w:szCs w:val="24"/>
                        </w:rPr>
                        <w:t>Išlaidų rūšis</w:t>
                      </w:r>
                    </w:p>
                  </w:tc>
                  <w:tc>
                    <w:tcPr>
                      <w:tcW w:w="10206" w:type="dxa"/>
                    </w:tcPr>
                    <w:p w:rsidR="000B526A" w:rsidRDefault="00A43C09">
                      <w:pPr>
                        <w:jc w:val="center"/>
                        <w:rPr>
                          <w:b/>
                          <w:szCs w:val="24"/>
                        </w:rPr>
                      </w:pPr>
                      <w:r>
                        <w:rPr>
                          <w:b/>
                          <w:szCs w:val="24"/>
                        </w:rPr>
                        <w:t>Reikalavimai ir paaiškinimai</w:t>
                      </w:r>
                    </w:p>
                  </w:tc>
                </w:tr>
                <w:tr w:rsidR="000B526A">
                  <w:tc>
                    <w:tcPr>
                      <w:tcW w:w="584" w:type="dxa"/>
                    </w:tcPr>
                    <w:p w:rsidR="000B526A" w:rsidRDefault="00A43C09">
                      <w:pPr>
                        <w:jc w:val="both"/>
                        <w:rPr>
                          <w:bCs/>
                          <w:szCs w:val="24"/>
                        </w:rPr>
                      </w:pPr>
                      <w:r>
                        <w:rPr>
                          <w:bCs/>
                          <w:szCs w:val="24"/>
                        </w:rPr>
                        <w:t>1.</w:t>
                      </w:r>
                    </w:p>
                  </w:tc>
                  <w:tc>
                    <w:tcPr>
                      <w:tcW w:w="3969" w:type="dxa"/>
                    </w:tcPr>
                    <w:p w:rsidR="000B526A" w:rsidRDefault="00A43C09">
                      <w:pPr>
                        <w:jc w:val="both"/>
                        <w:rPr>
                          <w:bCs/>
                          <w:szCs w:val="24"/>
                        </w:rPr>
                      </w:pPr>
                      <w:r>
                        <w:rPr>
                          <w:bCs/>
                          <w:szCs w:val="24"/>
                        </w:rPr>
                        <w:t>Žemė</w:t>
                      </w:r>
                    </w:p>
                  </w:tc>
                  <w:tc>
                    <w:tcPr>
                      <w:tcW w:w="10206" w:type="dxa"/>
                    </w:tcPr>
                    <w:p w:rsidR="000B526A" w:rsidRDefault="00A43C09">
                      <w:pPr>
                        <w:jc w:val="both"/>
                        <w:rPr>
                          <w:bCs/>
                          <w:szCs w:val="24"/>
                        </w:rPr>
                      </w:pPr>
                      <w:r>
                        <w:rPr>
                          <w:bCs/>
                          <w:szCs w:val="24"/>
                        </w:rPr>
                        <w:t>Netinkama finansuoti.</w:t>
                      </w:r>
                    </w:p>
                  </w:tc>
                </w:tr>
                <w:tr w:rsidR="000B526A">
                  <w:tc>
                    <w:tcPr>
                      <w:tcW w:w="584" w:type="dxa"/>
                    </w:tcPr>
                    <w:p w:rsidR="000B526A" w:rsidRDefault="00A43C09">
                      <w:pPr>
                        <w:jc w:val="both"/>
                        <w:rPr>
                          <w:bCs/>
                          <w:szCs w:val="24"/>
                        </w:rPr>
                      </w:pPr>
                      <w:r>
                        <w:rPr>
                          <w:bCs/>
                          <w:szCs w:val="24"/>
                        </w:rPr>
                        <w:t>2.</w:t>
                      </w:r>
                    </w:p>
                  </w:tc>
                  <w:tc>
                    <w:tcPr>
                      <w:tcW w:w="3969" w:type="dxa"/>
                    </w:tcPr>
                    <w:p w:rsidR="000B526A" w:rsidRDefault="00A43C09">
                      <w:pPr>
                        <w:jc w:val="both"/>
                        <w:rPr>
                          <w:bCs/>
                          <w:szCs w:val="24"/>
                        </w:rPr>
                      </w:pPr>
                      <w:r>
                        <w:rPr>
                          <w:szCs w:val="24"/>
                          <w:lang w:eastAsia="lt-LT"/>
                        </w:rPr>
                        <w:t>Nekilnojamasis turtas</w:t>
                      </w:r>
                    </w:p>
                  </w:tc>
                  <w:tc>
                    <w:tcPr>
                      <w:tcW w:w="10206" w:type="dxa"/>
                    </w:tcPr>
                    <w:p w:rsidR="000B526A" w:rsidRDefault="00A43C09">
                      <w:pPr>
                        <w:jc w:val="both"/>
                        <w:rPr>
                          <w:bCs/>
                          <w:szCs w:val="24"/>
                        </w:rPr>
                      </w:pPr>
                      <w:r>
                        <w:rPr>
                          <w:bCs/>
                          <w:szCs w:val="24"/>
                        </w:rPr>
                        <w:t>Netinkama finansuoti.</w:t>
                      </w:r>
                    </w:p>
                  </w:tc>
                </w:tr>
                <w:tr w:rsidR="000B526A">
                  <w:tc>
                    <w:tcPr>
                      <w:tcW w:w="584" w:type="dxa"/>
                    </w:tcPr>
                    <w:p w:rsidR="000B526A" w:rsidRDefault="00A43C09">
                      <w:pPr>
                        <w:jc w:val="both"/>
                        <w:rPr>
                          <w:bCs/>
                          <w:szCs w:val="24"/>
                        </w:rPr>
                      </w:pPr>
                      <w:r>
                        <w:rPr>
                          <w:bCs/>
                          <w:szCs w:val="24"/>
                        </w:rPr>
                        <w:t>3.</w:t>
                      </w:r>
                    </w:p>
                  </w:tc>
                  <w:tc>
                    <w:tcPr>
                      <w:tcW w:w="3969" w:type="dxa"/>
                    </w:tcPr>
                    <w:p w:rsidR="000B526A" w:rsidRDefault="00A43C09">
                      <w:pPr>
                        <w:jc w:val="both"/>
                        <w:rPr>
                          <w:szCs w:val="24"/>
                          <w:lang w:eastAsia="lt-LT"/>
                        </w:rPr>
                      </w:pPr>
                      <w:r>
                        <w:rPr>
                          <w:szCs w:val="24"/>
                          <w:lang w:eastAsia="lt-LT"/>
                        </w:rPr>
                        <w:t>Statyba, rekonstravimas, remontas ir kiti darbai</w:t>
                      </w:r>
                    </w:p>
                  </w:tc>
                  <w:tc>
                    <w:tcPr>
                      <w:tcW w:w="10206" w:type="dxa"/>
                    </w:tcPr>
                    <w:p w:rsidR="000B526A" w:rsidRDefault="00A43C09">
                      <w:pPr>
                        <w:jc w:val="both"/>
                        <w:rPr>
                          <w:bCs/>
                          <w:szCs w:val="24"/>
                        </w:rPr>
                      </w:pPr>
                      <w:r>
                        <w:rPr>
                          <w:bCs/>
                          <w:szCs w:val="24"/>
                        </w:rPr>
                        <w:t>Netinkama finansuoti.</w:t>
                      </w:r>
                    </w:p>
                  </w:tc>
                </w:tr>
                <w:tr w:rsidR="000B526A">
                  <w:tc>
                    <w:tcPr>
                      <w:tcW w:w="584" w:type="dxa"/>
                    </w:tcPr>
                    <w:p w:rsidR="000B526A" w:rsidRDefault="00A43C09">
                      <w:pPr>
                        <w:jc w:val="both"/>
                        <w:rPr>
                          <w:bCs/>
                          <w:szCs w:val="24"/>
                        </w:rPr>
                      </w:pPr>
                      <w:r>
                        <w:rPr>
                          <w:bCs/>
                          <w:szCs w:val="24"/>
                        </w:rPr>
                        <w:t>4.</w:t>
                      </w:r>
                    </w:p>
                  </w:tc>
                  <w:tc>
                    <w:tcPr>
                      <w:tcW w:w="3969" w:type="dxa"/>
                    </w:tcPr>
                    <w:p w:rsidR="000B526A" w:rsidRDefault="00A43C09">
                      <w:pPr>
                        <w:jc w:val="both"/>
                        <w:rPr>
                          <w:szCs w:val="24"/>
                          <w:lang w:eastAsia="lt-LT"/>
                        </w:rPr>
                      </w:pPr>
                      <w:r>
                        <w:rPr>
                          <w:szCs w:val="24"/>
                          <w:lang w:eastAsia="lt-LT"/>
                        </w:rPr>
                        <w:t>Įranga, įrenginiai ir kitas turtas</w:t>
                      </w:r>
                    </w:p>
                  </w:tc>
                  <w:tc>
                    <w:tcPr>
                      <w:tcW w:w="10206" w:type="dxa"/>
                    </w:tcPr>
                    <w:p w:rsidR="000B526A" w:rsidRDefault="00A43C09">
                      <w:pPr>
                        <w:jc w:val="both"/>
                        <w:rPr>
                          <w:bCs/>
                          <w:szCs w:val="24"/>
                        </w:rPr>
                      </w:pPr>
                      <w:r>
                        <w:rPr>
                          <w:szCs w:val="24"/>
                          <w:lang w:eastAsia="lt-LT"/>
                        </w:rPr>
                        <w:t>Tinkamos finansuoti išlaidos (ne daugiau, kaip 1 proc. nuo projekto vertės) pagal Aprašą Nr. 6 remiamai veiklai vykdyti. Kompiuterinės, programinės įrangos, mobiliųjų telefonų ir kt.  pan. išlaidos.</w:t>
                      </w:r>
                    </w:p>
                  </w:tc>
                </w:tr>
                <w:tr w:rsidR="000B526A">
                  <w:tc>
                    <w:tcPr>
                      <w:tcW w:w="584" w:type="dxa"/>
                    </w:tcPr>
                    <w:p w:rsidR="000B526A" w:rsidRDefault="00A43C09">
                      <w:pPr>
                        <w:jc w:val="both"/>
                        <w:rPr>
                          <w:bCs/>
                          <w:szCs w:val="24"/>
                        </w:rPr>
                      </w:pPr>
                      <w:r>
                        <w:rPr>
                          <w:bCs/>
                          <w:szCs w:val="24"/>
                        </w:rPr>
                        <w:t>5.</w:t>
                      </w:r>
                    </w:p>
                  </w:tc>
                  <w:tc>
                    <w:tcPr>
                      <w:tcW w:w="3969" w:type="dxa"/>
                    </w:tcPr>
                    <w:p w:rsidR="000B526A" w:rsidRDefault="00A43C09">
                      <w:pPr>
                        <w:jc w:val="both"/>
                        <w:rPr>
                          <w:szCs w:val="24"/>
                          <w:lang w:eastAsia="lt-LT"/>
                        </w:rPr>
                      </w:pPr>
                      <w:r>
                        <w:rPr>
                          <w:szCs w:val="24"/>
                          <w:lang w:eastAsia="lt-LT"/>
                        </w:rPr>
                        <w:t xml:space="preserve">Projekto vykdymas </w:t>
                      </w:r>
                    </w:p>
                  </w:tc>
                  <w:tc>
                    <w:tcPr>
                      <w:tcW w:w="10206" w:type="dxa"/>
                    </w:tcPr>
                    <w:p w:rsidR="000B526A" w:rsidRDefault="00A43C09">
                      <w:pPr>
                        <w:jc w:val="both"/>
                        <w:rPr>
                          <w:szCs w:val="24"/>
                        </w:rPr>
                      </w:pPr>
                      <w:r>
                        <w:rPr>
                          <w:bCs/>
                          <w:szCs w:val="24"/>
                        </w:rPr>
                        <w:t>Tinkamos finansuoti</w:t>
                      </w:r>
                      <w:r>
                        <w:rPr>
                          <w:szCs w:val="24"/>
                        </w:rPr>
                        <w:t xml:space="preserve"> </w:t>
                      </w:r>
                      <w:r>
                        <w:rPr>
                          <w:bCs/>
                          <w:szCs w:val="24"/>
                        </w:rPr>
                        <w:t>išlaidos, skirtos</w:t>
                      </w:r>
                      <w:r>
                        <w:rPr>
                          <w:szCs w:val="24"/>
                        </w:rPr>
                        <w:t xml:space="preserve"> profesinio mokymo, organizuojamo pameistrystės mokymo forma, veiklai viešinti.</w:t>
                      </w:r>
                    </w:p>
                  </w:tc>
                </w:tr>
                <w:tr w:rsidR="000B526A">
                  <w:tc>
                    <w:tcPr>
                      <w:tcW w:w="584" w:type="dxa"/>
                    </w:tcPr>
                    <w:p w:rsidR="000B526A" w:rsidRDefault="00A43C09">
                      <w:pPr>
                        <w:jc w:val="both"/>
                        <w:rPr>
                          <w:bCs/>
                          <w:szCs w:val="24"/>
                        </w:rPr>
                      </w:pPr>
                      <w:r>
                        <w:rPr>
                          <w:bCs/>
                          <w:szCs w:val="24"/>
                        </w:rPr>
                        <w:t>6.</w:t>
                      </w:r>
                    </w:p>
                  </w:tc>
                  <w:tc>
                    <w:tcPr>
                      <w:tcW w:w="3969" w:type="dxa"/>
                    </w:tcPr>
                    <w:p w:rsidR="000B526A" w:rsidRDefault="00A43C09">
                      <w:pPr>
                        <w:jc w:val="both"/>
                        <w:rPr>
                          <w:szCs w:val="24"/>
                          <w:lang w:eastAsia="lt-LT"/>
                        </w:rPr>
                      </w:pPr>
                      <w:r>
                        <w:rPr>
                          <w:szCs w:val="24"/>
                          <w:lang w:eastAsia="lt-LT"/>
                        </w:rPr>
                        <w:t>Informavimas apie projektą</w:t>
                      </w:r>
                    </w:p>
                  </w:tc>
                  <w:tc>
                    <w:tcPr>
                      <w:tcW w:w="10206" w:type="dxa"/>
                    </w:tcPr>
                    <w:p w:rsidR="000B526A" w:rsidRDefault="00A43C09">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0B526A">
                  <w:tc>
                    <w:tcPr>
                      <w:tcW w:w="584" w:type="dxa"/>
                    </w:tcPr>
                    <w:p w:rsidR="000B526A" w:rsidRDefault="00A43C09">
                      <w:pPr>
                        <w:jc w:val="both"/>
                        <w:rPr>
                          <w:bCs/>
                          <w:szCs w:val="24"/>
                        </w:rPr>
                      </w:pPr>
                      <w:r>
                        <w:rPr>
                          <w:bCs/>
                          <w:szCs w:val="24"/>
                        </w:rPr>
                        <w:lastRenderedPageBreak/>
                        <w:t>7.</w:t>
                      </w:r>
                    </w:p>
                  </w:tc>
                  <w:tc>
                    <w:tcPr>
                      <w:tcW w:w="3969" w:type="dxa"/>
                    </w:tcPr>
                    <w:p w:rsidR="000B526A" w:rsidRDefault="00A43C09">
                      <w:pPr>
                        <w:jc w:val="both"/>
                        <w:rPr>
                          <w:szCs w:val="24"/>
                          <w:lang w:eastAsia="lt-LT"/>
                        </w:rPr>
                      </w:pPr>
                      <w:r>
                        <w:rPr>
                          <w:szCs w:val="24"/>
                          <w:lang w:eastAsia="lt-LT"/>
                        </w:rPr>
                        <w:t>Netiesioginės išlaidos ir kitos išlaidos pagal fiksuotąją projekto išlaidų normą</w:t>
                      </w:r>
                    </w:p>
                  </w:tc>
                  <w:tc>
                    <w:tcPr>
                      <w:tcW w:w="10206" w:type="dxa"/>
                    </w:tcPr>
                    <w:p w:rsidR="000B526A" w:rsidRDefault="00A43C09">
                      <w:pPr>
                        <w:jc w:val="both"/>
                        <w:rPr>
                          <w:bCs/>
                          <w:szCs w:val="24"/>
                        </w:rPr>
                      </w:pPr>
                      <w:r>
                        <w:rPr>
                          <w:bCs/>
                          <w:szCs w:val="24"/>
                        </w:rPr>
                        <w:t xml:space="preserve">Tinkama finansuoti. </w:t>
                      </w:r>
                    </w:p>
                    <w:p w:rsidR="000B526A" w:rsidRDefault="00A43C09">
                      <w:pPr>
                        <w:jc w:val="both"/>
                        <w:rPr>
                          <w:bCs/>
                          <w:szCs w:val="24"/>
                        </w:rPr>
                      </w:pPr>
                      <w:r>
                        <w:rPr>
                          <w:bCs/>
                          <w:szCs w:val="24"/>
                        </w:rPr>
                        <w:t>Išlaidos aptartos Aprašo Nr. 6 10.6 papunktyje.</w:t>
                      </w:r>
                    </w:p>
                  </w:tc>
                </w:tr>
              </w:tbl>
              <w:p w:rsidR="000B526A" w:rsidRDefault="000B526A">
                <w:pPr>
                  <w:jc w:val="both"/>
                  <w:rPr>
                    <w:bCs/>
                    <w:sz w:val="22"/>
                    <w:szCs w:val="22"/>
                  </w:rPr>
                </w:pPr>
              </w:p>
              <w:p w:rsidR="000B526A" w:rsidRDefault="00A43C09">
                <w:pPr>
                  <w:jc w:val="both"/>
                </w:pPr>
                <w:r>
                  <w:t>9.3. Pagal Aprašą Nr. 6 teikiamo finansavimo forma – dotacija.</w:t>
                </w:r>
              </w:p>
              <w:p w:rsidR="000B526A" w:rsidRDefault="00A43C09">
                <w:pPr>
                  <w:jc w:val="both"/>
                  <w:rPr>
                    <w:szCs w:val="24"/>
                  </w:rPr>
                </w:pPr>
                <w:r>
                  <w:t>9.4. Pagal Aprašą Nr. 6 projektui įgyvendinti skiriama iki 1 000 000 EUR (vieno milijono eurų) EGADP lėšų ir ne daugiau kaip 210 000 EUR (du šimtai dešimt tūkstančių eurų) Lietuvos Respublikos valstybės biudžeto lėšų pridėtinės vertės mokesčiui (toliau – PVM) kompensuoti.</w:t>
                </w:r>
              </w:p>
              <w:p w:rsidR="000B526A" w:rsidRDefault="00A43C09">
                <w:pPr>
                  <w:jc w:val="both"/>
                  <w:rPr>
                    <w:bCs/>
                    <w:szCs w:val="24"/>
                  </w:rPr>
                </w:pPr>
                <w:r>
                  <w:rPr>
                    <w:bCs/>
                    <w:szCs w:val="24"/>
                  </w:rPr>
                  <w:t>9.5. Didžiausia galima projektų finansuojamoji dalis sudaro 100 proc. visų tinkamų finansuoti projekto išlaidų. Nuosavu įnašu prisidėti nereikalaujama. Projekto pareiškėjas savo ir (arba) kitų šaltinių lėšomis gali prisidėti prie projekto įgyvendinimo.</w:t>
                </w:r>
              </w:p>
              <w:p w:rsidR="000B526A" w:rsidRDefault="00A43C09">
                <w:pPr>
                  <w:jc w:val="both"/>
                  <w:rPr>
                    <w:bCs/>
                    <w:szCs w:val="24"/>
                  </w:rPr>
                </w:pPr>
                <w:r>
                  <w:rPr>
                    <w:bCs/>
                    <w:szCs w:val="24"/>
                  </w:rPr>
                  <w:t>9.6. Projektui gali būti mokamas avansas, vadovaujantis  Projektų administravimo ir finansavimo taisyklių 153–159 punktais.</w:t>
                </w:r>
              </w:p>
              <w:p w:rsidR="000B526A" w:rsidRDefault="00A43C09">
                <w:pPr>
                  <w:jc w:val="both"/>
                  <w:rPr>
                    <w:bCs/>
                    <w:szCs w:val="24"/>
                  </w:rPr>
                </w:pPr>
                <w:r>
                  <w:rPr>
                    <w:bCs/>
                    <w:szCs w:val="24"/>
                  </w:rPr>
                  <w:t>9.7. Projekto tinkamų finansuoti išlaidų dalis, kurios nepadengia projektui skiriamo finansavimo lėšos, turi būti finansuojama iš projekto vykdytojo lėšų.</w:t>
                </w:r>
              </w:p>
              <w:p w:rsidR="000B526A" w:rsidRDefault="00A43C09">
                <w:pPr>
                  <w:tabs>
                    <w:tab w:val="left" w:pos="645"/>
                  </w:tabs>
                  <w:ind w:left="22" w:hanging="22"/>
                  <w:jc w:val="both"/>
                  <w:rPr>
                    <w:bCs/>
                    <w:szCs w:val="24"/>
                  </w:rPr>
                </w:pPr>
                <w:r>
                  <w:rPr>
                    <w:bCs/>
                    <w:szCs w:val="24"/>
                  </w:rPr>
                  <w:t>9.8. Kryžminis finansavimas netaikomas.</w:t>
                </w:r>
              </w:p>
              <w:p w:rsidR="000B526A" w:rsidRDefault="00A43C09">
                <w:pPr>
                  <w:tabs>
                    <w:tab w:val="left" w:pos="645"/>
                  </w:tabs>
                  <w:ind w:left="22" w:hanging="22"/>
                  <w:jc w:val="both"/>
                  <w:rPr>
                    <w:bCs/>
                    <w:szCs w:val="24"/>
                  </w:rPr>
                </w:pPr>
                <w:r>
                  <w:rPr>
                    <w:bCs/>
                    <w:szCs w:val="24"/>
                  </w:rPr>
                  <w:t>9.9. PĮP parengimo išlaidos nėra tinkamos finansuoti.</w:t>
                </w:r>
              </w:p>
              <w:p w:rsidR="000B526A" w:rsidRDefault="00A43C09">
                <w:pPr>
                  <w:tabs>
                    <w:tab w:val="left" w:pos="645"/>
                  </w:tabs>
                  <w:ind w:left="22" w:hanging="22"/>
                  <w:jc w:val="both"/>
                  <w:rPr>
                    <w:color w:val="002060"/>
                    <w:sz w:val="6"/>
                    <w:szCs w:val="6"/>
                  </w:rPr>
                </w:pPr>
                <w:r>
                  <w:rPr>
                    <w:szCs w:val="24"/>
                  </w:rPr>
                  <w:t>9.10. PVM nėra tinkamas finansuoti EGADP lėšomis. PVM gali būti finansuojamas Projektų administravimo ir finansavimo taisyklių VII skyriaus „Projektų išlaidų reikalavimai“  ketvirtajame skirsnyje „PVM“ nustatyta tvarka.</w:t>
                </w:r>
              </w:p>
            </w:tc>
          </w:tr>
          <w:tr w:rsidR="000B526A">
            <w:trPr>
              <w:trHeight w:val="349"/>
            </w:trPr>
            <w:tc>
              <w:tcPr>
                <w:tcW w:w="15021" w:type="dxa"/>
              </w:tcPr>
              <w:p w:rsidR="000B526A" w:rsidRDefault="00A43C09">
                <w:pPr>
                  <w:jc w:val="both"/>
                  <w:rPr>
                    <w:szCs w:val="24"/>
                  </w:rPr>
                </w:pPr>
                <w:r>
                  <w:rPr>
                    <w:b/>
                    <w:szCs w:val="24"/>
                  </w:rPr>
                  <w:lastRenderedPageBreak/>
                  <w:t>10. Projektų veiklų ir jungtinio projekto projektų įgyvendinimui taikomi supaprastintai apmokamų išlaidų dydžiai</w:t>
                </w:r>
              </w:p>
            </w:tc>
          </w:tr>
          <w:tr w:rsidR="000B526A">
            <w:tc>
              <w:tcPr>
                <w:tcW w:w="15021" w:type="dxa"/>
              </w:tcPr>
              <w:p w:rsidR="000B526A" w:rsidRDefault="00A43C09">
                <w:pPr>
                  <w:jc w:val="both"/>
                  <w:rPr>
                    <w:szCs w:val="24"/>
                  </w:rPr>
                </w:pPr>
                <w:r>
                  <w:rPr>
                    <w:szCs w:val="24"/>
                  </w:rPr>
                  <w:t>10.1. Projekto vykdytojas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rsidR="000B526A" w:rsidRDefault="00A43C09">
                <w:pPr>
                  <w:jc w:val="both"/>
                  <w:rPr>
                    <w:szCs w:val="24"/>
                  </w:rPr>
                </w:pPr>
                <w:r>
                  <w:rPr>
                    <w:szCs w:val="24"/>
                  </w:rPr>
                  <w:t>10.2.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0B526A" w:rsidRDefault="00A43C09">
                <w:pPr>
                  <w:jc w:val="both"/>
                  <w:rPr>
                    <w:szCs w:val="24"/>
                  </w:rPr>
                </w:pPr>
                <w:r>
                  <w:rPr>
                    <w:szCs w:val="24"/>
                  </w:rPr>
                  <w:t>10.3.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0B526A" w:rsidRDefault="00A43C09">
                <w:pPr>
                  <w:jc w:val="both"/>
                  <w:rPr>
                    <w:szCs w:val="24"/>
                  </w:rPr>
                </w:pPr>
                <w:r>
                  <w:rPr>
                    <w:szCs w:val="24"/>
                  </w:rPr>
                  <w:t>10.4. Išlaidos pagal fiksuotuosius įkainius pripažįstamos tinkamomis finansuoti, kai yra pasiekti tam tikri rezultatai, už kurių pasiekimą nustatyti konkretūs fiksuotieji įkainiai.</w:t>
                </w:r>
              </w:p>
              <w:p w:rsidR="000B526A" w:rsidRDefault="00A43C09">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rsidR="000B526A" w:rsidRDefault="00A43C09">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rsidR="000B526A" w:rsidRDefault="00A43C09">
                <w:pPr>
                  <w:jc w:val="both"/>
                  <w:rPr>
                    <w:szCs w:val="24"/>
                  </w:rPr>
                </w:pPr>
                <w:r>
                  <w:rPr>
                    <w:szCs w:val="24"/>
                  </w:rPr>
                  <w:t>10.7. Projekto sutartyje nustatyta netiesioginių išlaidų fiksuotoji norma projekto įgyvendinimo metu negali būti keičiama.</w:t>
                </w:r>
              </w:p>
              <w:p w:rsidR="000B526A" w:rsidRDefault="000B526A">
                <w:pPr>
                  <w:jc w:val="both"/>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26"/>
                  <w:gridCol w:w="2126"/>
                  <w:gridCol w:w="2268"/>
                  <w:gridCol w:w="3739"/>
                  <w:gridCol w:w="3207"/>
                </w:tblGrid>
                <w:tr w:rsidR="000B526A">
                  <w:tc>
                    <w:tcPr>
                      <w:tcW w:w="14766" w:type="dxa"/>
                      <w:gridSpan w:val="5"/>
                      <w:tcBorders>
                        <w:top w:val="single" w:sz="8" w:space="0" w:color="auto"/>
                        <w:left w:val="single" w:sz="8" w:space="0" w:color="auto"/>
                        <w:bottom w:val="single" w:sz="8" w:space="0" w:color="auto"/>
                        <w:right w:val="single" w:sz="8" w:space="0" w:color="auto"/>
                      </w:tcBorders>
                    </w:tcPr>
                    <w:p w:rsidR="000B526A" w:rsidRDefault="00A43C09">
                      <w:pPr>
                        <w:ind w:firstLine="57"/>
                        <w:jc w:val="both"/>
                        <w:rPr>
                          <w:b/>
                          <w:bCs/>
                          <w:szCs w:val="24"/>
                        </w:rPr>
                      </w:pPr>
                      <w:r>
                        <w:rPr>
                          <w:rFonts w:eastAsia="Calibri"/>
                          <w:szCs w:val="24"/>
                        </w:rPr>
                        <w:fldChar w:fldCharType="begin" w:fldLock="1">
                          <w:ffData>
                            <w:name w:val="Tikrinti2"/>
                            <w:enabled/>
                            <w:calcOnExit w:val="0"/>
                            <w:checkBox>
                              <w:sizeAuto/>
                              <w:default w:val="1"/>
                            </w:checkBox>
                          </w:ffData>
                        </w:fldChar>
                      </w:r>
                      <w:r>
                        <w:rPr>
                          <w:rFonts w:eastAsia="Calibri"/>
                          <w:szCs w:val="24"/>
                        </w:rPr>
                        <w:instrText xml:space="preserve">FORMCHECKBOX </w:instrText>
                      </w:r>
                      <w:r w:rsidR="004125EB">
                        <w:rPr>
                          <w:rFonts w:eastAsia="Calibri"/>
                          <w:szCs w:val="24"/>
                        </w:rPr>
                      </w:r>
                      <w:r w:rsidR="004125EB">
                        <w:rPr>
                          <w:rFonts w:eastAsia="Calibri"/>
                          <w:szCs w:val="24"/>
                        </w:rPr>
                        <w:fldChar w:fldCharType="separate"/>
                      </w:r>
                      <w:r>
                        <w:rPr>
                          <w:rFonts w:eastAsia="Calibri"/>
                          <w:szCs w:val="24"/>
                        </w:rPr>
                        <w:fldChar w:fldCharType="end"/>
                      </w:r>
                      <w:r>
                        <w:rPr>
                          <w:b/>
                          <w:bCs/>
                          <w:szCs w:val="24"/>
                        </w:rPr>
                        <w:t>Indeksuojama</w:t>
                      </w:r>
                    </w:p>
                    <w:p w:rsidR="000B526A" w:rsidRDefault="00A43C09">
                      <w:pPr>
                        <w:ind w:firstLine="57"/>
                        <w:jc w:val="both"/>
                        <w:rPr>
                          <w:b/>
                          <w:bCs/>
                          <w:szCs w:val="24"/>
                        </w:rPr>
                      </w:pPr>
                      <w:r>
                        <w:rPr>
                          <w:rFonts w:eastAsia="Calibri"/>
                          <w:szCs w:val="24"/>
                        </w:rPr>
                        <w:fldChar w:fldCharType="begin" w:fldLock="1">
                          <w:ffData>
                            <w:name w:val=""/>
                            <w:enabled/>
                            <w:calcOnExit w:val="0"/>
                            <w:checkBox>
                              <w:sizeAuto/>
                              <w:default w:val="0"/>
                            </w:checkBox>
                          </w:ffData>
                        </w:fldChar>
                      </w:r>
                      <w:r>
                        <w:rPr>
                          <w:rFonts w:eastAsia="Calibri"/>
                          <w:szCs w:val="24"/>
                        </w:rPr>
                        <w:instrText xml:space="preserve"> FORMCHECKBOX </w:instrText>
                      </w:r>
                      <w:r w:rsidR="004125EB">
                        <w:rPr>
                          <w:rFonts w:eastAsia="Calibri"/>
                          <w:szCs w:val="24"/>
                        </w:rPr>
                      </w:r>
                      <w:r w:rsidR="004125EB">
                        <w:rPr>
                          <w:rFonts w:eastAsia="Calibri"/>
                          <w:szCs w:val="24"/>
                        </w:rPr>
                        <w:fldChar w:fldCharType="separate"/>
                      </w:r>
                      <w:r>
                        <w:rPr>
                          <w:rFonts w:eastAsia="Calibri"/>
                          <w:szCs w:val="24"/>
                        </w:rPr>
                        <w:fldChar w:fldCharType="end"/>
                      </w:r>
                      <w:r>
                        <w:rPr>
                          <w:b/>
                          <w:bCs/>
                          <w:szCs w:val="24"/>
                        </w:rPr>
                        <w:t>Neindeksuojama</w:t>
                      </w:r>
                    </w:p>
                  </w:tc>
                </w:tr>
                <w:tr w:rsidR="000B526A">
                  <w:tc>
                    <w:tcPr>
                      <w:tcW w:w="3426" w:type="dxa"/>
                      <w:tcBorders>
                        <w:top w:val="single" w:sz="8" w:space="0" w:color="auto"/>
                        <w:left w:val="single" w:sz="8" w:space="0" w:color="auto"/>
                        <w:bottom w:val="single" w:sz="8" w:space="0" w:color="auto"/>
                        <w:right w:val="single" w:sz="8" w:space="0" w:color="auto"/>
                      </w:tcBorders>
                      <w:vAlign w:val="center"/>
                    </w:tcPr>
                    <w:p w:rsidR="000B526A" w:rsidRDefault="00A43C09">
                      <w:pPr>
                        <w:jc w:val="center"/>
                        <w:rPr>
                          <w:b/>
                          <w:bCs/>
                          <w:szCs w:val="24"/>
                        </w:rPr>
                      </w:pPr>
                      <w:r>
                        <w:rPr>
                          <w:b/>
                          <w:bCs/>
                          <w:szCs w:val="24"/>
                        </w:rPr>
                        <w:lastRenderedPageBreak/>
                        <w:t>Veiklos ir (ar) išlaidos, kurioms taikomi supaprastintai apmokamų išlaidų dydžiai</w:t>
                      </w:r>
                    </w:p>
                  </w:tc>
                  <w:tc>
                    <w:tcPr>
                      <w:tcW w:w="2126" w:type="dxa"/>
                      <w:tcBorders>
                        <w:top w:val="single" w:sz="8" w:space="0" w:color="auto"/>
                        <w:left w:val="single" w:sz="8" w:space="0" w:color="auto"/>
                        <w:bottom w:val="single" w:sz="8" w:space="0" w:color="auto"/>
                        <w:right w:val="single" w:sz="8" w:space="0" w:color="auto"/>
                      </w:tcBorders>
                      <w:vAlign w:val="center"/>
                    </w:tcPr>
                    <w:p w:rsidR="000B526A" w:rsidRDefault="00A43C09">
                      <w:pPr>
                        <w:jc w:val="center"/>
                        <w:rPr>
                          <w:b/>
                          <w:bCs/>
                          <w:szCs w:val="24"/>
                        </w:rPr>
                      </w:pPr>
                      <w:r>
                        <w:rPr>
                          <w:b/>
                          <w:bCs/>
                          <w:szCs w:val="24"/>
                        </w:rPr>
                        <w:t>Supaprastintai apmokamų išlaidų dydžio kodas</w:t>
                      </w:r>
                    </w:p>
                  </w:tc>
                  <w:tc>
                    <w:tcPr>
                      <w:tcW w:w="2268" w:type="dxa"/>
                      <w:tcBorders>
                        <w:top w:val="single" w:sz="8" w:space="0" w:color="auto"/>
                        <w:left w:val="single" w:sz="8" w:space="0" w:color="auto"/>
                        <w:bottom w:val="single" w:sz="8" w:space="0" w:color="auto"/>
                        <w:right w:val="single" w:sz="8" w:space="0" w:color="auto"/>
                      </w:tcBorders>
                      <w:vAlign w:val="center"/>
                    </w:tcPr>
                    <w:p w:rsidR="000B526A" w:rsidRDefault="00A43C09">
                      <w:pPr>
                        <w:jc w:val="center"/>
                        <w:rPr>
                          <w:b/>
                          <w:bCs/>
                          <w:i/>
                          <w:iCs/>
                          <w:color w:val="808080"/>
                          <w:szCs w:val="24"/>
                        </w:rPr>
                      </w:pPr>
                      <w:r>
                        <w:rPr>
                          <w:b/>
                          <w:bCs/>
                          <w:szCs w:val="24"/>
                        </w:rPr>
                        <w:t>Supaprastintai apmokamų išlaidų dydžio versija</w:t>
                      </w:r>
                    </w:p>
                  </w:tc>
                  <w:tc>
                    <w:tcPr>
                      <w:tcW w:w="3739" w:type="dxa"/>
                      <w:tcBorders>
                        <w:top w:val="single" w:sz="8" w:space="0" w:color="auto"/>
                        <w:left w:val="single" w:sz="8" w:space="0" w:color="auto"/>
                        <w:bottom w:val="single" w:sz="8" w:space="0" w:color="auto"/>
                        <w:right w:val="single" w:sz="8" w:space="0" w:color="auto"/>
                      </w:tcBorders>
                      <w:vAlign w:val="center"/>
                    </w:tcPr>
                    <w:p w:rsidR="000B526A" w:rsidRDefault="00A43C09">
                      <w:pPr>
                        <w:jc w:val="center"/>
                        <w:rPr>
                          <w:b/>
                          <w:bCs/>
                          <w:szCs w:val="24"/>
                        </w:rPr>
                      </w:pPr>
                      <w:r>
                        <w:rPr>
                          <w:b/>
                          <w:bCs/>
                          <w:szCs w:val="24"/>
                        </w:rPr>
                        <w:t>Supaprastintai apmokamų išlaidų dydžio pavadinimas</w:t>
                      </w:r>
                    </w:p>
                  </w:tc>
                  <w:tc>
                    <w:tcPr>
                      <w:tcW w:w="3207" w:type="dxa"/>
                      <w:tcBorders>
                        <w:top w:val="single" w:sz="8" w:space="0" w:color="auto"/>
                        <w:left w:val="single" w:sz="8" w:space="0" w:color="auto"/>
                        <w:bottom w:val="single" w:sz="8" w:space="0" w:color="auto"/>
                        <w:right w:val="single" w:sz="8" w:space="0" w:color="auto"/>
                      </w:tcBorders>
                      <w:vAlign w:val="center"/>
                    </w:tcPr>
                    <w:p w:rsidR="000B526A" w:rsidRDefault="00A43C09">
                      <w:pPr>
                        <w:jc w:val="center"/>
                        <w:rPr>
                          <w:b/>
                          <w:bCs/>
                          <w:szCs w:val="24"/>
                        </w:rPr>
                      </w:pPr>
                      <w:r>
                        <w:rPr>
                          <w:b/>
                          <w:bCs/>
                          <w:szCs w:val="24"/>
                        </w:rPr>
                        <w:t>Papildoma informacija</w:t>
                      </w:r>
                    </w:p>
                  </w:tc>
                </w:tr>
                <w:tr w:rsidR="000B526A">
                  <w:trPr>
                    <w:trHeight w:val="1531"/>
                  </w:trPr>
                  <w:tc>
                    <w:tcPr>
                      <w:tcW w:w="3426" w:type="dxa"/>
                      <w:tcBorders>
                        <w:top w:val="single" w:sz="8" w:space="0" w:color="auto"/>
                        <w:left w:val="single" w:sz="8" w:space="0" w:color="auto"/>
                        <w:bottom w:val="single" w:sz="8" w:space="0" w:color="auto"/>
                        <w:right w:val="single" w:sz="8" w:space="0" w:color="auto"/>
                      </w:tcBorders>
                    </w:tcPr>
                    <w:p w:rsidR="000B526A" w:rsidRDefault="00A43C09">
                      <w:pPr>
                        <w:jc w:val="center"/>
                        <w:rPr>
                          <w:b/>
                          <w:szCs w:val="24"/>
                        </w:rPr>
                      </w:pPr>
                      <w:r>
                        <w:rPr>
                          <w:szCs w:val="24"/>
                        </w:rPr>
                        <w:t>Išlaidos, skirtos privalomoms projektų matomumo ir informavimo apie projektus priemonėms</w:t>
                      </w:r>
                    </w:p>
                  </w:tc>
                  <w:tc>
                    <w:tcPr>
                      <w:tcW w:w="2126" w:type="dxa"/>
                      <w:tcBorders>
                        <w:top w:val="single" w:sz="8" w:space="0" w:color="auto"/>
                        <w:left w:val="single" w:sz="8" w:space="0" w:color="auto"/>
                        <w:bottom w:val="single" w:sz="8" w:space="0" w:color="auto"/>
                        <w:right w:val="single" w:sz="8" w:space="0" w:color="auto"/>
                      </w:tcBorders>
                    </w:tcPr>
                    <w:p w:rsidR="000B526A" w:rsidRDefault="00A43C09">
                      <w:pPr>
                        <w:jc w:val="center"/>
                        <w:rPr>
                          <w:i/>
                          <w:iCs/>
                          <w:szCs w:val="24"/>
                        </w:rPr>
                      </w:pPr>
                      <w:r>
                        <w:rPr>
                          <w:szCs w:val="24"/>
                        </w:rPr>
                        <w:t>FS-01-01</w:t>
                      </w:r>
                    </w:p>
                  </w:tc>
                  <w:tc>
                    <w:tcPr>
                      <w:tcW w:w="2268" w:type="dxa"/>
                      <w:tcBorders>
                        <w:top w:val="single" w:sz="8" w:space="0" w:color="auto"/>
                        <w:left w:val="single" w:sz="8" w:space="0" w:color="auto"/>
                        <w:bottom w:val="single" w:sz="8" w:space="0" w:color="auto"/>
                        <w:right w:val="single" w:sz="8" w:space="0" w:color="auto"/>
                      </w:tcBorders>
                    </w:tcPr>
                    <w:p w:rsidR="000B526A" w:rsidRDefault="00A43C09">
                      <w:pPr>
                        <w:jc w:val="center"/>
                        <w:rPr>
                          <w:i/>
                          <w:iCs/>
                          <w:szCs w:val="24"/>
                        </w:rPr>
                      </w:pPr>
                      <w:r>
                        <w:rPr>
                          <w:szCs w:val="24"/>
                        </w:rPr>
                        <w:t>01</w:t>
                      </w:r>
                    </w:p>
                  </w:tc>
                  <w:tc>
                    <w:tcPr>
                      <w:tcW w:w="3739"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Įgyvendintų privalomų matomumo ir informavimo priemonių apie ES fondų investicijų veiklas fiksuotoji suma, pirmojo rinkinio FS be PVM</w:t>
                      </w:r>
                    </w:p>
                  </w:tc>
                  <w:tc>
                    <w:tcPr>
                      <w:tcW w:w="3207" w:type="dxa"/>
                      <w:tcBorders>
                        <w:top w:val="single" w:sz="8" w:space="0" w:color="auto"/>
                        <w:left w:val="single" w:sz="8" w:space="0" w:color="auto"/>
                        <w:bottom w:val="single" w:sz="8" w:space="0" w:color="auto"/>
                        <w:right w:val="single" w:sz="8" w:space="0" w:color="auto"/>
                      </w:tcBorders>
                    </w:tcPr>
                    <w:p w:rsidR="000B526A" w:rsidRDefault="00A43C09">
                      <w:pPr>
                        <w:jc w:val="center"/>
                        <w:rPr>
                          <w:i/>
                          <w:iCs/>
                          <w:szCs w:val="24"/>
                        </w:rPr>
                      </w:pPr>
                      <w:r>
                        <w:rPr>
                          <w:iCs/>
                          <w:szCs w:val="24"/>
                        </w:rPr>
                        <w:t>-</w:t>
                      </w:r>
                    </w:p>
                  </w:tc>
                </w:tr>
                <w:tr w:rsidR="000B526A">
                  <w:trPr>
                    <w:trHeight w:val="1531"/>
                  </w:trPr>
                  <w:tc>
                    <w:tcPr>
                      <w:tcW w:w="34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Išlaidos, skirtos privalomoms projektų matomumo ir informavimo apie projektus priemonėms</w:t>
                      </w:r>
                    </w:p>
                  </w:tc>
                  <w:tc>
                    <w:tcPr>
                      <w:tcW w:w="21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FS-01-02</w:t>
                      </w:r>
                    </w:p>
                  </w:tc>
                  <w:tc>
                    <w:tcPr>
                      <w:tcW w:w="2268"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01</w:t>
                      </w:r>
                    </w:p>
                  </w:tc>
                  <w:tc>
                    <w:tcPr>
                      <w:tcW w:w="3739"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Įgyvendintų privalomų matomumo ir informavimo priemonių apie ES fondų investicijų veiklas fiksuotoji suma, pirmojo rinkinio FS su PVM</w:t>
                      </w:r>
                    </w:p>
                  </w:tc>
                  <w:tc>
                    <w:tcPr>
                      <w:tcW w:w="3207" w:type="dxa"/>
                      <w:tcBorders>
                        <w:top w:val="single" w:sz="8" w:space="0" w:color="auto"/>
                        <w:left w:val="single" w:sz="8" w:space="0" w:color="auto"/>
                        <w:bottom w:val="single" w:sz="8" w:space="0" w:color="auto"/>
                        <w:right w:val="single" w:sz="8" w:space="0" w:color="auto"/>
                      </w:tcBorders>
                    </w:tcPr>
                    <w:p w:rsidR="000B526A" w:rsidRDefault="00A43C09">
                      <w:pPr>
                        <w:jc w:val="center"/>
                        <w:rPr>
                          <w:iCs/>
                          <w:szCs w:val="24"/>
                        </w:rPr>
                      </w:pPr>
                      <w:r>
                        <w:rPr>
                          <w:iCs/>
                          <w:szCs w:val="24"/>
                        </w:rPr>
                        <w:t>-</w:t>
                      </w:r>
                    </w:p>
                  </w:tc>
                </w:tr>
                <w:tr w:rsidR="000B526A">
                  <w:trPr>
                    <w:trHeight w:val="843"/>
                  </w:trPr>
                  <w:tc>
                    <w:tcPr>
                      <w:tcW w:w="34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Netiesioginės išlaidos</w:t>
                      </w:r>
                    </w:p>
                  </w:tc>
                  <w:tc>
                    <w:tcPr>
                      <w:tcW w:w="2126" w:type="dxa"/>
                      <w:tcBorders>
                        <w:top w:val="single" w:sz="8" w:space="0" w:color="auto"/>
                        <w:left w:val="single" w:sz="8" w:space="0" w:color="auto"/>
                        <w:bottom w:val="single" w:sz="8" w:space="0" w:color="auto"/>
                        <w:right w:val="single" w:sz="8" w:space="0" w:color="auto"/>
                      </w:tcBorders>
                    </w:tcPr>
                    <w:p w:rsidR="000B526A" w:rsidRDefault="00A43C09">
                      <w:pPr>
                        <w:jc w:val="center"/>
                        <w:rPr>
                          <w:i/>
                          <w:iCs/>
                          <w:szCs w:val="24"/>
                          <w:highlight w:val="yellow"/>
                        </w:rPr>
                      </w:pPr>
                      <w:r>
                        <w:rPr>
                          <w:szCs w:val="24"/>
                        </w:rPr>
                        <w:t>FN-01</w:t>
                      </w:r>
                    </w:p>
                  </w:tc>
                  <w:tc>
                    <w:tcPr>
                      <w:tcW w:w="2268"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01</w:t>
                      </w:r>
                    </w:p>
                  </w:tc>
                  <w:tc>
                    <w:tcPr>
                      <w:tcW w:w="3739"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highlight w:val="yellow"/>
                          <w:lang w:val="en-US"/>
                        </w:rPr>
                      </w:pPr>
                      <w:r>
                        <w:rPr>
                          <w:szCs w:val="24"/>
                        </w:rPr>
                        <w:t>7 proc. netiesioginių išlaidų fiksuotoji norma.</w:t>
                      </w:r>
                    </w:p>
                  </w:tc>
                  <w:tc>
                    <w:tcPr>
                      <w:tcW w:w="3207" w:type="dxa"/>
                      <w:tcBorders>
                        <w:top w:val="single" w:sz="8" w:space="0" w:color="auto"/>
                        <w:left w:val="single" w:sz="8" w:space="0" w:color="auto"/>
                        <w:bottom w:val="single" w:sz="8" w:space="0" w:color="auto"/>
                        <w:right w:val="single" w:sz="8" w:space="0" w:color="auto"/>
                      </w:tcBorders>
                    </w:tcPr>
                    <w:p w:rsidR="000B526A" w:rsidRDefault="00A43C09">
                      <w:pPr>
                        <w:jc w:val="center"/>
                        <w:rPr>
                          <w:iCs/>
                          <w:szCs w:val="24"/>
                        </w:rPr>
                      </w:pPr>
                      <w:r>
                        <w:rPr>
                          <w:szCs w:val="24"/>
                        </w:rPr>
                        <w:t>Iš fiksuotosios projekto išlaidų normos dengiamos projektų vykdytojų netiesioginės išlaidos.</w:t>
                      </w:r>
                    </w:p>
                  </w:tc>
                </w:tr>
                <w:tr w:rsidR="000B526A">
                  <w:trPr>
                    <w:trHeight w:val="843"/>
                  </w:trPr>
                  <w:tc>
                    <w:tcPr>
                      <w:tcW w:w="34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1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FN-05-01</w:t>
                      </w:r>
                    </w:p>
                    <w:p w:rsidR="000B526A" w:rsidRDefault="000B526A">
                      <w:pPr>
                        <w:jc w:val="center"/>
                        <w:rPr>
                          <w:szCs w:val="24"/>
                        </w:rPr>
                      </w:pPr>
                    </w:p>
                  </w:tc>
                  <w:tc>
                    <w:tcPr>
                      <w:tcW w:w="2268"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lang w:eastAsia="lt-LT"/>
                        </w:rPr>
                        <w:t>-</w:t>
                      </w:r>
                    </w:p>
                  </w:tc>
                  <w:tc>
                    <w:tcPr>
                      <w:tcW w:w="3739"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Fiksuotoji norma taikoma, kai priklauso 20 darbo dienų (toliau – d. d.) (jeigu dirbama 5 d. d. per savaitę) arba 24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B526A">
                  <w:trPr>
                    <w:trHeight w:val="843"/>
                  </w:trPr>
                  <w:tc>
                    <w:tcPr>
                      <w:tcW w:w="34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highlight w:val="yellow"/>
                        </w:rPr>
                      </w:pPr>
                      <w:r>
                        <w:rPr>
                          <w:szCs w:val="24"/>
                        </w:rPr>
                        <w:t>Darbo užmokesčio išlaidų dalis per mėnesį, skirta kasmetinėms atostogoms, kuri apskaičiuojama nuo tinkamų finansuoti faktiškai patirtų darbo užmokesčio išlaidų už faktiškai dirbtą laiką (10,44 proc.)</w:t>
                      </w:r>
                    </w:p>
                  </w:tc>
                  <w:tc>
                    <w:tcPr>
                      <w:tcW w:w="21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FN-05-02</w:t>
                      </w:r>
                    </w:p>
                  </w:tc>
                  <w:tc>
                    <w:tcPr>
                      <w:tcW w:w="2268"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lang w:eastAsia="lt-LT"/>
                        </w:rPr>
                        <w:t>-</w:t>
                      </w:r>
                    </w:p>
                  </w:tc>
                  <w:tc>
                    <w:tcPr>
                      <w:tcW w:w="3739"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Fiksuotoji norma taikoma, kai priklauso nuo 21 iki 25 d. d. (jeigu dirbama 5 d. d. per savaitę) arba nuo 25 iki 30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B526A">
                  <w:trPr>
                    <w:trHeight w:val="843"/>
                  </w:trPr>
                  <w:tc>
                    <w:tcPr>
                      <w:tcW w:w="34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highlight w:val="yellow"/>
                        </w:rPr>
                      </w:pPr>
                      <w:r>
                        <w:rPr>
                          <w:szCs w:val="24"/>
                        </w:rPr>
                        <w:lastRenderedPageBreak/>
                        <w:t>Darbo užmokesčio išlaidų dalis per mėnesį, skirta kasmetinėms atostogoms, kuri apskaičiuojama nuo tinkamų finansuoti faktiškai patirtų darbo užmokesčio išlaidų už faktiškai dirbtą laiką (12,35 proc.)</w:t>
                      </w:r>
                    </w:p>
                  </w:tc>
                  <w:tc>
                    <w:tcPr>
                      <w:tcW w:w="21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FN-05-03</w:t>
                      </w:r>
                    </w:p>
                    <w:p w:rsidR="000B526A" w:rsidRDefault="000B526A">
                      <w:pPr>
                        <w:jc w:val="center"/>
                        <w:rPr>
                          <w:szCs w:val="24"/>
                        </w:rPr>
                      </w:pPr>
                    </w:p>
                  </w:tc>
                  <w:tc>
                    <w:tcPr>
                      <w:tcW w:w="2268"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lang w:eastAsia="lt-LT"/>
                        </w:rPr>
                        <w:t>-</w:t>
                      </w:r>
                    </w:p>
                  </w:tc>
                  <w:tc>
                    <w:tcPr>
                      <w:tcW w:w="3739"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Fiksuotoji norma taikoma, kai priklauso nuo 26 iki 30 d. d. (jeigu dirbama 5 d. d. per savaitę) arba nuo 31 iki 36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B526A">
                  <w:trPr>
                    <w:trHeight w:val="843"/>
                  </w:trPr>
                  <w:tc>
                    <w:tcPr>
                      <w:tcW w:w="34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highlight w:val="yellow"/>
                        </w:rPr>
                      </w:pPr>
                      <w:r>
                        <w:rPr>
                          <w:szCs w:val="24"/>
                        </w:rPr>
                        <w:t>Darbo užmokesčio išlaidų dalis per mėnesį, skirta kasmetinėms atostogoms, kuri apskaičiuojama nuo tinkamų finansuoti faktiškai patirtų darbo užmokesčio išlaidų už faktiškai dirbtą laiką (14,99 proc.)</w:t>
                      </w:r>
                    </w:p>
                  </w:tc>
                  <w:tc>
                    <w:tcPr>
                      <w:tcW w:w="21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FN-05-04</w:t>
                      </w:r>
                    </w:p>
                    <w:p w:rsidR="000B526A" w:rsidRDefault="000B526A">
                      <w:pPr>
                        <w:jc w:val="center"/>
                        <w:rPr>
                          <w:szCs w:val="24"/>
                        </w:rPr>
                      </w:pPr>
                    </w:p>
                  </w:tc>
                  <w:tc>
                    <w:tcPr>
                      <w:tcW w:w="2268" w:type="dxa"/>
                      <w:tcBorders>
                        <w:top w:val="single" w:sz="8" w:space="0" w:color="auto"/>
                        <w:left w:val="single" w:sz="8" w:space="0" w:color="auto"/>
                        <w:bottom w:val="single" w:sz="8" w:space="0" w:color="auto"/>
                        <w:right w:val="single" w:sz="8" w:space="0" w:color="auto"/>
                      </w:tcBorders>
                    </w:tcPr>
                    <w:p w:rsidR="000B526A" w:rsidRDefault="000B526A">
                      <w:pPr>
                        <w:jc w:val="center"/>
                        <w:rPr>
                          <w:szCs w:val="24"/>
                        </w:rPr>
                      </w:pPr>
                    </w:p>
                  </w:tc>
                  <w:tc>
                    <w:tcPr>
                      <w:tcW w:w="3739"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Fiksuotoji norma taikoma, kai priklauso nuo 31 iki 36 d. d. (jeigu dirbama 5 d. d. per savaitę) arba nuo 37 iki 42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B526A">
                  <w:trPr>
                    <w:trHeight w:val="843"/>
                  </w:trPr>
                  <w:tc>
                    <w:tcPr>
                      <w:tcW w:w="34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highlight w:val="yellow"/>
                        </w:rPr>
                      </w:pPr>
                      <w:r>
                        <w:rPr>
                          <w:szCs w:val="24"/>
                        </w:rPr>
                        <w:t>Darbo užmokesčio išlaidų dalis per mėnesį, skirta kasmetinėms atostogoms, kuri apskaičiuojama nuo tinkamų finansuoti faktiškai patirtų darbo užmokesčio išlaidų už faktiškai dirbtą laiką (17,25 proc.)</w:t>
                      </w:r>
                    </w:p>
                  </w:tc>
                  <w:tc>
                    <w:tcPr>
                      <w:tcW w:w="21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FN-05-05</w:t>
                      </w:r>
                    </w:p>
                    <w:p w:rsidR="000B526A" w:rsidRDefault="000B526A">
                      <w:pPr>
                        <w:jc w:val="center"/>
                        <w:rPr>
                          <w:szCs w:val="24"/>
                        </w:rPr>
                      </w:pPr>
                    </w:p>
                  </w:tc>
                  <w:tc>
                    <w:tcPr>
                      <w:tcW w:w="2268" w:type="dxa"/>
                      <w:tcBorders>
                        <w:top w:val="single" w:sz="8" w:space="0" w:color="auto"/>
                        <w:left w:val="single" w:sz="8" w:space="0" w:color="auto"/>
                        <w:bottom w:val="single" w:sz="8" w:space="0" w:color="auto"/>
                        <w:right w:val="single" w:sz="8" w:space="0" w:color="auto"/>
                      </w:tcBorders>
                    </w:tcPr>
                    <w:p w:rsidR="000B526A" w:rsidRDefault="000B526A">
                      <w:pPr>
                        <w:jc w:val="center"/>
                        <w:rPr>
                          <w:szCs w:val="24"/>
                        </w:rPr>
                      </w:pPr>
                    </w:p>
                  </w:tc>
                  <w:tc>
                    <w:tcPr>
                      <w:tcW w:w="3739"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Fiksuotoji norma taikoma, kai priklauso nuo 37 iki 39 d. d. (jeigu dirbama 5 d. d. per savaitę) arba nuo 43 iki 47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B526A">
                  <w:trPr>
                    <w:trHeight w:val="843"/>
                  </w:trPr>
                  <w:tc>
                    <w:tcPr>
                      <w:tcW w:w="34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highlight w:val="yellow"/>
                        </w:rPr>
                      </w:pPr>
                      <w:r>
                        <w:rPr>
                          <w:szCs w:val="24"/>
                        </w:rPr>
                        <w:t>Darbo užmokesčio išlaidų dalis per mėnesį, skirta kasmetinėms atostogoms, kuri apskaičiuojama nuo tinkamų finansuoti faktiškai patirtų darbo užmokesčio išlaidų už faktiškai dirbtą laiką (18,89 proc.)</w:t>
                      </w:r>
                    </w:p>
                  </w:tc>
                  <w:tc>
                    <w:tcPr>
                      <w:tcW w:w="21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FN-05-06</w:t>
                      </w:r>
                    </w:p>
                    <w:p w:rsidR="000B526A" w:rsidRDefault="000B526A">
                      <w:pPr>
                        <w:jc w:val="center"/>
                        <w:rPr>
                          <w:szCs w:val="24"/>
                        </w:rPr>
                      </w:pPr>
                    </w:p>
                  </w:tc>
                  <w:tc>
                    <w:tcPr>
                      <w:tcW w:w="2268" w:type="dxa"/>
                      <w:tcBorders>
                        <w:top w:val="single" w:sz="8" w:space="0" w:color="auto"/>
                        <w:left w:val="single" w:sz="8" w:space="0" w:color="auto"/>
                        <w:bottom w:val="single" w:sz="8" w:space="0" w:color="auto"/>
                        <w:right w:val="single" w:sz="8" w:space="0" w:color="auto"/>
                      </w:tcBorders>
                    </w:tcPr>
                    <w:p w:rsidR="000B526A" w:rsidRDefault="000B526A">
                      <w:pPr>
                        <w:jc w:val="center"/>
                        <w:rPr>
                          <w:szCs w:val="24"/>
                        </w:rPr>
                      </w:pPr>
                    </w:p>
                  </w:tc>
                  <w:tc>
                    <w:tcPr>
                      <w:tcW w:w="3739"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Fiksuotoji norma taikoma, kai priklauso 40 d. d. (jeigu dirbama 5 d. d. per savaitę) arba 48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B526A">
                  <w:trPr>
                    <w:trHeight w:val="843"/>
                  </w:trPr>
                  <w:tc>
                    <w:tcPr>
                      <w:tcW w:w="34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highlight w:val="yellow"/>
                        </w:rPr>
                      </w:pPr>
                      <w:r>
                        <w:rPr>
                          <w:szCs w:val="24"/>
                        </w:rPr>
                        <w:t xml:space="preserve">Darbo užmokesčio išlaidų dalis per mėnesį, skirta kasmetinėms atostogoms, kuri apskaičiuojama nuo tinkamų finansuoti faktiškai patirtų darbo užmokesčio išlaidų </w:t>
                      </w:r>
                      <w:r>
                        <w:rPr>
                          <w:szCs w:val="24"/>
                        </w:rPr>
                        <w:lastRenderedPageBreak/>
                        <w:t>už faktiškai dirbtą laiką (20,02 proc.)</w:t>
                      </w:r>
                    </w:p>
                  </w:tc>
                  <w:tc>
                    <w:tcPr>
                      <w:tcW w:w="2126"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lastRenderedPageBreak/>
                        <w:t>FN-05-07</w:t>
                      </w:r>
                    </w:p>
                    <w:p w:rsidR="000B526A" w:rsidRDefault="000B526A">
                      <w:pPr>
                        <w:jc w:val="center"/>
                        <w:rPr>
                          <w:szCs w:val="24"/>
                        </w:rPr>
                      </w:pPr>
                    </w:p>
                  </w:tc>
                  <w:tc>
                    <w:tcPr>
                      <w:tcW w:w="2268" w:type="dxa"/>
                      <w:tcBorders>
                        <w:top w:val="single" w:sz="8" w:space="0" w:color="auto"/>
                        <w:left w:val="single" w:sz="8" w:space="0" w:color="auto"/>
                        <w:bottom w:val="single" w:sz="8" w:space="0" w:color="auto"/>
                        <w:right w:val="single" w:sz="8" w:space="0" w:color="auto"/>
                      </w:tcBorders>
                    </w:tcPr>
                    <w:p w:rsidR="000B526A" w:rsidRDefault="000B526A">
                      <w:pPr>
                        <w:jc w:val="center"/>
                        <w:rPr>
                          <w:szCs w:val="24"/>
                        </w:rPr>
                      </w:pPr>
                    </w:p>
                  </w:tc>
                  <w:tc>
                    <w:tcPr>
                      <w:tcW w:w="3739"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Fiksuotoji norma taikoma, kai priklauso nuo 41 d. d. (jeigu dirbama 5 d. d. per savaitę) arba nuo 49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rsidR="000B526A" w:rsidRDefault="00A43C09">
                      <w:pPr>
                        <w:jc w:val="center"/>
                        <w:rPr>
                          <w:szCs w:val="24"/>
                        </w:rPr>
                      </w:pPr>
                      <w:r>
                        <w:rPr>
                          <w:szCs w:val="24"/>
                        </w:rPr>
                        <w:t xml:space="preserve">Projektą vykdančio personalo darbo užmokesčio išlaidos už kasmetines atostogas, kurios apskaičiuojamos nuo tinkamų finansuoti faktiškai patirtų </w:t>
                      </w:r>
                      <w:r>
                        <w:rPr>
                          <w:szCs w:val="24"/>
                        </w:rPr>
                        <w:lastRenderedPageBreak/>
                        <w:t>vykdančiojo personalo darbo užmokesčio išlaidų</w:t>
                      </w:r>
                    </w:p>
                  </w:tc>
                </w:tr>
              </w:tbl>
              <w:p w:rsidR="000B526A" w:rsidRDefault="000B526A">
                <w:pPr>
                  <w:jc w:val="both"/>
                  <w:rPr>
                    <w:i/>
                    <w:iCs/>
                    <w:sz w:val="22"/>
                    <w:szCs w:val="22"/>
                  </w:rPr>
                </w:pPr>
              </w:p>
            </w:tc>
          </w:tr>
        </w:tbl>
        <w:p w:rsidR="000B526A" w:rsidRDefault="000B526A">
          <w:pPr>
            <w:spacing w:line="276" w:lineRule="auto"/>
            <w:jc w:val="center"/>
            <w:rPr>
              <w:rFonts w:eastAsia="Calibri"/>
              <w:sz w:val="22"/>
              <w:szCs w:val="22"/>
            </w:rPr>
          </w:pPr>
        </w:p>
        <w:sdt>
          <w:sdtPr>
            <w:alias w:val="pabaiga"/>
            <w:tag w:val="part_24cd5935609440958f98db1b1c0d039e"/>
            <w:id w:val="-2031098989"/>
            <w:lock w:val="sdtLocked"/>
          </w:sdtPr>
          <w:sdtEndPr/>
          <w:sdtContent>
            <w:p w:rsidR="000B526A" w:rsidRDefault="00A43C09">
              <w:pPr>
                <w:spacing w:line="276" w:lineRule="auto"/>
                <w:jc w:val="center"/>
                <w:rPr>
                  <w:szCs w:val="24"/>
                </w:rPr>
              </w:pPr>
              <w:r>
                <w:rPr>
                  <w:rFonts w:eastAsia="Calibri"/>
                  <w:szCs w:val="24"/>
                </w:rPr>
                <w:t>________________</w:t>
              </w:r>
            </w:p>
          </w:sdtContent>
        </w:sdt>
      </w:sdtContent>
    </w:sdt>
    <w:sectPr w:rsidR="000B526A">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851" w:right="678" w:bottom="1134" w:left="1134" w:header="454"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25EB" w:rsidRDefault="004125EB">
      <w:pPr>
        <w:rPr>
          <w:sz w:val="22"/>
          <w:szCs w:val="22"/>
        </w:rPr>
      </w:pPr>
      <w:r>
        <w:rPr>
          <w:sz w:val="22"/>
          <w:szCs w:val="22"/>
        </w:rPr>
        <w:separator/>
      </w:r>
    </w:p>
  </w:endnote>
  <w:endnote w:type="continuationSeparator" w:id="0">
    <w:p w:rsidR="004125EB" w:rsidRDefault="004125EB">
      <w:pPr>
        <w:rPr>
          <w:sz w:val="22"/>
          <w:szCs w:val="22"/>
        </w:rPr>
      </w:pPr>
      <w:r>
        <w:rPr>
          <w:sz w:val="22"/>
          <w:szCs w:val="22"/>
        </w:rPr>
        <w:continuationSeparator/>
      </w:r>
    </w:p>
  </w:endnote>
  <w:endnote w:type="continuationNotice" w:id="1">
    <w:p w:rsidR="004125EB" w:rsidRDefault="004125E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26A" w:rsidRDefault="000B526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26A" w:rsidRDefault="000B526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26A" w:rsidRDefault="000B526A">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25EB" w:rsidRDefault="004125EB">
      <w:pPr>
        <w:rPr>
          <w:sz w:val="22"/>
          <w:szCs w:val="22"/>
        </w:rPr>
      </w:pPr>
      <w:r>
        <w:rPr>
          <w:sz w:val="22"/>
          <w:szCs w:val="22"/>
        </w:rPr>
        <w:separator/>
      </w:r>
    </w:p>
  </w:footnote>
  <w:footnote w:type="continuationSeparator" w:id="0">
    <w:p w:rsidR="004125EB" w:rsidRDefault="004125EB">
      <w:pPr>
        <w:rPr>
          <w:sz w:val="22"/>
          <w:szCs w:val="22"/>
        </w:rPr>
      </w:pPr>
      <w:r>
        <w:rPr>
          <w:sz w:val="22"/>
          <w:szCs w:val="22"/>
        </w:rPr>
        <w:continuationSeparator/>
      </w:r>
    </w:p>
  </w:footnote>
  <w:footnote w:type="continuationNotice" w:id="1">
    <w:p w:rsidR="004125EB" w:rsidRDefault="004125EB">
      <w:pPr>
        <w:rPr>
          <w:sz w:val="22"/>
          <w:szCs w:val="22"/>
        </w:rPr>
      </w:pPr>
    </w:p>
  </w:footnote>
  <w:footnote w:id="2">
    <w:p w:rsidR="000B526A" w:rsidRDefault="00A43C09">
      <w:pPr>
        <w:rPr>
          <w:sz w:val="20"/>
        </w:rPr>
      </w:pPr>
      <w:r>
        <w:rPr>
          <w:sz w:val="20"/>
          <w:vertAlign w:val="superscript"/>
        </w:rPr>
        <w:footnoteRef/>
      </w:r>
      <w:r>
        <w:rPr>
          <w:sz w:val="20"/>
        </w:rPr>
        <w:t xml:space="preserve"> </w:t>
      </w:r>
      <w:r>
        <w:rPr>
          <w:sz w:val="20"/>
          <w:u w:val="single"/>
        </w:rPr>
        <w:t>https://eur-lex.europa.eu/legal-content/LT/TXT/PDF/?uri=CELEX:32021R0241&amp;from=LT.</w:t>
      </w:r>
      <w:r>
        <w:rPr>
          <w:sz w:val="20"/>
        </w:rPr>
        <w:t xml:space="preserve"> </w:t>
      </w:r>
    </w:p>
  </w:footnote>
  <w:footnote w:id="3">
    <w:p w:rsidR="000B526A" w:rsidRDefault="00A43C09">
      <w:pPr>
        <w:rPr>
          <w:sz w:val="20"/>
        </w:rPr>
      </w:pPr>
      <w:r>
        <w:rPr>
          <w:sz w:val="20"/>
          <w:vertAlign w:val="superscript"/>
        </w:rPr>
        <w:footnoteRef/>
      </w:r>
      <w:r>
        <w:rPr>
          <w:sz w:val="20"/>
        </w:rPr>
        <w:t xml:space="preserve"> </w:t>
      </w:r>
      <w:r>
        <w:rPr>
          <w:sz w:val="20"/>
          <w:u w:val="single"/>
        </w:rPr>
        <w:t>https://finmin.lrv.lt/uploads/finmin/documents/files/ST_10477_2021_ADD_1_lt(1).pdf</w:t>
      </w:r>
      <w:r>
        <w:rPr>
          <w:sz w:val="20"/>
        </w:rPr>
        <w:t>.</w:t>
      </w:r>
    </w:p>
  </w:footnote>
  <w:footnote w:id="4">
    <w:p w:rsidR="000B526A" w:rsidRDefault="00A43C09">
      <w:pPr>
        <w:rPr>
          <w:sz w:val="20"/>
        </w:rPr>
      </w:pPr>
      <w:r>
        <w:rPr>
          <w:sz w:val="20"/>
          <w:vertAlign w:val="superscript"/>
        </w:rPr>
        <w:footnoteRef/>
      </w:r>
      <w:r>
        <w:rPr>
          <w:sz w:val="20"/>
        </w:rPr>
        <w:t xml:space="preserve"> </w:t>
      </w:r>
      <w:hyperlink r:id="rId1" w:history="1">
        <w:r>
          <w:rPr>
            <w:sz w:val="20"/>
            <w:u w:val="single"/>
          </w:rPr>
          <w:t>https://www.e-tar.lt/portal/legalAct.html?documentId=14e33320f1ed11ec8fa7d02a65c371ad</w:t>
        </w:r>
      </w:hyperlink>
      <w:r>
        <w:rPr>
          <w:sz w:val="20"/>
        </w:rPr>
        <w:t>.</w:t>
      </w:r>
    </w:p>
  </w:footnote>
  <w:footnote w:id="5">
    <w:p w:rsidR="000B526A" w:rsidRDefault="00A43C09">
      <w:pPr>
        <w:rPr>
          <w:sz w:val="20"/>
        </w:rPr>
      </w:pPr>
      <w:r>
        <w:rPr>
          <w:sz w:val="20"/>
          <w:vertAlign w:val="superscript"/>
        </w:rPr>
        <w:footnoteRef/>
      </w:r>
      <w:r>
        <w:rPr>
          <w:sz w:val="20"/>
        </w:rPr>
        <w:t xml:space="preserve"> </w:t>
      </w:r>
      <w:r>
        <w:rPr>
          <w:sz w:val="20"/>
          <w:u w:val="single"/>
        </w:rPr>
        <w:t>https://e-seimas.lrs.lt/portal/legalAct/lt/TAD/5e3aa191a8e511eb98ccba226c8a14d7/FzwzIeQNIO?jfwid=1acmlegg4k.</w:t>
      </w:r>
      <w:r>
        <w:rPr>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26A" w:rsidRDefault="000B526A">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26A" w:rsidRDefault="00A43C0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13759">
      <w:rPr>
        <w:noProof/>
        <w:szCs w:val="22"/>
      </w:rPr>
      <w:t>4</w:t>
    </w:r>
    <w:r>
      <w:rPr>
        <w:szCs w:val="22"/>
      </w:rPr>
      <w:fldChar w:fldCharType="end"/>
    </w:r>
  </w:p>
  <w:p w:rsidR="000B526A" w:rsidRDefault="000B526A">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26A" w:rsidRDefault="000B526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B526A"/>
    <w:rsid w:val="004125EB"/>
    <w:rsid w:val="00713759"/>
    <w:rsid w:val="00A361B0"/>
    <w:rsid w:val="00A43C0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17CDE3"/>
  <w15:docId w15:val="{B3289408-2D48-411D-BBA6-68255ADC5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semiHidden/>
    <w:unhideWhenUsed/>
    <w:rsid w:val="0071375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66973631">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6" Abbr="6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6" DocPartId="11fc849831a941dab42ea3882083cbf0" PartId="4ce082f6db6e4a9d927917f2b99bb883">
    <Part Type="pabaiga" DocPartId="1a08e40022e341b09a08258ed182d95f" PartId="24cd5935609440958f98db1b1c0d039e"/>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Švietimo projektų skyrius|4d6950ba-bddb-4d59-b4f2-90fff673db9b;Procesų valdymo skyrius|1d2453fc-c175-46b4-b9fe-6151c1a059d8;Finansų skyrius|7d9d544b-d496-4126-a894-fd0e68da2d8e</j6fdf40a0e1e4c27b9444f6dc0ea131b>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BA474B00-66CD-47DE-8AE5-02A7542BE5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F152DBD-7B3C-4547-A601-BE2EBABC7CC9}">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91F26CD2-65F9-4F32-BAD2-8E97A27D9132}">
  <ds:schemaRefs>
    <ds:schemaRef ds:uri="http://schemas.openxmlformats.org/officeDocument/2006/bibliography"/>
  </ds:schemaRefs>
</ds:datastoreItem>
</file>

<file path=customXml/itemProps6.xml><?xml version="1.0" encoding="utf-8"?>
<ds:datastoreItem xmlns:ds="http://schemas.openxmlformats.org/officeDocument/2006/customXml" ds:itemID="{0B328FEE-3644-42E0-8ECC-4DB6AA218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13910</Words>
  <Characters>7930</Characters>
  <Application>Microsoft Office Word</Application>
  <DocSecurity>0</DocSecurity>
  <Lines>66</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6d96d6af-5e5f-42f1-a78d-3b1bd451734b</vt:lpstr>
      <vt:lpstr>6d96d6af-5e5f-42f1-a78d-3b1bd451734b</vt:lpstr>
    </vt:vector>
  </TitlesOfParts>
  <Company>HP Inc.</Company>
  <LinksUpToDate>false</LinksUpToDate>
  <CharactersWithSpaces>21797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6d96d6af-5e5f-42f1-a78d-3b1bd451734b</dc:title>
  <dc:creator>Virginija Levinskienė</dc:creator>
  <cp:lastModifiedBy>ŠAULYTĖ SKAIRIENĖ Dalia</cp:lastModifiedBy>
  <cp:revision>3</cp:revision>
  <dcterms:created xsi:type="dcterms:W3CDTF">2023-07-07T08:17:00Z</dcterms:created>
  <dcterms:modified xsi:type="dcterms:W3CDTF">2026-02-13T06:29:00Z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
  </property>
  <property fmtid="{D5CDD505-2E9C-101B-9397-08002B2CF9AE}" pid="7" name="DmsPermissionsUsers">
    <vt:lpwstr>109;#Giedrius Lapėnas;#120;#Ričardas Šokaitis;#63;#Eglė Vizbarė;#1119;#Mantas Bernotas;#166;#Margarita Kairienė</vt:lpwstr>
  </property>
  <property fmtid="{D5CDD505-2E9C-101B-9397-08002B2CF9AE}" pid="8" name="DmsDocPrepDocSendRegReal">
    <vt:bool>false</vt:bool>
  </property>
</Properties>
</file>