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1 pr."/>
        <w:tag w:val="part_ffac5df1c5414dac84721be7ab9e5101"/>
        <w:lock w:val="sdtLocked"/>
        <w:richText/>
      </w:sdtPr>
      <w:sdtContent>
        <w:p>
          <w:pPr>
            <w:tabs>
              <w:tab w:val="center" w:pos="4986"/>
              <w:tab w:val="right" w:pos="9972"/>
            </w:tabs>
          </w:pPr>
        </w:p>
        <w:p>
          <w:pPr>
            <w:tabs>
              <w:tab w:val="center" w:pos="4986"/>
              <w:tab w:val="right" w:pos="9972"/>
            </w:tabs>
            <w:rPr>
              <w:sz w:val="8"/>
              <w:szCs w:val="8"/>
            </w:rPr>
          </w:pPr>
        </w:p>
        <w:p>
          <w:pPr>
            <w:ind w:left="8222" w:right="281"/>
            <w:jc w:val="both"/>
            <w:rPr>
              <w:szCs w:val="24"/>
            </w:rPr>
          </w:pPr>
          <w:r>
            <w:rPr>
              <w:szCs w:val="24"/>
            </w:rPr>
            <w:t xml:space="preserve">5 priedo „2021–2030 m. plėtros programos valdytojos Lietuvos Respublikos švietimo, mokslo ir sporto ministerijos švietimo plėtros programos pažangos priemonės Nr. 12-003-03-04-03 „Sukurti rinkos poreikius atliepiančią profesinio ugdymo sistemą“ projektų finansavimo sąlygų aprašo Nr. 5“ </w:t>
          </w:r>
        </w:p>
        <w:p>
          <w:pPr>
            <w:ind w:left="8222"/>
            <w:rPr>
              <w:szCs w:val="24"/>
            </w:rPr>
          </w:pPr>
          <w:sdt>
            <w:sdtPr>
              <w:alias w:val="Numeris"/>
              <w:tag w:val="nr_ffac5df1c5414dac84721be7ab9e5101"/>
              <w:lock w:val="sdtLocked"/>
              <w:richText/>
            </w:sdtPr>
            <w:sdtContent>
              <w:r>
                <w:rPr>
                  <w:szCs w:val="24"/>
                </w:rPr>
                <w:t>1</w:t>
              </w:r>
            </w:sdtContent>
          </w:sdt>
          <w:r>
            <w:rPr>
              <w:szCs w:val="24"/>
            </w:rPr>
            <w:t xml:space="preserve"> priedas</w:t>
          </w:r>
        </w:p>
        <w:p>
          <w:pPr>
            <w:ind w:left="8931"/>
            <w:jc w:val="both"/>
            <w:textAlignment w:val="baseline"/>
            <w:rPr>
              <w:color w:val="000000"/>
              <w:szCs w:val="24"/>
              <w:lang w:eastAsia="lt-LT"/>
            </w:rPr>
          </w:pPr>
        </w:p>
        <w:p>
          <w:pPr>
            <w:jc w:val="center"/>
            <w:rPr>
              <w:color w:val="000000"/>
              <w:szCs w:val="24"/>
              <w:lang w:eastAsia="lt-LT"/>
            </w:rPr>
          </w:pPr>
        </w:p>
        <w:p>
          <w:pPr>
            <w:jc w:val="center"/>
            <w:rPr>
              <w:rFonts w:eastAsia="Calibri"/>
              <w:b/>
              <w:bCs/>
              <w:szCs w:val="24"/>
            </w:rPr>
          </w:pPr>
        </w:p>
        <w:p>
          <w:pPr>
            <w:jc w:val="center"/>
            <w:rPr>
              <w:rFonts w:eastAsia="Calibri"/>
              <w:b/>
              <w:bCs/>
              <w:szCs w:val="24"/>
            </w:rPr>
          </w:pPr>
          <w:sdt>
            <w:sdtPr>
              <w:alias w:val="Pavadinimas"/>
              <w:tag w:val="title_ffac5df1c5414dac84721be7ab9e5101"/>
              <w:lock w:val="sdtLocked"/>
              <w:richText/>
            </w:sdtPr>
            <w:sdtContent>
              <w:r>
                <w:rPr>
                  <w:rFonts w:eastAsia="Calibri"/>
                  <w:b/>
                  <w:bCs/>
                  <w:szCs w:val="24"/>
                </w:rPr>
                <w:t>PROJEKTO (ĮSKAITANT JUNGTINĮ PROJEKTĄ) ATITIKTIES REIKŠMINGOS ŽALOS NEDARYMO HORIZONTALIAJAM PRINCIPUI VERTINIMO REIKALAVIMŲ APRAŠAS</w:t>
              </w:r>
            </w:sdtContent>
          </w:sdt>
        </w:p>
        <w:p>
          <w:pPr>
            <w:jc w:val="center"/>
            <w:rPr>
              <w:rFonts w:eastAsia="Calibri"/>
              <w:b/>
              <w:bCs/>
              <w:szCs w:val="24"/>
            </w:rPr>
          </w:pPr>
        </w:p>
        <w:p>
          <w:pPr>
            <w:spacing w:line="276" w:lineRule="auto"/>
            <w:jc w:val="both"/>
            <w:rPr>
              <w:rFonts w:eastAsia="Calibri"/>
              <w:bCs/>
              <w:szCs w:val="24"/>
            </w:rPr>
          </w:pPr>
          <w:r>
            <w:rPr>
              <w:rFonts w:eastAsia="Calibri"/>
              <w:bCs/>
              <w:szCs w:val="24"/>
            </w:rPr>
            <w:t>Finansavimo šaltinis, pagal kurį finansuojamas projektas (</w:t>
          </w:r>
          <w:r>
            <w:rPr>
              <w:rFonts w:eastAsia="Calibri"/>
              <w:bCs/>
              <w:i/>
              <w:szCs w:val="24"/>
            </w:rPr>
            <w:t>pažymėkite tinkamą</w:t>
          </w:r>
          <w:r>
            <w:rPr>
              <w:rFonts w:eastAsia="Calibri"/>
              <w:bCs/>
              <w:szCs w:val="24"/>
            </w:rPr>
            <w:t>):</w:t>
          </w:r>
        </w:p>
        <w:p>
          <w:pPr>
            <w:spacing w:line="276" w:lineRule="auto"/>
            <w:jc w:val="both"/>
            <w:rPr>
              <w:rFonts w:eastAsia="Calibri"/>
              <w:bCs/>
              <w:szCs w:val="24"/>
            </w:rPr>
          </w:pPr>
          <w:r>
            <w:rPr>
              <w:rFonts w:ascii="Wingdings 2" w:eastAsia="Wingdings 2" w:hAnsi="Wingdings 2" w:cs="Wingdings 2"/>
            </w:rPr>
            <w:t></w:t>
          </w:r>
          <w:r>
            <w:t xml:space="preserve"> </w:t>
          </w:r>
          <w:r>
            <w:rPr>
              <w:rFonts w:eastAsia="Calibri"/>
              <w:bCs/>
              <w:szCs w:val="24"/>
            </w:rPr>
            <w:t>Ekonomikos gaivinimo ir atsparumo didinimo priemonė (toliau – EGADP);</w:t>
          </w:r>
        </w:p>
        <w:p>
          <w:pPr>
            <w:spacing w:line="276" w:lineRule="auto"/>
            <w:jc w:val="both"/>
            <w:rPr>
              <w:rFonts w:eastAsia="Calibri"/>
              <w:bCs/>
              <w:szCs w:val="24"/>
            </w:rPr>
          </w:pPr>
          <w:r>
            <w:rPr>
              <w:rFonts w:ascii="Wingdings 2" w:eastAsia="Wingdings 2" w:hAnsi="Wingdings 2" w:cs="Wingdings 2"/>
            </w:rPr>
            <w:t></w:t>
          </w:r>
          <w:r>
            <w:t xml:space="preserve"> Europos Sąjungos fondų i</w:t>
          </w:r>
          <w:r>
            <w:rPr>
              <w:rFonts w:eastAsia="Calibri"/>
              <w:bCs/>
              <w:szCs w:val="24"/>
            </w:rPr>
            <w:t>nvesticijų programa (toliau – ESIP).</w:t>
          </w:r>
        </w:p>
        <w:p>
          <w:pPr>
            <w:spacing w:line="276" w:lineRule="auto"/>
            <w:jc w:val="both"/>
            <w:rPr>
              <w:rFonts w:eastAsia="Calibri"/>
              <w:bCs/>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791"/>
            <w:gridCol w:w="4549"/>
            <w:gridCol w:w="5220"/>
          </w:tblGrid>
          <w:tr>
            <w:tc>
              <w:tcPr>
                <w:tcW w:w="4933" w:type="dxa"/>
              </w:tcPr>
              <w:p>
                <w:pPr>
                  <w:jc w:val="center"/>
                  <w:rPr>
                    <w:rFonts w:eastAsia="Calibri"/>
                    <w:b/>
                    <w:szCs w:val="24"/>
                  </w:rPr>
                </w:pPr>
                <w:r>
                  <w:rPr>
                    <w:rFonts w:eastAsia="Calibri"/>
                    <w:b/>
                    <w:szCs w:val="24"/>
                  </w:rPr>
                  <w:t>Aplinkos tikslai</w:t>
                </w:r>
              </w:p>
              <w:p>
                <w:pPr>
                  <w:jc w:val="both"/>
                  <w:rPr>
                    <w:rFonts w:eastAsia="Calibri"/>
                    <w:b/>
                    <w:szCs w:val="24"/>
                  </w:rPr>
                </w:pPr>
                <w:r>
                  <w:rPr>
                    <w:rFonts w:eastAsia="Calibri"/>
                    <w:szCs w:val="24"/>
                  </w:rPr>
                  <w:t>(</w:t>
                </w:r>
                <w:r>
                  <w:rPr>
                    <w:rFonts w:eastAsia="Calibri"/>
                    <w:i/>
                    <w:szCs w:val="24"/>
                  </w:rPr>
                  <w:t xml:space="preserve">pagal 2020 m. birželio 18 d. Europos Parlamento ir Tarybos reglamentą </w:t>
                </w:r>
                <w:fldSimple w:instr="HYPERLINK http://eur-lex.europa.eu/legal-content/LIT/TXT/?uri=CELEX:32852R2020&amp;locale=lt \t _blank">
                  <w:r>
                    <w:rPr>
                      <w:rFonts w:eastAsia="Calibri"/>
                      <w:i/>
                      <w:szCs w:val="24"/>
                      <w:u w:val="single"/>
                      <w:color w:val="0000FF" w:themeColor="hyperlink"/>
                    </w:rPr>
                    <w:t>(ES) Nr. 2020/852</w:t>
                  </w:r>
                </w:fldSimple>
                <w:r>
                  <w:rPr>
                    <w:rFonts w:eastAsia="Calibri"/>
                    <w:i/>
                    <w:szCs w:val="24"/>
                  </w:rPr>
                  <w:t xml:space="preserve"> dėl sistemos tvariam investavimui palengvinti sukūrimo, kuriuo iš dalies keičiamas Reglamentas </w:t>
                </w:r>
                <w:fldSimple w:instr="HYPERLINK http://eur-lex.europa.eu/legal-content/LIT/TXT/?uri=CELEX:32088R2019&amp;locale=lt \t _blank">
                  <w:r>
                    <w:rPr>
                      <w:rFonts w:eastAsia="Calibri"/>
                      <w:i/>
                      <w:szCs w:val="24"/>
                      <w:u w:val="single"/>
                      <w:color w:val="0000FF" w:themeColor="hyperlink"/>
                    </w:rPr>
                    <w:t>(ES) Nr. 2019/2088</w:t>
                  </w:r>
                </w:fldSimple>
                <w:r>
                  <w:rPr>
                    <w:rFonts w:eastAsia="Calibri"/>
                    <w:i/>
                    <w:szCs w:val="24"/>
                  </w:rPr>
                  <w:t>)</w:t>
                </w:r>
              </w:p>
            </w:tc>
            <w:tc>
              <w:tcPr>
                <w:tcW w:w="4678" w:type="dxa"/>
              </w:tcPr>
              <w:p>
                <w:pPr>
                  <w:jc w:val="center"/>
                  <w:rPr>
                    <w:rFonts w:eastAsia="Calibri"/>
                    <w:b/>
                    <w:szCs w:val="24"/>
                  </w:rPr>
                </w:pPr>
                <w:r>
                  <w:rPr>
                    <w:rFonts w:eastAsia="Calibri"/>
                    <w:b/>
                    <w:szCs w:val="24"/>
                  </w:rPr>
                  <w:t>Pagrindimas</w:t>
                </w:r>
              </w:p>
              <w:p>
                <w:pPr>
                  <w:jc w:val="both"/>
                  <w:rPr>
                    <w:rFonts w:eastAsia="Calibri"/>
                    <w:b/>
                    <w:szCs w:val="24"/>
                  </w:rPr>
                </w:pPr>
                <w:r>
                  <w:rPr>
                    <w:rFonts w:eastAsia="Calibri"/>
                    <w:bCs/>
                    <w:i/>
                    <w:szCs w:val="24"/>
                  </w:rPr>
                  <w:t>(remiantis priemonių (kai finansavimo šaltinis EGADP) arba veiksmų (veiklų) (kai finansavimo šaltinis ESIFP) vertinimo klausimynais, nurodykite tik tą klausimyno vertinimo dalį, kuri aktuali finansuotinai veiklai)</w:t>
                </w:r>
              </w:p>
            </w:tc>
            <w:tc>
              <w:tcPr>
                <w:tcW w:w="5387" w:type="dxa"/>
              </w:tcPr>
              <w:p>
                <w:pPr>
                  <w:jc w:val="center"/>
                  <w:rPr>
                    <w:rFonts w:eastAsia="Calibri"/>
                    <w:i/>
                    <w:sz w:val="20"/>
                  </w:rPr>
                </w:pPr>
                <w:r>
                  <w:rPr>
                    <w:rFonts w:eastAsia="Calibri"/>
                    <w:b/>
                    <w:szCs w:val="24"/>
                  </w:rPr>
                  <w:t>Pagrindimo dokumentai</w:t>
                </w:r>
              </w:p>
              <w:p>
                <w:pPr>
                  <w:jc w:val="both"/>
                  <w:rPr>
                    <w:rFonts w:eastAsia="Calibri"/>
                    <w:i/>
                    <w:szCs w:val="24"/>
                  </w:rPr>
                </w:pPr>
                <w:r>
                  <w:rPr>
                    <w:rFonts w:eastAsia="Calibri"/>
                    <w:i/>
                    <w:szCs w:val="24"/>
                  </w:rPr>
                  <w:t>(nurodomas dokumentas, kuris bus vertinamas siekiant įvertinti projekto atitiktį aplinkos tikslams, arba pateikiama šią atitiktį pagrindžianti informacija)</w:t>
                </w:r>
              </w:p>
            </w:tc>
          </w:tr>
          <w:tr>
            <w:tc>
              <w:tcPr>
                <w:tcW w:w="4933" w:type="dxa"/>
              </w:tcPr>
              <w:p>
                <w:pPr>
                  <w:tabs>
                    <w:tab w:val="left" w:pos="289"/>
                  </w:tabs>
                  <w:ind w:firstLine="5"/>
                  <w:jc w:val="both"/>
                  <w:rPr>
                    <w:rFonts w:eastAsia="Calibri"/>
                    <w:szCs w:val="24"/>
                  </w:rPr>
                </w:pPr>
                <w:r>
                  <w:rPr>
                    <w:rFonts w:eastAsia="Calibri"/>
                    <w:szCs w:val="24"/>
                  </w:rPr>
                  <w:t>1.</w:t>
                  <w:tab/>
                  <w:t>Klimato kaitos švelninimas</w:t>
                </w:r>
              </w:p>
            </w:tc>
            <w:tc>
              <w:tcPr>
                <w:tcW w:w="4678" w:type="dxa"/>
              </w:tcPr>
              <w:p>
                <w:pPr>
                  <w:jc w:val="both"/>
                  <w:rPr>
                    <w:rFonts w:eastAsia="Calibri"/>
                    <w:szCs w:val="24"/>
                  </w:rPr>
                </w:pPr>
                <w:r>
                  <w:rPr>
                    <w:rFonts w:eastAsia="Calibri"/>
                    <w:szCs w:val="24"/>
                  </w:rPr>
                  <w:t xml:space="preserve">Vertinama, kad planuojama įgyvendinti priemonė neturi jokio numatomo poveikio šiam aplinkos tikslui arba numatomas jos poveikis yra nereikšmingas, t. y. neplanuojama, kad įgyvendinama priemonė prisidės prie išmetamų šiltnamio efektą sukeliančių dujų (ŠESD) išsiskyrimo. Planuojama priemonės veikla (pagal savo pobūdį) neturi jokio tiesioginio ar netiesioginio neigiamo poveikio šiam aplinkos tikslui. Bus atnaujinamos / rengiamos profesinio mokymo formaliosios programos; vykdomas profesijos mokytojų, įmonių / įstaigų meistrų kvalifikacijos tobulinimas. Ši veikla neturės jokio neigiamo tiesioginio ar netiesioginio poveikio klimato kaitos švelninimo tikslui, nes nenumatoma, kad įgyvendinant veiklas galėtų būti ŠESD išsiskyrimas.    </w:t>
                </w:r>
              </w:p>
            </w:tc>
            <w:tc>
              <w:tcPr>
                <w:tcW w:w="5387" w:type="dxa"/>
              </w:tcPr>
              <w:p>
                <w:pPr>
                  <w:tabs>
                    <w:tab w:val="left" w:pos="589"/>
                  </w:tabs>
                  <w:jc w:val="both"/>
                  <w:rPr>
                    <w:rFonts w:eastAsia="Calibri"/>
                    <w:szCs w:val="24"/>
                  </w:rPr>
                </w:pPr>
                <w:r>
                  <w:rPr>
                    <w:rFonts w:eastAsia="Calibri"/>
                    <w:szCs w:val="24"/>
                  </w:rPr>
                  <w:t>Netaikoma, nes priemonės veiklos yra nukreiptos į profesinio mokymo formaliųjų programų atnaujinimą / rengimą; profesijos mokytojų, įmonių, įstaigų meistrų kvalifikacijos tobulinimą.</w:t>
                </w:r>
              </w:p>
            </w:tc>
          </w:tr>
          <w:tr>
            <w:tc>
              <w:tcPr>
                <w:tcW w:w="4933" w:type="dxa"/>
              </w:tcPr>
              <w:p>
                <w:pPr>
                  <w:tabs>
                    <w:tab w:val="left" w:pos="289"/>
                  </w:tabs>
                  <w:ind w:firstLine="5"/>
                  <w:jc w:val="both"/>
                  <w:rPr>
                    <w:rFonts w:eastAsia="Calibri"/>
                    <w:szCs w:val="24"/>
                  </w:rPr>
                </w:pPr>
                <w:r>
                  <w:rPr>
                    <w:rFonts w:eastAsia="Calibri"/>
                    <w:szCs w:val="24"/>
                  </w:rPr>
                  <w:t>2.</w:t>
                  <w:tab/>
                  <w:t>Prisitaikymas prie klimato kaitos</w:t>
                </w:r>
              </w:p>
            </w:tc>
            <w:tc>
              <w:tcPr>
                <w:tcW w:w="4678" w:type="dxa"/>
              </w:tcPr>
              <w:p>
                <w:pPr>
                  <w:jc w:val="both"/>
                  <w:rPr>
                    <w:rFonts w:eastAsia="Calibri"/>
                  </w:rPr>
                </w:pPr>
                <w:r>
                  <w:rPr>
                    <w:rFonts w:eastAsia="Calibri"/>
                  </w:rPr>
                  <w:t>Vertinama, kad planuojama įgyvendinti priemonė neturi jokio numatomo poveikio šiam aplinkos tikslui arba numatomas jos poveikis yra nereikšmingas, t. y. neplanuojama, kad įgyvendinama priemonė didina neigiamą dabartinio ir ateities klimato poveikį ar daro neigiamą poveikį žmonėms, gamtai ar turtui: priemonės veiklos (pagal savo pobūdį) neturi jokio tiesioginio ar netiesioginio neigiamo poveikio šiam aplinkos tikslui.</w:t>
                </w:r>
              </w:p>
            </w:tc>
            <w:tc>
              <w:tcPr>
                <w:tcW w:w="5387" w:type="dxa"/>
              </w:tcPr>
              <w:p>
                <w:pPr>
                  <w:tabs>
                    <w:tab w:val="left" w:pos="589"/>
                  </w:tabs>
                  <w:jc w:val="both"/>
                  <w:rPr>
                    <w:rFonts w:eastAsia="Calibri"/>
                    <w:szCs w:val="24"/>
                  </w:rPr>
                </w:pPr>
                <w:r>
                  <w:rPr>
                    <w:rFonts w:eastAsia="Calibri"/>
                    <w:szCs w:val="24"/>
                  </w:rPr>
                  <w:t>Netaikoma, nes priemonės veiklos yra nukreiptos į profesinio mokymo formaliųjų programų atnaujinimą / rengimą; profesijos mokytojų, įmonių, įstaigų meistrų kvalifikacijos tobulinimą.</w:t>
                </w:r>
              </w:p>
              <w:p>
                <w:pPr>
                  <w:tabs>
                    <w:tab w:val="left" w:pos="589"/>
                  </w:tabs>
                  <w:jc w:val="both"/>
                  <w:rPr>
                    <w:rFonts w:eastAsia="Calibri"/>
                    <w:szCs w:val="24"/>
                  </w:rPr>
                </w:pPr>
              </w:p>
              <w:p>
                <w:pPr>
                  <w:tabs>
                    <w:tab w:val="left" w:pos="589"/>
                  </w:tabs>
                  <w:jc w:val="both"/>
                  <w:rPr>
                    <w:rFonts w:eastAsia="Calibri"/>
                    <w:b/>
                    <w:bCs/>
                  </w:rPr>
                </w:pPr>
              </w:p>
            </w:tc>
          </w:tr>
          <w:tr>
            <w:tc>
              <w:tcPr>
                <w:tcW w:w="4933" w:type="dxa"/>
              </w:tcPr>
              <w:p>
                <w:pPr>
                  <w:tabs>
                    <w:tab w:val="left" w:pos="289"/>
                  </w:tabs>
                  <w:ind w:firstLine="5"/>
                  <w:jc w:val="both"/>
                  <w:rPr>
                    <w:rFonts w:eastAsia="Calibri"/>
                    <w:szCs w:val="24"/>
                  </w:rPr>
                </w:pPr>
                <w:r>
                  <w:rPr>
                    <w:rFonts w:eastAsia="Calibri"/>
                    <w:szCs w:val="24"/>
                  </w:rPr>
                  <w:t>3.</w:t>
                  <w:tab/>
                  <w:t>Tausus vandens ir jūrų išteklių naudojimas ir apsauga</w:t>
                </w:r>
              </w:p>
            </w:tc>
            <w:tc>
              <w:tcPr>
                <w:tcW w:w="4678" w:type="dxa"/>
              </w:tcPr>
              <w:p>
                <w:pPr>
                  <w:jc w:val="both"/>
                  <w:rPr>
                    <w:rFonts w:eastAsia="Calibri"/>
                    <w:b/>
                    <w:bCs/>
                  </w:rPr>
                </w:pPr>
                <w:r>
                  <w:rPr>
                    <w:rFonts w:eastAsia="Calibri"/>
                  </w:rPr>
                  <w:t>Vertinama, kad planuojama įgyvendinti priemonė neturi jokio numatomo poveikio šiam aplinkos tikslui arba numatomas jos poveikis yra nereikšmingas, t. y. nedaro tiesioginio ir pirminio netiesioginio poveikio per visą gyvavimo ciklą, ir laikoma, kad ji atitinka tausaus išteklių naudojimo ir apsaugos tikslą. Įgyvendinant priemonę nenumatoma kurti jokios infrastruktūros, kuri galėtų turėti poveikį tausiam vandens ir jūrų išteklių naudojimui: veiklos (pagal savo pobūdį) neturi jokio tiesioginio ar netiesioginio neigiamo poveikio šiam aplinkos tikslui.</w:t>
                </w:r>
                <w:r>
                  <w:rPr>
                    <w:rFonts w:eastAsia="Calibri"/>
                    <w:b/>
                    <w:bCs/>
                  </w:rPr>
                  <w:t xml:space="preserve">  </w:t>
                </w:r>
              </w:p>
            </w:tc>
            <w:tc>
              <w:tcPr>
                <w:tcW w:w="5387" w:type="dxa"/>
              </w:tcPr>
              <w:p>
                <w:pPr>
                  <w:tabs>
                    <w:tab w:val="left" w:pos="589"/>
                  </w:tabs>
                  <w:jc w:val="both"/>
                  <w:rPr>
                    <w:rFonts w:eastAsia="Calibri"/>
                    <w:szCs w:val="24"/>
                  </w:rPr>
                </w:pPr>
                <w:r>
                  <w:rPr>
                    <w:rFonts w:eastAsia="Calibri"/>
                    <w:szCs w:val="24"/>
                  </w:rPr>
                  <w:t>Netaikoma, nes priemonės veiklos yra nukreiptos į profesinio mokymo formaliųjų programų atnaujinimą / rengimą; profesijos mokytojų, įmonių, įstaigų meistrų kvalifikacijos tobulinimą.</w:t>
                </w:r>
              </w:p>
              <w:p>
                <w:pPr>
                  <w:tabs>
                    <w:tab w:val="left" w:pos="589"/>
                  </w:tabs>
                  <w:jc w:val="both"/>
                  <w:rPr>
                    <w:rFonts w:eastAsia="Calibri"/>
                  </w:rPr>
                </w:pPr>
              </w:p>
            </w:tc>
          </w:tr>
          <w:tr>
            <w:tc>
              <w:tcPr>
                <w:tcW w:w="4933" w:type="dxa"/>
              </w:tcPr>
              <w:p>
                <w:pPr>
                  <w:tabs>
                    <w:tab w:val="left" w:pos="289"/>
                  </w:tabs>
                  <w:ind w:firstLine="5"/>
                  <w:jc w:val="both"/>
                  <w:rPr>
                    <w:rFonts w:eastAsia="Calibri"/>
                    <w:szCs w:val="24"/>
                  </w:rPr>
                </w:pPr>
                <w:r>
                  <w:rPr>
                    <w:rFonts w:eastAsia="Calibri"/>
                    <w:szCs w:val="24"/>
                  </w:rPr>
                  <w:t>4.</w:t>
                  <w:tab/>
                  <w:t>Perėjimas prie žiedinės ekonomikos, įskaitant atliekų prevenciją ir perdirbimą</w:t>
                </w:r>
              </w:p>
            </w:tc>
            <w:tc>
              <w:tcPr>
                <w:tcW w:w="4678" w:type="dxa"/>
              </w:tcPr>
              <w:p>
                <w:pPr>
                  <w:jc w:val="both"/>
                  <w:rPr>
                    <w:rFonts w:eastAsia="Calibri"/>
                  </w:rPr>
                </w:pPr>
                <w:r>
                  <w:rPr>
                    <w:rFonts w:eastAsia="Calibri"/>
                  </w:rPr>
                  <w:t xml:space="preserve">Vertinama, kad planuojama įgyvendinti  priemonė neturi jokio numatomo poveikio šiam aplinkos tikslui arba numatomas jos poveikis yra nereikšmingas, kadangi įgyvendinant reformas ir investicijas nenumatoma kurti infrastruktūros, kuri daro žalą žiedinei ekonomikai, įskaitant atliekų prevenciją ir perdirbimą: veiklos (pagal savo pobūdį) neturi jokio tiesioginio ar netiesioginio neigiamo poveikio šiam aplinkos tikslui.  </w:t>
                </w:r>
              </w:p>
            </w:tc>
            <w:tc>
              <w:tcPr>
                <w:tcW w:w="5387" w:type="dxa"/>
              </w:tcPr>
              <w:p>
                <w:pPr>
                  <w:tabs>
                    <w:tab w:val="left" w:pos="589"/>
                  </w:tabs>
                  <w:jc w:val="both"/>
                  <w:rPr>
                    <w:rFonts w:eastAsia="Calibri"/>
                    <w:szCs w:val="24"/>
                  </w:rPr>
                </w:pPr>
                <w:r>
                  <w:rPr>
                    <w:rFonts w:eastAsia="Calibri"/>
                    <w:szCs w:val="24"/>
                  </w:rPr>
                  <w:t>Netaikoma, nes priemonės veiklos yra nukreiptos į profesinio mokymo formaliųjų programų atnaujinimą / rengimą; profesijos mokytojų, įmonių, įstaigų meistrų kvalifikacijos tobulinimą.</w:t>
                </w:r>
              </w:p>
              <w:p>
                <w:pPr>
                  <w:tabs>
                    <w:tab w:val="left" w:pos="589"/>
                  </w:tabs>
                  <w:jc w:val="both"/>
                  <w:rPr>
                    <w:rFonts w:eastAsia="Calibri"/>
                  </w:rPr>
                </w:pPr>
              </w:p>
            </w:tc>
          </w:tr>
          <w:tr>
            <w:tc>
              <w:tcPr>
                <w:tcW w:w="4933" w:type="dxa"/>
              </w:tcPr>
              <w:p>
                <w:pPr>
                  <w:tabs>
                    <w:tab w:val="left" w:pos="289"/>
                  </w:tabs>
                  <w:ind w:firstLine="5"/>
                  <w:jc w:val="both"/>
                  <w:rPr>
                    <w:rFonts w:eastAsia="Calibri"/>
                    <w:szCs w:val="24"/>
                  </w:rPr>
                </w:pPr>
                <w:r>
                  <w:rPr>
                    <w:rFonts w:eastAsia="Calibri"/>
                    <w:szCs w:val="24"/>
                  </w:rPr>
                  <w:t>5.</w:t>
                  <w:tab/>
                </w:r>
                <w:r>
                  <w:rPr>
                    <w:rFonts w:eastAsia="Calibri"/>
                    <w:bCs/>
                    <w:szCs w:val="24"/>
                  </w:rPr>
                  <w:t>Oro, vandens ar žemės taršos prevencija ir kontrolė</w:t>
                </w:r>
              </w:p>
            </w:tc>
            <w:tc>
              <w:tcPr>
                <w:tcW w:w="4678" w:type="dxa"/>
              </w:tcPr>
              <w:p>
                <w:pPr>
                  <w:jc w:val="both"/>
                  <w:rPr>
                    <w:rFonts w:eastAsia="Calibri"/>
                  </w:rPr>
                </w:pPr>
                <w:r>
                  <w:rPr>
                    <w:rFonts w:eastAsia="Calibri"/>
                  </w:rPr>
                  <w:t xml:space="preserve">Vertinama, kad planuojama įgyvendinti priemonė neturi jokio numatomo poveikio šiam aplinkos tikslui arba numatomas jos poveikis yra nereikšmingas, t. y. nedaro tiesioginio ir pirminio netiesioginio poveikio per visą gyvavimo ciklą, ir laikoma, kad ji atitinka oro, vandens ar žemės taršos prevencijos ir kontrolės tikslą: įgyvendinant priemonę nenumatoma kurti infrastruktūros, kuri turėtų įtakos didelei oro, vandens ir dirvožemio taršai susidaryti: veiklos (pagal savo pobūdį) neturi jokio tiesioginio ar netiesioginio neigiamo poveikio šiam aplinkos tikslui.   </w:t>
                </w:r>
              </w:p>
            </w:tc>
            <w:tc>
              <w:tcPr>
                <w:tcW w:w="5387" w:type="dxa"/>
              </w:tcPr>
              <w:p>
                <w:pPr>
                  <w:tabs>
                    <w:tab w:val="left" w:pos="589"/>
                  </w:tabs>
                  <w:jc w:val="both"/>
                  <w:rPr>
                    <w:rFonts w:eastAsia="Calibri"/>
                    <w:szCs w:val="24"/>
                  </w:rPr>
                </w:pPr>
                <w:r>
                  <w:rPr>
                    <w:rFonts w:eastAsia="Calibri"/>
                    <w:szCs w:val="24"/>
                  </w:rPr>
                  <w:t>Netaikoma, nes priemonės veiklos yra nukreiptos į profesinio mokymo formaliųjų programų atnaujinimą / rengimą; profesijos mokytojų, įmonių, įstaigų meistrų kvalifikacijos tobulinimą.</w:t>
                </w:r>
              </w:p>
              <w:p>
                <w:pPr>
                  <w:tabs>
                    <w:tab w:val="left" w:pos="589"/>
                  </w:tabs>
                  <w:jc w:val="both"/>
                  <w:rPr>
                    <w:rFonts w:eastAsia="Calibri"/>
                  </w:rPr>
                </w:pPr>
              </w:p>
            </w:tc>
          </w:tr>
          <w:tr>
            <w:tc>
              <w:tcPr>
                <w:tcW w:w="4933" w:type="dxa"/>
              </w:tcPr>
              <w:p>
                <w:pPr>
                  <w:tabs>
                    <w:tab w:val="left" w:pos="289"/>
                  </w:tabs>
                  <w:ind w:left="5" w:firstLine="5"/>
                  <w:jc w:val="both"/>
                  <w:rPr>
                    <w:rFonts w:eastAsia="Calibri"/>
                    <w:szCs w:val="24"/>
                  </w:rPr>
                </w:pPr>
                <w:r>
                  <w:rPr>
                    <w:rFonts w:eastAsia="Calibri"/>
                    <w:szCs w:val="24"/>
                  </w:rPr>
                  <w:t>6.</w:t>
                  <w:tab/>
                  <w:t>Biologinės įvairovės ir ekosistemų apsauga ir atkūrimas</w:t>
                </w:r>
              </w:p>
            </w:tc>
            <w:tc>
              <w:tcPr>
                <w:tcW w:w="4678" w:type="dxa"/>
              </w:tcPr>
              <w:p>
                <w:pPr>
                  <w:jc w:val="both"/>
                  <w:rPr>
                    <w:rFonts w:eastAsia="Calibri"/>
                  </w:rPr>
                </w:pPr>
                <w:r>
                  <w:rPr>
                    <w:rFonts w:eastAsia="Calibri"/>
                  </w:rPr>
                  <w:t xml:space="preserve">Vertinama, kad planuojama įgyvendinti priemonė neturi jokio numatomo poveikio šiam aplinkos tikslui arba numatomas jų poveikis yra nereikšmingas, t. y. nedaro tiesioginio ir pirminio netiesioginio poveikio per visą gyvavimo ciklą, ir laikoma, kad ši priemonė atitinka biologinės įvairovės ir ekosistemų apsaugos ir atkūrimo tikslą: nenumatoma, kad priemonės veiklos turės neigiamą poveikį biologinei įvairovei ar ekosistemų apsaugai.   </w:t>
                </w:r>
              </w:p>
            </w:tc>
            <w:tc>
              <w:tcPr>
                <w:tcW w:w="5387" w:type="dxa"/>
              </w:tcPr>
              <w:p>
                <w:pPr>
                  <w:tabs>
                    <w:tab w:val="left" w:pos="589"/>
                  </w:tabs>
                  <w:jc w:val="both"/>
                  <w:rPr>
                    <w:rFonts w:eastAsia="Calibri"/>
                    <w:szCs w:val="24"/>
                  </w:rPr>
                </w:pPr>
                <w:r>
                  <w:rPr>
                    <w:rFonts w:eastAsia="Calibri"/>
                    <w:szCs w:val="24"/>
                  </w:rPr>
                  <w:t>Netaikoma, nes priemonės veiklos yra nukreiptos į profesinio mokymo formaliųjų programų atnaujinimą / rengimą; profesijos mokytojų, įmonių, įstaigų meistrų kvalifikacijos tobulinimą.</w:t>
                </w:r>
              </w:p>
              <w:p>
                <w:pPr>
                  <w:tabs>
                    <w:tab w:val="left" w:pos="589"/>
                  </w:tabs>
                  <w:jc w:val="both"/>
                  <w:rPr>
                    <w:rFonts w:eastAsia="Calibri"/>
                  </w:rPr>
                </w:pPr>
              </w:p>
            </w:tc>
          </w:tr>
        </w:tbl>
        <w:p/>
        <w:sdt>
          <w:sdtPr>
            <w:alias w:val="pabaiga"/>
            <w:tag w:val="part_f0e0024c052a49828fe67268793a6a6f"/>
            <w:lock w:val="sdtLocked"/>
            <w:richText/>
          </w:sdtPr>
          <w:sdtContent>
            <w:p>
              <w:pPr>
                <w:spacing w:line="276" w:lineRule="auto"/>
                <w:jc w:val="center"/>
                <w:rPr>
                  <w:sz w:val="22"/>
                  <w:szCs w:val="22"/>
                  <w:u w:val="single"/>
                </w:rPr>
              </w:pPr>
              <w:r>
                <w:rPr>
                  <w:rFonts w:ascii="Calibri" w:eastAsia="Calibri" w:hAnsi="Calibri"/>
                  <w:sz w:val="22"/>
                  <w:szCs w:val="22"/>
                  <w:u w:val="single"/>
                </w:rPr>
                <w:t>________________</w:t>
              </w:r>
            </w:p>
          </w:sdtContent>
        </w:sdt>
      </w:sdtContent>
    </w:sdt>
    <w:sectPr>
      <w:headerReference w:type="even" r:id="rId10"/>
      <w:headerReference w:type="default" r:id="rId11"/>
      <w:footerReference w:type="even" r:id="rId12"/>
      <w:footerReference w:type="default" r:id="rId13"/>
      <w:headerReference w:type="first" r:id="rId14"/>
      <w:footerReference w:type="first" r:id="rId15"/>
      <w:pgSz w:w="16838" w:h="11906" w:orient="landscape"/>
      <w:pgMar w:top="709" w:right="567" w:bottom="709"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sz w:val="22"/>
          <w:szCs w:val="22"/>
        </w:rPr>
      </w:pPr>
      <w:r>
        <w:rPr>
          <w:sz w:val="22"/>
          <w:szCs w:val="22"/>
        </w:rPr>
        <w:separator/>
      </w:r>
    </w:p>
  </w:endnote>
  <w:endnote w:type="continuationSeparator" w:id="0">
    <w:p>
      <w:pPr>
        <w:rPr>
          <w:sz w:val="22"/>
          <w:szCs w:val="22"/>
        </w:rPr>
      </w:pPr>
      <w:r>
        <w:rPr>
          <w:sz w:val="22"/>
          <w:szCs w:val="22"/>
        </w:rPr>
        <w:continuationSeparator/>
      </w:r>
    </w:p>
  </w:endnote>
  <w:endnote w:type="continuationNotice" w:id="1">
    <w:p>
      <w:pPr>
        <w:rPr>
          <w:sz w:val="22"/>
          <w:szCs w:val="22"/>
        </w:rPr>
      </w:pP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200247B"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Calibri Light">
    <w:panose1 w:val="020F0302020204030204"/>
    <w:charset w:val="BA"/>
    <w:family w:val="swiss"/>
    <w:pitch w:val="variable"/>
    <w:sig w:usb0="E4002EFF" w:usb1="C2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 w:val="22"/>
        <w:szCs w:val="22"/>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 w:val="22"/>
        <w:szCs w:val="22"/>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 w:val="22"/>
        <w:szCs w:val="22"/>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sz w:val="22"/>
          <w:szCs w:val="22"/>
        </w:rPr>
      </w:pPr>
      <w:r>
        <w:rPr>
          <w:sz w:val="22"/>
          <w:szCs w:val="22"/>
        </w:rPr>
        <w:separator/>
      </w:r>
    </w:p>
  </w:footnote>
  <w:footnote w:type="continuationSeparator" w:id="0">
    <w:p>
      <w:pPr>
        <w:rPr>
          <w:sz w:val="22"/>
          <w:szCs w:val="22"/>
        </w:rPr>
      </w:pPr>
      <w:r>
        <w:rPr>
          <w:sz w:val="22"/>
          <w:szCs w:val="22"/>
        </w:rPr>
        <w:continuationSeparator/>
      </w:r>
    </w:p>
  </w:footnote>
  <w:footnote w:type="continuationNotice" w:id="1">
    <w:p>
      <w:pPr>
        <w:rPr>
          <w:sz w:val="22"/>
          <w:szCs w:val="22"/>
        </w:rPr>
      </w:pP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 w:val="22"/>
        <w:szCs w:val="22"/>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jc w:val="center"/>
      <w:rPr>
        <w:sz w:val="22"/>
        <w:szCs w:val="22"/>
      </w:rPr>
    </w:pPr>
    <w:r>
      <w:rPr>
        <w:szCs w:val="22"/>
      </w:rPr>
      <w:fldChar w:fldCharType="begin"/>
    </w:r>
    <w:r>
      <w:rPr>
        <w:szCs w:val="22"/>
      </w:rPr>
      <w:instrText>PAGE   \* MERGEFORMAT</w:instrText>
    </w:r>
    <w:r>
      <w:rPr>
        <w:szCs w:val="22"/>
      </w:rPr>
      <w:fldChar w:fldCharType="separate"/>
    </w:r>
    <w:r>
      <w:rPr>
        <w:szCs w:val="22"/>
      </w:rPr>
      <w:t>3</w:t>
    </w:r>
    <w:r>
      <w:rPr>
        <w:szCs w:val="22"/>
      </w:rPr>
      <w:fldChar w:fldCharType="end"/>
    </w:r>
  </w:p>
  <w:p>
    <w:pPr>
      <w:tabs>
        <w:tab w:val="center" w:pos="4819"/>
        <w:tab w:val="right" w:pos="9638"/>
      </w:tabs>
      <w:jc w:val="right"/>
      <w:rPr>
        <w:sz w:val="22"/>
        <w:szCs w:val="22"/>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361B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5:docId w15:val="{8ED776A0-E3DD-4589-8345-217206463FCE}"/>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32584175">
      <w:bodyDiv w:val="1"/>
      <w:marLeft w:val="0"/>
      <w:marRight w:val="0"/>
      <w:marTop w:val="0"/>
      <w:marBottom w:val="0"/>
      <w:divBdr>
        <w:top w:val="none" w:sz="0" w:space="0" w:color="auto"/>
        <w:left w:val="none" w:sz="0" w:space="0" w:color="auto"/>
        <w:bottom w:val="none" w:sz="0" w:space="0" w:color="auto"/>
        <w:right w:val="none" w:sz="0" w:space="0" w:color="auto"/>
      </w:divBdr>
      <w:divsChild>
        <w:div w:id="709038231">
          <w:marLeft w:val="0"/>
          <w:marRight w:val="0"/>
          <w:marTop w:val="0"/>
          <w:marBottom w:val="0"/>
          <w:divBdr>
            <w:top w:val="none" w:sz="0" w:space="0" w:color="auto"/>
            <w:left w:val="none" w:sz="0" w:space="0" w:color="auto"/>
            <w:bottom w:val="none" w:sz="0" w:space="0" w:color="auto"/>
            <w:right w:val="none" w:sz="0" w:space="0" w:color="auto"/>
          </w:divBdr>
        </w:div>
        <w:div w:id="1221018776">
          <w:marLeft w:val="0"/>
          <w:marRight w:val="0"/>
          <w:marTop w:val="0"/>
          <w:marBottom w:val="0"/>
          <w:divBdr>
            <w:top w:val="none" w:sz="0" w:space="0" w:color="auto"/>
            <w:left w:val="none" w:sz="0" w:space="0" w:color="auto"/>
            <w:bottom w:val="none" w:sz="0" w:space="0" w:color="auto"/>
            <w:right w:val="none" w:sz="0" w:space="0" w:color="auto"/>
          </w:divBdr>
        </w:div>
        <w:div w:id="1332175260">
          <w:marLeft w:val="0"/>
          <w:marRight w:val="0"/>
          <w:marTop w:val="0"/>
          <w:marBottom w:val="0"/>
          <w:divBdr>
            <w:top w:val="none" w:sz="0" w:space="0" w:color="auto"/>
            <w:left w:val="none" w:sz="0" w:space="0" w:color="auto"/>
            <w:bottom w:val="none" w:sz="0" w:space="0" w:color="auto"/>
            <w:right w:val="none" w:sz="0" w:space="0" w:color="auto"/>
          </w:divBdr>
        </w:div>
      </w:divsChild>
    </w:div>
    <w:div w:id="888225240">
      <w:bodyDiv w:val="1"/>
      <w:marLeft w:val="0"/>
      <w:marRight w:val="0"/>
      <w:marTop w:val="0"/>
      <w:marBottom w:val="0"/>
      <w:divBdr>
        <w:top w:val="none" w:sz="0" w:space="0" w:color="auto"/>
        <w:left w:val="none" w:sz="0" w:space="0" w:color="auto"/>
        <w:bottom w:val="none" w:sz="0" w:space="0" w:color="auto"/>
        <w:right w:val="none" w:sz="0" w:space="0" w:color="auto"/>
      </w:divBdr>
    </w:div>
    <w:div w:id="18040369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1.xml"/>
  <Relationship Id="rId11" Type="http://schemas.openxmlformats.org/officeDocument/2006/relationships/header" Target="header2.xml"/>
  <Relationship Id="rId12" Type="http://schemas.openxmlformats.org/officeDocument/2006/relationships/footer" Target="footer1.xml"/>
  <Relationship Id="rId13" Type="http://schemas.openxmlformats.org/officeDocument/2006/relationships/footer" Target="footer2.xml"/>
  <Relationship Id="rId14" Type="http://schemas.openxmlformats.org/officeDocument/2006/relationships/header" Target="header3.xml"/>
  <Relationship Id="rId15" Type="http://schemas.openxmlformats.org/officeDocument/2006/relationships/footer" Target="footer3.xml"/>
  <Relationship Id="rId16" Type="http://schemas.openxmlformats.org/officeDocument/2006/relationships/fontTable" Target="fontTable.xml"/>
  <Relationship Id="rId17" Type="http://schemas.openxmlformats.org/officeDocument/2006/relationships/theme" Target="theme/theme1.xml"/>
  <Relationship Id="rId18" Type="http://schemas.openxmlformats.org/officeDocument/2006/relationships/customXml" Target="../customXml/item5.xml"/>
  <Relationship Id="rId2" Type="http://schemas.openxmlformats.org/officeDocument/2006/relationships/customXml" Target="../customXml/item2.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styles" Target="styles.xml"/>
  <Relationship Id="rId6" Type="http://schemas.openxmlformats.org/officeDocument/2006/relationships/settings" Target="settings.xml"/>
  <Relationship Id="rId7" Type="http://schemas.openxmlformats.org/officeDocument/2006/relationships/webSettings" Target="webSettings.xml"/>
  <Relationship Id="rId8" Type="http://schemas.openxmlformats.org/officeDocument/2006/relationships/footnotes" Target="footnotes.xml"/>
  <Relationship Id="rId9" Type="http://schemas.openxmlformats.org/officeDocument/2006/relationships/endnotes" Target="end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Dokumentas" ma:contentTypeID="0x010100D8ECFFBDDA118244861569856C5AC6C3" ma:contentTypeVersion="0" ma:contentTypeDescription="Kurkite naują dokumentą." ma:contentTypeScope="" ma:versionID="e894898859fc6bec26f1b7b2ed962da5">
  <xsd:schema xmlns:xsd="http://www.w3.org/2001/XMLSchema" xmlns:xs="http://www.w3.org/2001/XMLSchema" xmlns:p="http://schemas.microsoft.com/office/2006/metadata/properties" targetNamespace="http://schemas.microsoft.com/office/2006/metadata/properties" ma:root="true" ma:fieldsID="92f6efcb3d141a2d8cf8d4aae0174d8f">
    <xsd:element name="properties">
      <xsd:complexType>
        <xsd:sequence>
          <xsd:element name="documentManagement">
            <xsd:complexType>
              <xsd:all/>
            </xsd:complexType>
          </xsd:element>
        </xsd:sequence>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Parts xmlns="http://lrs.lt/TAIS/DocParts">
  <Part Type="priedas" Nr="1" Abbr="1 pr." Title="PROJEKTO (ĮSKAITANT JUNGTINĮ PROJEKTĄ) ATITIKTIES REIKŠMINGOS ŽALOS NEDARYMO HORIZONTALIAJAM PRINCIPUI VERTINIMO REIKALAVIMŲ APRAŠAS" DocPartId="1e19986894a141e2b2bf906889430d76" PartId="ffac5df1c5414dac84721be7ab9e5101">
    <Part Type="pabaiga" DocPartId="e53c5d38d45547ca87d3ea208398c35a" PartId="f0e0024c052a49828fe67268793a6a6f"/>
  </Part>
</Parts>
</file>

<file path=customXml/itemProps1.xml><?xml version="1.0" encoding="utf-8"?>
<ds:datastoreItem xmlns:ds="http://schemas.openxmlformats.org/officeDocument/2006/customXml" ds:itemID="{32050D31-66BA-4089-B5B5-37298FB9EA8A}">
  <ds:schemaRefs>
    <ds:schemaRef ds:uri="http://schemas.microsoft.com/sharepoint/v3/contenttype/forms"/>
  </ds:schemaRefs>
</ds:datastoreItem>
</file>

<file path=customXml/itemProps2.xml><?xml version="1.0" encoding="utf-8"?>
<ds:datastoreItem xmlns:ds="http://schemas.openxmlformats.org/officeDocument/2006/customXml" ds:itemID="{1F7E5569-D793-4217-B232-E816039AF86D}">
  <ds:schemaRefs>
    <ds:schemaRef ds:uri="http://purl.org/dc/terms/"/>
    <ds:schemaRef ds:uri="http://schemas.openxmlformats.org/package/2006/metadata/core-properties"/>
    <ds:schemaRef ds:uri="http://purl.org/dc/dcmitype/"/>
    <ds:schemaRef ds:uri="http://schemas.microsoft.com/office/infopath/2007/PartnerControls"/>
    <ds:schemaRef ds:uri="http://purl.org/dc/elements/1.1/"/>
    <ds:schemaRef ds:uri="http://schemas.microsoft.com/office/2006/metadata/properties"/>
    <ds:schemaRef ds:uri="http://schemas.microsoft.com/office/2006/documentManagement/types"/>
    <ds:schemaRef ds:uri="http://www.w3.org/XML/1998/namespace"/>
  </ds:schemaRefs>
</ds:datastoreItem>
</file>

<file path=customXml/itemProps3.xml><?xml version="1.0" encoding="utf-8"?>
<ds:datastoreItem xmlns:ds="http://schemas.openxmlformats.org/officeDocument/2006/customXml" ds:itemID="{819747EC-5BB2-4E59-A3A6-512A24C3BD0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4.xml><?xml version="1.0" encoding="utf-8"?>
<ds:datastoreItem xmlns:ds="http://schemas.openxmlformats.org/officeDocument/2006/customXml" ds:itemID="{C772B78A-32C8-4429-8CB7-57C0AE55B146}">
  <ds:schemaRefs>
    <ds:schemaRef ds:uri="http://schemas.openxmlformats.org/officeDocument/2006/bibliography"/>
  </ds:schemaRefs>
</ds:datastoreItem>
</file>

<file path=customXml/itemProps5.xml><?xml version="1.0" encoding="utf-8"?>
<ds:datastoreItem xmlns:ds="http://schemas.openxmlformats.org/officeDocument/2006/customXml" ds:itemID="{750AFE77-3F78-4728-82A5-D0FB759FFC0C}">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719</Words>
  <Characters>5143</Characters>
  <Application>Microsoft Office Word</Application>
  <DocSecurity>4</DocSecurity>
  <Lines>160</Lines>
  <Paragraphs>35</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38219a6f-bb19-4f37-8a4d-dae30b8d8f20</vt:lpstr>
      <vt:lpstr/>
    </vt:vector>
  </TitlesOfParts>
  <Company>HP Inc.</Company>
  <LinksUpToDate>false</LinksUpToDate>
  <CharactersWithSpaces>5827</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2026-01-12T06:05:00Z</dcterms:created>
  <dc:creator>Virginija Levinskienė</dc:creator>
  <lastModifiedBy>adlibuser</lastModifiedBy>
  <dcterms:modified xsi:type="dcterms:W3CDTF">2026-01-12T06:05:00Z</dcterms:modified>
  <revision>2</revision>
  <dc:title>38219a6f-bb19-4f37-8a4d-dae30b8d8f20</dc:title>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0x010100D8ECFFBDDA118244861569856C5AC6C3</vt:lpwstr>
  </property>
  <property fmtid="{D5CDD505-2E9C-101B-9397-08002B2CF9AE}" pid="3" name="DmsPermissionsFlags">
    <vt:lpwstr>,SECTRUE,</vt:lpwstr>
  </property>
  <property fmtid="{D5CDD505-2E9C-101B-9397-08002B2CF9AE}" pid="4" name="DmsPermissionsDivisions">
    <vt:lpwstr>71;#Švietimo projektų skyrius|4d6950ba-bddb-4d59-b4f2-90fff673db9b;#3308;#Procesų valdymo skyrius|1d2453fc-c175-46b4-b9fe-6151c1a059d8;#62;#Finansų skyrius|7d9d544b-d496-4126-a894-fd0e68da2d8e</vt:lpwstr>
  </property>
  <property fmtid="{D5CDD505-2E9C-101B-9397-08002B2CF9AE}" pid="5" name="DmsPermissionsUsers">
    <vt:lpwstr>109;#Giedrius Lapėnas;#120;#Ričardas Šokaitis;#63;#Eglė Vizbarė;#1119;#Mantas Bernotas;#1206;#Jurgita Merkevičienė;#166;#Margarita Kairienė;#1096;#Gytis Petrukaitis</vt:lpwstr>
  </property>
  <property fmtid="{D5CDD505-2E9C-101B-9397-08002B2CF9AE}" pid="6" name="DmsDocPrepDocSendRegReal">
    <vt:bool>false</vt:bool>
  </property>
  <property fmtid="{D5CDD505-2E9C-101B-9397-08002B2CF9AE}" pid="7" name="TaxCatchAll">
    <vt:lpwstr/>
  </property>
</Properties>
</file>