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7 pr."/>
        <w:tag w:val="part_e236761195be4e86b46e14cd52c240f5"/>
        <w:id w:val="2010241081"/>
        <w:lock w:val="sdtLocked"/>
      </w:sdtPr>
      <w:sdtEndPr/>
      <w:sdtContent>
        <w:p w14:paraId="7FBC05A8" w14:textId="77777777" w:rsidR="005F45C2" w:rsidRDefault="005F45C2">
          <w:pPr>
            <w:tabs>
              <w:tab w:val="center" w:pos="4819"/>
              <w:tab w:val="right" w:pos="9638"/>
            </w:tabs>
          </w:pPr>
        </w:p>
        <w:p w14:paraId="365A63DD" w14:textId="49351BFD" w:rsidR="005F45C2" w:rsidRDefault="003C5AF8">
          <w:pPr>
            <w:tabs>
              <w:tab w:val="left" w:pos="9639"/>
            </w:tabs>
            <w:ind w:left="9639"/>
            <w:jc w:val="both"/>
            <w:rPr>
              <w:bCs/>
              <w:szCs w:val="24"/>
            </w:rPr>
          </w:pPr>
          <w:r>
            <w:rPr>
              <w:bCs/>
              <w:szCs w:val="24"/>
            </w:rPr>
            <w:t xml:space="preserve">2021–2030 m. plėtros programos valdytojos Lietuvos Respublikos švietimo, mokslo ir sporto ministerijos švietimo plėtros programos pažangos priemonės              Nr. 12-003-03-04-03 „Sukurti rinkos poreikius atliepiančią profesinio ugdymo sistemą“ aprašo </w:t>
          </w:r>
        </w:p>
        <w:p w14:paraId="44B5D679" w14:textId="62A10329" w:rsidR="005F45C2" w:rsidRDefault="00AC168C">
          <w:pPr>
            <w:ind w:left="9639"/>
            <w:jc w:val="both"/>
            <w:rPr>
              <w:bCs/>
              <w:szCs w:val="24"/>
            </w:rPr>
          </w:pPr>
          <w:sdt>
            <w:sdtPr>
              <w:alias w:val="Numeris"/>
              <w:tag w:val="nr_e236761195be4e86b46e14cd52c240f5"/>
              <w:id w:val="-650748763"/>
              <w:lock w:val="sdtLocked"/>
            </w:sdtPr>
            <w:sdtEndPr/>
            <w:sdtContent>
              <w:r w:rsidR="003C5AF8">
                <w:rPr>
                  <w:bCs/>
                  <w:szCs w:val="24"/>
                </w:rPr>
                <w:t>7</w:t>
              </w:r>
            </w:sdtContent>
          </w:sdt>
          <w:r w:rsidR="003C5AF8">
            <w:rPr>
              <w:bCs/>
              <w:szCs w:val="24"/>
            </w:rPr>
            <w:t xml:space="preserve"> priedas</w:t>
          </w:r>
        </w:p>
        <w:p w14:paraId="0EF1BAD9" w14:textId="77777777" w:rsidR="005F45C2" w:rsidRDefault="005F45C2">
          <w:pPr>
            <w:jc w:val="center"/>
          </w:pPr>
        </w:p>
        <w:p w14:paraId="31B9D969" w14:textId="6D9E243C" w:rsidR="005F45C2" w:rsidRDefault="00AC168C">
          <w:pPr>
            <w:jc w:val="center"/>
            <w:rPr>
              <w:szCs w:val="24"/>
            </w:rPr>
          </w:pPr>
          <w:sdt>
            <w:sdtPr>
              <w:alias w:val="Pavadinimas"/>
              <w:tag w:val="title_e236761195be4e86b46e14cd52c240f5"/>
              <w:id w:val="1831409503"/>
              <w:lock w:val="sdtLocked"/>
            </w:sdtPr>
            <w:sdtEndPr/>
            <w:sdtContent>
              <w:r w:rsidR="003C5AF8">
                <w:rPr>
                  <w:b/>
                  <w:bCs/>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7</w:t>
              </w:r>
            </w:sdtContent>
          </w:sdt>
        </w:p>
        <w:p w14:paraId="41D66F8E" w14:textId="77777777" w:rsidR="005F45C2" w:rsidRDefault="005F45C2">
          <w:pPr>
            <w:spacing w:line="259" w:lineRule="auto"/>
            <w:jc w:val="center"/>
            <w:rPr>
              <w:b/>
              <w:bCs/>
              <w:sz w:val="22"/>
              <w:szCs w:val="22"/>
            </w:rPr>
          </w:pPr>
        </w:p>
        <w:p w14:paraId="5A826F54" w14:textId="77777777" w:rsidR="005F45C2" w:rsidRDefault="005F45C2">
          <w:pPr>
            <w:rPr>
              <w:sz w:val="14"/>
              <w:szCs w:val="14"/>
            </w:rPr>
          </w:pPr>
        </w:p>
        <w:tbl>
          <w:tblPr>
            <w:tblW w:w="154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963"/>
            <w:gridCol w:w="1134"/>
            <w:gridCol w:w="1275"/>
            <w:gridCol w:w="993"/>
            <w:gridCol w:w="1134"/>
            <w:gridCol w:w="1133"/>
            <w:gridCol w:w="1000"/>
            <w:gridCol w:w="1319"/>
            <w:gridCol w:w="1221"/>
            <w:gridCol w:w="1287"/>
            <w:gridCol w:w="1280"/>
            <w:gridCol w:w="1277"/>
            <w:gridCol w:w="12"/>
          </w:tblGrid>
          <w:tr w:rsidR="005F45C2" w14:paraId="69D54EE3" w14:textId="71A202CE">
            <w:tc>
              <w:tcPr>
                <w:tcW w:w="15441" w:type="dxa"/>
                <w:gridSpan w:val="14"/>
                <w:vAlign w:val="center"/>
              </w:tcPr>
              <w:p w14:paraId="6F529FEE" w14:textId="69ACB144" w:rsidR="005F45C2" w:rsidRDefault="003C5AF8">
                <w:pPr>
                  <w:jc w:val="center"/>
                  <w:rPr>
                    <w:b/>
                    <w:bCs/>
                    <w:sz w:val="22"/>
                    <w:szCs w:val="22"/>
                  </w:rPr>
                </w:pPr>
                <w:r>
                  <w:rPr>
                    <w:b/>
                    <w:bCs/>
                    <w:sz w:val="22"/>
                    <w:szCs w:val="22"/>
                  </w:rPr>
                  <w:t>VEIKLOS AR POVEIKLĖS, KURIOMS NUSTATOMOS PROJEKTŲ FINANSAVIMO SĄLYGOS</w:t>
                </w:r>
              </w:p>
            </w:tc>
          </w:tr>
          <w:tr w:rsidR="005F45C2" w14:paraId="5796977F" w14:textId="4FCE5A7B">
            <w:trPr>
              <w:gridAfter w:val="1"/>
              <w:wAfter w:w="12" w:type="dxa"/>
            </w:trPr>
            <w:tc>
              <w:tcPr>
                <w:tcW w:w="1413" w:type="dxa"/>
                <w:vAlign w:val="center"/>
              </w:tcPr>
              <w:p w14:paraId="37405BF1" w14:textId="584ADCF0" w:rsidR="005F45C2" w:rsidRDefault="003C5AF8">
                <w:pPr>
                  <w:jc w:val="center"/>
                  <w:rPr>
                    <w:b/>
                    <w:bCs/>
                    <w:sz w:val="20"/>
                  </w:rPr>
                </w:pPr>
                <w:r>
                  <w:rPr>
                    <w:b/>
                    <w:bCs/>
                    <w:sz w:val="20"/>
                  </w:rPr>
                  <w:t>Veiklos ar poveiklės pavadinimas</w:t>
                </w:r>
              </w:p>
            </w:tc>
            <w:tc>
              <w:tcPr>
                <w:tcW w:w="963" w:type="dxa"/>
                <w:vAlign w:val="center"/>
              </w:tcPr>
              <w:p w14:paraId="3B140198" w14:textId="6CDED723" w:rsidR="005F45C2" w:rsidRDefault="003C5AF8">
                <w:pPr>
                  <w:jc w:val="center"/>
                  <w:rPr>
                    <w:b/>
                    <w:bCs/>
                    <w:sz w:val="20"/>
                  </w:rPr>
                </w:pPr>
                <w:r>
                  <w:rPr>
                    <w:b/>
                    <w:bCs/>
                    <w:sz w:val="20"/>
                  </w:rPr>
                  <w:t>Finansa-vimo šaltinis</w:t>
                </w:r>
              </w:p>
            </w:tc>
            <w:tc>
              <w:tcPr>
                <w:tcW w:w="1134" w:type="dxa"/>
                <w:vAlign w:val="center"/>
              </w:tcPr>
              <w:p w14:paraId="098E0448" w14:textId="2F084F81" w:rsidR="005F45C2" w:rsidRDefault="003C5AF8">
                <w:pPr>
                  <w:jc w:val="center"/>
                  <w:rPr>
                    <w:b/>
                    <w:bCs/>
                    <w:sz w:val="20"/>
                  </w:rPr>
                </w:pPr>
                <w:r>
                  <w:rPr>
                    <w:b/>
                    <w:bCs/>
                    <w:sz w:val="20"/>
                  </w:rPr>
                  <w:t>Prioritetas ar kompo-nentas</w:t>
                </w:r>
              </w:p>
            </w:tc>
            <w:tc>
              <w:tcPr>
                <w:tcW w:w="1275" w:type="dxa"/>
                <w:vAlign w:val="center"/>
              </w:tcPr>
              <w:p w14:paraId="2846EC64" w14:textId="77777777" w:rsidR="005F45C2" w:rsidRDefault="003C5AF8">
                <w:pPr>
                  <w:jc w:val="center"/>
                  <w:rPr>
                    <w:b/>
                    <w:bCs/>
                    <w:sz w:val="20"/>
                  </w:rPr>
                </w:pPr>
                <w:r>
                  <w:rPr>
                    <w:b/>
                    <w:bCs/>
                    <w:sz w:val="20"/>
                  </w:rPr>
                  <w:t>Uždavinys ar priemonė</w:t>
                </w:r>
              </w:p>
            </w:tc>
            <w:tc>
              <w:tcPr>
                <w:tcW w:w="993" w:type="dxa"/>
                <w:vAlign w:val="center"/>
              </w:tcPr>
              <w:p w14:paraId="43E76E94" w14:textId="77777777" w:rsidR="005F45C2" w:rsidRDefault="003C5AF8">
                <w:pPr>
                  <w:jc w:val="center"/>
                  <w:rPr>
                    <w:b/>
                    <w:bCs/>
                    <w:sz w:val="20"/>
                  </w:rPr>
                </w:pPr>
                <w:r>
                  <w:rPr>
                    <w:b/>
                    <w:bCs/>
                    <w:sz w:val="20"/>
                  </w:rPr>
                  <w:t>Veikla ar poveiklė</w:t>
                </w:r>
              </w:p>
            </w:tc>
            <w:tc>
              <w:tcPr>
                <w:tcW w:w="1134" w:type="dxa"/>
                <w:vAlign w:val="center"/>
              </w:tcPr>
              <w:p w14:paraId="2089EABA" w14:textId="3B71F52E" w:rsidR="005F45C2" w:rsidRDefault="003C5AF8">
                <w:pPr>
                  <w:jc w:val="center"/>
                  <w:rPr>
                    <w:b/>
                    <w:bCs/>
                    <w:sz w:val="20"/>
                  </w:rPr>
                </w:pPr>
                <w:r>
                  <w:rPr>
                    <w:b/>
                    <w:bCs/>
                    <w:sz w:val="20"/>
                  </w:rPr>
                  <w:t>Intervencinės priemonės kodas</w:t>
                </w:r>
              </w:p>
            </w:tc>
            <w:tc>
              <w:tcPr>
                <w:tcW w:w="1133" w:type="dxa"/>
                <w:vAlign w:val="center"/>
              </w:tcPr>
              <w:p w14:paraId="65FE9592" w14:textId="77777777" w:rsidR="005F45C2" w:rsidRDefault="003C5AF8">
                <w:pPr>
                  <w:jc w:val="center"/>
                  <w:rPr>
                    <w:b/>
                    <w:bCs/>
                    <w:sz w:val="20"/>
                  </w:rPr>
                </w:pPr>
                <w:r>
                  <w:rPr>
                    <w:b/>
                    <w:bCs/>
                    <w:sz w:val="20"/>
                  </w:rPr>
                  <w:t>Regionas, kuriam priskiria-ma veikla ar poveiklė</w:t>
                </w:r>
              </w:p>
            </w:tc>
            <w:tc>
              <w:tcPr>
                <w:tcW w:w="1000" w:type="dxa"/>
                <w:vAlign w:val="center"/>
              </w:tcPr>
              <w:p w14:paraId="72BCDE20" w14:textId="09F954B2" w:rsidR="005F45C2" w:rsidRDefault="003C5AF8">
                <w:pPr>
                  <w:jc w:val="center"/>
                  <w:rPr>
                    <w:b/>
                    <w:bCs/>
                    <w:sz w:val="20"/>
                  </w:rPr>
                </w:pPr>
                <w:r>
                  <w:rPr>
                    <w:b/>
                    <w:bCs/>
                    <w:sz w:val="20"/>
                  </w:rPr>
                  <w:t>Para-mos formos kodas</w:t>
                </w:r>
              </w:p>
            </w:tc>
            <w:tc>
              <w:tcPr>
                <w:tcW w:w="1319" w:type="dxa"/>
                <w:vAlign w:val="center"/>
              </w:tcPr>
              <w:p w14:paraId="52A25488" w14:textId="77777777" w:rsidR="005F45C2" w:rsidRDefault="003C5AF8">
                <w:pPr>
                  <w:jc w:val="center"/>
                  <w:rPr>
                    <w:b/>
                    <w:bCs/>
                    <w:sz w:val="20"/>
                  </w:rPr>
                </w:pPr>
                <w:r>
                  <w:rPr>
                    <w:b/>
                    <w:bCs/>
                    <w:sz w:val="20"/>
                  </w:rPr>
                  <w:t>Pagrindinės teritorinės srities kodas (-ai)</w:t>
                </w:r>
              </w:p>
            </w:tc>
            <w:tc>
              <w:tcPr>
                <w:tcW w:w="1221" w:type="dxa"/>
                <w:vAlign w:val="center"/>
              </w:tcPr>
              <w:p w14:paraId="3891B641" w14:textId="13D5B0EF" w:rsidR="005F45C2" w:rsidRDefault="003C5AF8">
                <w:pPr>
                  <w:jc w:val="center"/>
                  <w:rPr>
                    <w:b/>
                    <w:bCs/>
                    <w:sz w:val="20"/>
                  </w:rPr>
                </w:pPr>
                <w:r>
                  <w:rPr>
                    <w:b/>
                    <w:bCs/>
                    <w:sz w:val="20"/>
                  </w:rPr>
                  <w:t>Ekonomi-nės veiklos kodas (-ai)</w:t>
                </w:r>
              </w:p>
            </w:tc>
            <w:tc>
              <w:tcPr>
                <w:tcW w:w="1287" w:type="dxa"/>
                <w:vAlign w:val="center"/>
              </w:tcPr>
              <w:p w14:paraId="4909B514" w14:textId="77777777" w:rsidR="005F45C2" w:rsidRDefault="003C5AF8">
                <w:pPr>
                  <w:jc w:val="center"/>
                  <w:rPr>
                    <w:b/>
                    <w:bCs/>
                    <w:sz w:val="20"/>
                  </w:rPr>
                </w:pPr>
                <w:r>
                  <w:rPr>
                    <w:b/>
                    <w:bCs/>
                    <w:sz w:val="20"/>
                  </w:rPr>
                  <w:t>„Europos socialinio fondo +“ antrinių temų kodai</w:t>
                </w:r>
              </w:p>
            </w:tc>
            <w:tc>
              <w:tcPr>
                <w:tcW w:w="1280" w:type="dxa"/>
                <w:vAlign w:val="center"/>
              </w:tcPr>
              <w:p w14:paraId="14749576" w14:textId="77777777" w:rsidR="005F45C2" w:rsidRDefault="003C5AF8">
                <w:pPr>
                  <w:jc w:val="center"/>
                  <w:rPr>
                    <w:b/>
                    <w:bCs/>
                    <w:sz w:val="20"/>
                  </w:rPr>
                </w:pPr>
                <w:r>
                  <w:rPr>
                    <w:b/>
                    <w:bCs/>
                    <w:sz w:val="20"/>
                  </w:rPr>
                  <w:t>Lyčių lygybės matmens kodas</w:t>
                </w:r>
              </w:p>
            </w:tc>
            <w:tc>
              <w:tcPr>
                <w:tcW w:w="1277" w:type="dxa"/>
              </w:tcPr>
              <w:p w14:paraId="43653CC7" w14:textId="77777777" w:rsidR="005F45C2" w:rsidRDefault="003C5AF8">
                <w:pPr>
                  <w:jc w:val="center"/>
                  <w:rPr>
                    <w:b/>
                    <w:sz w:val="20"/>
                  </w:rPr>
                </w:pPr>
                <w:r>
                  <w:rPr>
                    <w:b/>
                    <w:sz w:val="20"/>
                  </w:rPr>
                  <w:t>Nepanau-dotos Ekonomi-kos gaivinimo ir atsparumo didinimo priemonės lėšos</w:t>
                </w:r>
              </w:p>
              <w:p w14:paraId="3A72059D" w14:textId="1DD96E8B" w:rsidR="005F45C2" w:rsidRDefault="003C5AF8">
                <w:pPr>
                  <w:jc w:val="center"/>
                  <w:rPr>
                    <w:b/>
                    <w:bCs/>
                    <w:sz w:val="20"/>
                  </w:rPr>
                </w:pPr>
                <w:r>
                  <w:rPr>
                    <w:b/>
                    <w:sz w:val="20"/>
                  </w:rPr>
                  <w:t>(Taip / Ne)</w:t>
                </w:r>
              </w:p>
            </w:tc>
          </w:tr>
          <w:tr w:rsidR="005F45C2" w14:paraId="16D996C3" w14:textId="434E2536">
            <w:trPr>
              <w:gridAfter w:val="1"/>
              <w:wAfter w:w="12" w:type="dxa"/>
              <w:trHeight w:val="278"/>
            </w:trPr>
            <w:tc>
              <w:tcPr>
                <w:tcW w:w="1413" w:type="dxa"/>
                <w:tcMar>
                  <w:left w:w="28" w:type="dxa"/>
                  <w:right w:w="28" w:type="dxa"/>
                </w:tcMar>
              </w:tcPr>
              <w:p w14:paraId="509EE98E" w14:textId="2E2CB18C" w:rsidR="005F45C2" w:rsidRDefault="003C5AF8">
                <w:pPr>
                  <w:jc w:val="center"/>
                  <w:rPr>
                    <w:b/>
                    <w:bCs/>
                    <w:sz w:val="22"/>
                    <w:szCs w:val="22"/>
                  </w:rPr>
                </w:pPr>
                <w:r>
                  <w:rPr>
                    <w:sz w:val="22"/>
                    <w:szCs w:val="22"/>
                  </w:rPr>
                  <w:t>6. Profesinio mokymo prieinamumo gerinimo parama mokiniams iš nepalankias sąlygas turinčių asmenų grupių</w:t>
                </w:r>
              </w:p>
            </w:tc>
            <w:tc>
              <w:tcPr>
                <w:tcW w:w="963" w:type="dxa"/>
                <w:tcMar>
                  <w:left w:w="28" w:type="dxa"/>
                  <w:right w:w="28" w:type="dxa"/>
                </w:tcMar>
              </w:tcPr>
              <w:p w14:paraId="7F103FCC" w14:textId="446A64EE" w:rsidR="005F45C2" w:rsidRDefault="005F45C2">
                <w:pPr>
                  <w:rPr>
                    <w:sz w:val="22"/>
                    <w:szCs w:val="22"/>
                  </w:rPr>
                </w:pPr>
              </w:p>
            </w:tc>
            <w:tc>
              <w:tcPr>
                <w:tcW w:w="1134" w:type="dxa"/>
                <w:tcMar>
                  <w:left w:w="28" w:type="dxa"/>
                  <w:right w:w="28" w:type="dxa"/>
                </w:tcMar>
              </w:tcPr>
              <w:p w14:paraId="2D6C7B4F" w14:textId="25A3B5A4" w:rsidR="005F45C2" w:rsidRDefault="005F45C2">
                <w:pPr>
                  <w:rPr>
                    <w:sz w:val="22"/>
                    <w:szCs w:val="22"/>
                  </w:rPr>
                </w:pPr>
              </w:p>
            </w:tc>
            <w:tc>
              <w:tcPr>
                <w:tcW w:w="1275" w:type="dxa"/>
                <w:tcMar>
                  <w:left w:w="28" w:type="dxa"/>
                  <w:right w:w="28" w:type="dxa"/>
                </w:tcMar>
              </w:tcPr>
              <w:p w14:paraId="740446F8" w14:textId="77777777" w:rsidR="005F45C2" w:rsidRDefault="005F45C2">
                <w:pPr>
                  <w:rPr>
                    <w:b/>
                    <w:bCs/>
                    <w:sz w:val="22"/>
                    <w:szCs w:val="22"/>
                  </w:rPr>
                </w:pPr>
              </w:p>
            </w:tc>
            <w:tc>
              <w:tcPr>
                <w:tcW w:w="993" w:type="dxa"/>
                <w:tcMar>
                  <w:left w:w="28" w:type="dxa"/>
                  <w:right w:w="28" w:type="dxa"/>
                </w:tcMar>
              </w:tcPr>
              <w:p w14:paraId="6537E891" w14:textId="45247A61" w:rsidR="005F45C2" w:rsidRDefault="005F45C2">
                <w:pPr>
                  <w:rPr>
                    <w:sz w:val="22"/>
                    <w:szCs w:val="22"/>
                  </w:rPr>
                </w:pPr>
              </w:p>
            </w:tc>
            <w:tc>
              <w:tcPr>
                <w:tcW w:w="1134" w:type="dxa"/>
                <w:tcMar>
                  <w:left w:w="28" w:type="dxa"/>
                  <w:right w:w="28" w:type="dxa"/>
                </w:tcMar>
              </w:tcPr>
              <w:p w14:paraId="3B98B5E3" w14:textId="475D11D2" w:rsidR="005F45C2" w:rsidRDefault="005F45C2">
                <w:pPr>
                  <w:rPr>
                    <w:sz w:val="22"/>
                    <w:szCs w:val="22"/>
                  </w:rPr>
                </w:pPr>
              </w:p>
            </w:tc>
            <w:tc>
              <w:tcPr>
                <w:tcW w:w="1133" w:type="dxa"/>
                <w:tcMar>
                  <w:left w:w="28" w:type="dxa"/>
                  <w:right w:w="28" w:type="dxa"/>
                </w:tcMar>
              </w:tcPr>
              <w:p w14:paraId="6C869E1A" w14:textId="608226DF" w:rsidR="005F45C2" w:rsidRDefault="005F45C2">
                <w:pPr>
                  <w:rPr>
                    <w:sz w:val="22"/>
                    <w:szCs w:val="22"/>
                  </w:rPr>
                </w:pPr>
              </w:p>
            </w:tc>
            <w:tc>
              <w:tcPr>
                <w:tcW w:w="1000" w:type="dxa"/>
                <w:tcMar>
                  <w:left w:w="28" w:type="dxa"/>
                  <w:right w:w="28" w:type="dxa"/>
                </w:tcMar>
              </w:tcPr>
              <w:p w14:paraId="036C4715" w14:textId="79F75918" w:rsidR="005F45C2" w:rsidRDefault="005F45C2">
                <w:pPr>
                  <w:rPr>
                    <w:b/>
                    <w:bCs/>
                    <w:sz w:val="22"/>
                    <w:szCs w:val="22"/>
                  </w:rPr>
                </w:pPr>
              </w:p>
            </w:tc>
            <w:tc>
              <w:tcPr>
                <w:tcW w:w="1319" w:type="dxa"/>
                <w:tcMar>
                  <w:left w:w="28" w:type="dxa"/>
                  <w:right w:w="28" w:type="dxa"/>
                </w:tcMar>
              </w:tcPr>
              <w:p w14:paraId="6BEF9903" w14:textId="268484FC" w:rsidR="005F45C2" w:rsidRDefault="005F45C2">
                <w:pPr>
                  <w:rPr>
                    <w:b/>
                    <w:bCs/>
                    <w:sz w:val="22"/>
                    <w:szCs w:val="22"/>
                  </w:rPr>
                </w:pPr>
              </w:p>
            </w:tc>
            <w:tc>
              <w:tcPr>
                <w:tcW w:w="1221" w:type="dxa"/>
                <w:tcMar>
                  <w:left w:w="28" w:type="dxa"/>
                  <w:right w:w="28" w:type="dxa"/>
                </w:tcMar>
              </w:tcPr>
              <w:p w14:paraId="61CE049E" w14:textId="1DC1DAAB" w:rsidR="005F45C2" w:rsidRDefault="005F45C2">
                <w:pPr>
                  <w:rPr>
                    <w:b/>
                    <w:bCs/>
                    <w:sz w:val="22"/>
                    <w:szCs w:val="22"/>
                  </w:rPr>
                </w:pPr>
              </w:p>
            </w:tc>
            <w:tc>
              <w:tcPr>
                <w:tcW w:w="1287" w:type="dxa"/>
                <w:tcMar>
                  <w:left w:w="28" w:type="dxa"/>
                  <w:right w:w="28" w:type="dxa"/>
                </w:tcMar>
              </w:tcPr>
              <w:p w14:paraId="4838E9DC" w14:textId="77777777" w:rsidR="005F45C2" w:rsidRDefault="005F45C2">
                <w:pPr>
                  <w:rPr>
                    <w:sz w:val="22"/>
                    <w:szCs w:val="22"/>
                  </w:rPr>
                </w:pPr>
              </w:p>
            </w:tc>
            <w:tc>
              <w:tcPr>
                <w:tcW w:w="1280" w:type="dxa"/>
                <w:tcMar>
                  <w:left w:w="28" w:type="dxa"/>
                  <w:right w:w="28" w:type="dxa"/>
                </w:tcMar>
              </w:tcPr>
              <w:p w14:paraId="578EA840" w14:textId="77777777" w:rsidR="005F45C2" w:rsidRDefault="005F45C2">
                <w:pPr>
                  <w:rPr>
                    <w:sz w:val="22"/>
                    <w:szCs w:val="22"/>
                  </w:rPr>
                </w:pPr>
              </w:p>
            </w:tc>
            <w:tc>
              <w:tcPr>
                <w:tcW w:w="1277" w:type="dxa"/>
              </w:tcPr>
              <w:p w14:paraId="27F665E8" w14:textId="77777777" w:rsidR="005F45C2" w:rsidRDefault="005F45C2">
                <w:pPr>
                  <w:rPr>
                    <w:sz w:val="22"/>
                    <w:szCs w:val="22"/>
                  </w:rPr>
                </w:pPr>
              </w:p>
            </w:tc>
          </w:tr>
          <w:tr w:rsidR="005F45C2" w14:paraId="414643BC" w14:textId="32B02E3A">
            <w:trPr>
              <w:gridAfter w:val="1"/>
              <w:wAfter w:w="12" w:type="dxa"/>
              <w:trHeight w:val="278"/>
            </w:trPr>
            <w:tc>
              <w:tcPr>
                <w:tcW w:w="1413" w:type="dxa"/>
                <w:tcMar>
                  <w:left w:w="28" w:type="dxa"/>
                  <w:right w:w="28" w:type="dxa"/>
                </w:tcMar>
              </w:tcPr>
              <w:p w14:paraId="034B6264" w14:textId="732AB20C" w:rsidR="005F45C2" w:rsidRDefault="003C5AF8">
                <w:pPr>
                  <w:jc w:val="center"/>
                  <w:rPr>
                    <w:iCs/>
                    <w:sz w:val="22"/>
                    <w:szCs w:val="22"/>
                  </w:rPr>
                </w:pPr>
                <w:r>
                  <w:rPr>
                    <w:sz w:val="22"/>
                    <w:szCs w:val="22"/>
                  </w:rPr>
                  <w:t xml:space="preserve">6.1 Profesinio mokymo prieinamumo gerinimo </w:t>
                </w:r>
                <w:r>
                  <w:rPr>
                    <w:sz w:val="22"/>
                    <w:szCs w:val="22"/>
                  </w:rPr>
                  <w:lastRenderedPageBreak/>
                  <w:t>parama mokiniams iš nepalankias sąlygas turinčių asmenų grupių</w:t>
                </w:r>
                <w:r>
                  <w:rPr>
                    <w:sz w:val="22"/>
                    <w:szCs w:val="22"/>
                    <w:lang w:eastAsia="lt-LT"/>
                  </w:rPr>
                  <w:t xml:space="preserve"> Sostinės regione</w:t>
                </w:r>
              </w:p>
            </w:tc>
            <w:tc>
              <w:tcPr>
                <w:tcW w:w="963" w:type="dxa"/>
                <w:tcMar>
                  <w:left w:w="28" w:type="dxa"/>
                  <w:right w:w="28" w:type="dxa"/>
                </w:tcMar>
              </w:tcPr>
              <w:p w14:paraId="7E0A5497" w14:textId="455F74F1" w:rsidR="005F45C2" w:rsidRDefault="003C5AF8">
                <w:pPr>
                  <w:shd w:val="clear" w:color="000000" w:fill="auto"/>
                  <w:ind w:right="-57"/>
                  <w:jc w:val="center"/>
                  <w:rPr>
                    <w:sz w:val="22"/>
                    <w:szCs w:val="22"/>
                  </w:rPr>
                </w:pPr>
                <w:r>
                  <w:rPr>
                    <w:rFonts w:eastAsia="Calibri"/>
                    <w:sz w:val="22"/>
                    <w:szCs w:val="22"/>
                  </w:rPr>
                  <w:lastRenderedPageBreak/>
                  <w:t xml:space="preserve">Europos Sąjungos fondų ir bendro </w:t>
                </w:r>
                <w:r>
                  <w:rPr>
                    <w:rFonts w:eastAsia="Calibri"/>
                    <w:sz w:val="22"/>
                    <w:szCs w:val="22"/>
                  </w:rPr>
                  <w:lastRenderedPageBreak/>
                  <w:t xml:space="preserve">finansavimo </w:t>
                </w:r>
                <w:r>
                  <w:rPr>
                    <w:sz w:val="22"/>
                    <w:szCs w:val="22"/>
                  </w:rPr>
                  <w:t>lėšos</w:t>
                </w:r>
              </w:p>
            </w:tc>
            <w:tc>
              <w:tcPr>
                <w:tcW w:w="1134" w:type="dxa"/>
                <w:tcMar>
                  <w:left w:w="28" w:type="dxa"/>
                  <w:right w:w="28" w:type="dxa"/>
                </w:tcMar>
              </w:tcPr>
              <w:p w14:paraId="6D5C22E2" w14:textId="74B64689" w:rsidR="005F45C2" w:rsidRDefault="003C5AF8">
                <w:pPr>
                  <w:jc w:val="center"/>
                  <w:rPr>
                    <w:sz w:val="22"/>
                    <w:szCs w:val="22"/>
                  </w:rPr>
                </w:pPr>
                <w:r>
                  <w:rPr>
                    <w:sz w:val="22"/>
                    <w:szCs w:val="22"/>
                  </w:rPr>
                  <w:lastRenderedPageBreak/>
                  <w:t>4</w:t>
                </w:r>
              </w:p>
            </w:tc>
            <w:tc>
              <w:tcPr>
                <w:tcW w:w="1275" w:type="dxa"/>
                <w:tcMar>
                  <w:left w:w="28" w:type="dxa"/>
                  <w:right w:w="28" w:type="dxa"/>
                </w:tcMar>
              </w:tcPr>
              <w:p w14:paraId="02B33CF4" w14:textId="442769FD" w:rsidR="005F45C2" w:rsidRDefault="003C5AF8">
                <w:pPr>
                  <w:jc w:val="center"/>
                  <w:textAlignment w:val="baseline"/>
                  <w:rPr>
                    <w:sz w:val="22"/>
                    <w:szCs w:val="22"/>
                  </w:rPr>
                </w:pPr>
                <w:r>
                  <w:rPr>
                    <w:sz w:val="22"/>
                    <w:szCs w:val="22"/>
                  </w:rPr>
                  <w:t>4.3</w:t>
                </w:r>
              </w:p>
            </w:tc>
            <w:tc>
              <w:tcPr>
                <w:tcW w:w="993" w:type="dxa"/>
                <w:tcMar>
                  <w:left w:w="28" w:type="dxa"/>
                  <w:right w:w="28" w:type="dxa"/>
                </w:tcMar>
              </w:tcPr>
              <w:p w14:paraId="31361211" w14:textId="47BA4881" w:rsidR="005F45C2" w:rsidRDefault="003C5AF8">
                <w:pPr>
                  <w:jc w:val="center"/>
                  <w:rPr>
                    <w:sz w:val="22"/>
                    <w:szCs w:val="22"/>
                  </w:rPr>
                </w:pPr>
                <w:r>
                  <w:rPr>
                    <w:sz w:val="22"/>
                    <w:szCs w:val="22"/>
                  </w:rPr>
                  <w:t xml:space="preserve">4.3.4. Socialinės ir finansinės </w:t>
                </w:r>
                <w:r>
                  <w:rPr>
                    <w:sz w:val="22"/>
                    <w:szCs w:val="22"/>
                  </w:rPr>
                  <w:lastRenderedPageBreak/>
                  <w:t>paskatos bei pagalba profesinio mokymo įstaigų mokiniams ir aukštųjų mokyklų studentams iš nepalankias sąlygas turinčių grupių</w:t>
                </w:r>
              </w:p>
            </w:tc>
            <w:tc>
              <w:tcPr>
                <w:tcW w:w="1134" w:type="dxa"/>
                <w:tcMar>
                  <w:left w:w="28" w:type="dxa"/>
                  <w:right w:w="28" w:type="dxa"/>
                </w:tcMar>
              </w:tcPr>
              <w:p w14:paraId="025FDD37" w14:textId="751A60EA" w:rsidR="005F45C2" w:rsidRDefault="003C5AF8">
                <w:pPr>
                  <w:jc w:val="center"/>
                  <w:rPr>
                    <w:sz w:val="22"/>
                    <w:szCs w:val="22"/>
                  </w:rPr>
                </w:pPr>
                <w:r>
                  <w:rPr>
                    <w:sz w:val="22"/>
                    <w:szCs w:val="22"/>
                  </w:rPr>
                  <w:lastRenderedPageBreak/>
                  <w:t>150</w:t>
                </w:r>
              </w:p>
            </w:tc>
            <w:tc>
              <w:tcPr>
                <w:tcW w:w="1133" w:type="dxa"/>
                <w:tcMar>
                  <w:left w:w="28" w:type="dxa"/>
                  <w:right w:w="28" w:type="dxa"/>
                </w:tcMar>
              </w:tcPr>
              <w:p w14:paraId="32B63297" w14:textId="1EE8E070" w:rsidR="005F45C2" w:rsidRDefault="003C5AF8">
                <w:pPr>
                  <w:jc w:val="center"/>
                  <w:rPr>
                    <w:sz w:val="22"/>
                    <w:szCs w:val="22"/>
                  </w:rPr>
                </w:pPr>
                <w:r>
                  <w:rPr>
                    <w:sz w:val="22"/>
                    <w:szCs w:val="22"/>
                  </w:rPr>
                  <w:t>Sostinės regionas</w:t>
                </w:r>
              </w:p>
            </w:tc>
            <w:tc>
              <w:tcPr>
                <w:tcW w:w="1000" w:type="dxa"/>
                <w:tcMar>
                  <w:left w:w="28" w:type="dxa"/>
                  <w:right w:w="28" w:type="dxa"/>
                </w:tcMar>
              </w:tcPr>
              <w:p w14:paraId="12BF99C3" w14:textId="7A1617A4" w:rsidR="005F45C2" w:rsidRDefault="003C5AF8">
                <w:pPr>
                  <w:jc w:val="center"/>
                  <w:rPr>
                    <w:sz w:val="22"/>
                    <w:szCs w:val="22"/>
                  </w:rPr>
                </w:pPr>
                <w:r>
                  <w:rPr>
                    <w:sz w:val="22"/>
                    <w:szCs w:val="22"/>
                    <w:shd w:val="clear" w:color="auto" w:fill="FFFFFF"/>
                  </w:rPr>
                  <w:t>01 – Dotacija</w:t>
                </w:r>
              </w:p>
            </w:tc>
            <w:tc>
              <w:tcPr>
                <w:tcW w:w="1319" w:type="dxa"/>
                <w:tcMar>
                  <w:left w:w="28" w:type="dxa"/>
                  <w:right w:w="28" w:type="dxa"/>
                </w:tcMar>
              </w:tcPr>
              <w:p w14:paraId="5B7A7C38" w14:textId="3C95E377" w:rsidR="005F45C2" w:rsidRDefault="003C5AF8">
                <w:pPr>
                  <w:jc w:val="center"/>
                  <w:rPr>
                    <w:b/>
                    <w:bCs/>
                    <w:sz w:val="22"/>
                    <w:szCs w:val="22"/>
                  </w:rPr>
                </w:pPr>
                <w:r>
                  <w:rPr>
                    <w:color w:val="000000"/>
                    <w:sz w:val="22"/>
                    <w:szCs w:val="22"/>
                    <w:shd w:val="clear" w:color="auto" w:fill="FFFFFF"/>
                  </w:rPr>
                  <w:t>33 – Nesiorientuojant į teritoriškumą</w:t>
                </w:r>
              </w:p>
            </w:tc>
            <w:tc>
              <w:tcPr>
                <w:tcW w:w="1221" w:type="dxa"/>
                <w:tcMar>
                  <w:left w:w="28" w:type="dxa"/>
                  <w:right w:w="28" w:type="dxa"/>
                </w:tcMar>
              </w:tcPr>
              <w:p w14:paraId="04FC5AE5" w14:textId="32DD92FD" w:rsidR="005F45C2" w:rsidRDefault="003C5AF8">
                <w:pPr>
                  <w:jc w:val="center"/>
                  <w:rPr>
                    <w:sz w:val="22"/>
                    <w:szCs w:val="22"/>
                  </w:rPr>
                </w:pPr>
                <w:r>
                  <w:rPr>
                    <w:sz w:val="22"/>
                    <w:szCs w:val="22"/>
                  </w:rPr>
                  <w:t xml:space="preserve">21 </w:t>
                </w:r>
                <w:r>
                  <w:rPr>
                    <w:color w:val="000000"/>
                    <w:sz w:val="22"/>
                    <w:szCs w:val="22"/>
                    <w:shd w:val="clear" w:color="auto" w:fill="FFFFFF"/>
                  </w:rPr>
                  <w:t xml:space="preserve">– </w:t>
                </w:r>
                <w:r>
                  <w:rPr>
                    <w:sz w:val="22"/>
                    <w:szCs w:val="22"/>
                  </w:rPr>
                  <w:t>Švietimas</w:t>
                </w:r>
              </w:p>
            </w:tc>
            <w:tc>
              <w:tcPr>
                <w:tcW w:w="1287" w:type="dxa"/>
                <w:tcMar>
                  <w:left w:w="28" w:type="dxa"/>
                  <w:right w:w="28" w:type="dxa"/>
                </w:tcMar>
              </w:tcPr>
              <w:p w14:paraId="6037C1E8" w14:textId="5D4433DB" w:rsidR="005F45C2" w:rsidRDefault="003C5AF8">
                <w:pPr>
                  <w:jc w:val="center"/>
                  <w:rPr>
                    <w:sz w:val="22"/>
                    <w:szCs w:val="22"/>
                  </w:rPr>
                </w:pPr>
                <w:r>
                  <w:rPr>
                    <w:color w:val="000000"/>
                    <w:sz w:val="22"/>
                    <w:szCs w:val="22"/>
                    <w:shd w:val="clear" w:color="auto" w:fill="FFFFFF"/>
                  </w:rPr>
                  <w:t>09 – Netaikoma</w:t>
                </w:r>
              </w:p>
            </w:tc>
            <w:tc>
              <w:tcPr>
                <w:tcW w:w="1280" w:type="dxa"/>
                <w:tcMar>
                  <w:left w:w="28" w:type="dxa"/>
                  <w:right w:w="28" w:type="dxa"/>
                </w:tcMar>
              </w:tcPr>
              <w:p w14:paraId="5616BC65" w14:textId="3D403E1D" w:rsidR="005F45C2" w:rsidRDefault="003C5AF8">
                <w:pPr>
                  <w:jc w:val="center"/>
                  <w:rPr>
                    <w:sz w:val="22"/>
                    <w:szCs w:val="22"/>
                  </w:rPr>
                </w:pPr>
                <w:r>
                  <w:rPr>
                    <w:iCs/>
                    <w:sz w:val="22"/>
                    <w:szCs w:val="22"/>
                  </w:rPr>
                  <w:t>03 – Neutralumas lyties požiūriu</w:t>
                </w:r>
              </w:p>
            </w:tc>
            <w:tc>
              <w:tcPr>
                <w:tcW w:w="1277" w:type="dxa"/>
              </w:tcPr>
              <w:p w14:paraId="2BEA42B6" w14:textId="77777777" w:rsidR="005F45C2" w:rsidRDefault="005F45C2">
                <w:pPr>
                  <w:jc w:val="center"/>
                  <w:rPr>
                    <w:iCs/>
                    <w:sz w:val="22"/>
                    <w:szCs w:val="22"/>
                  </w:rPr>
                </w:pPr>
              </w:p>
            </w:tc>
          </w:tr>
        </w:tbl>
        <w:p w14:paraId="43A9B6D7" w14:textId="649BB347" w:rsidR="005F45C2" w:rsidRDefault="005F45C2">
          <w:pPr>
            <w:tabs>
              <w:tab w:val="left" w:pos="1141"/>
              <w:tab w:val="left" w:pos="2577"/>
              <w:tab w:val="left" w:pos="3852"/>
              <w:tab w:val="left" w:pos="5126"/>
              <w:tab w:val="left" w:pos="6401"/>
              <w:tab w:val="left" w:pos="7818"/>
              <w:tab w:val="left" w:pos="8951"/>
              <w:tab w:val="left" w:pos="9927"/>
              <w:tab w:val="left" w:pos="11270"/>
              <w:tab w:val="left" w:pos="12491"/>
              <w:tab w:val="left" w:pos="13869"/>
            </w:tabs>
            <w:ind w:left="33" w:firstLine="5126"/>
            <w:rPr>
              <w:sz w:val="18"/>
              <w:szCs w:val="18"/>
            </w:rPr>
          </w:pPr>
        </w:p>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59"/>
            <w:gridCol w:w="2664"/>
            <w:gridCol w:w="1984"/>
            <w:gridCol w:w="2410"/>
          </w:tblGrid>
          <w:tr w:rsidR="005F45C2" w14:paraId="5C6F723F" w14:textId="77777777">
            <w:trPr>
              <w:trHeight w:val="405"/>
            </w:trPr>
            <w:tc>
              <w:tcPr>
                <w:tcW w:w="8359" w:type="dxa"/>
                <w:shd w:val="clear" w:color="auto" w:fill="auto"/>
                <w:vAlign w:val="center"/>
              </w:tcPr>
              <w:p w14:paraId="347985D1" w14:textId="77777777" w:rsidR="005F45C2" w:rsidRDefault="003C5AF8">
                <w:pPr>
                  <w:jc w:val="center"/>
                  <w:rPr>
                    <w:sz w:val="22"/>
                    <w:szCs w:val="22"/>
                  </w:rPr>
                </w:pPr>
                <w:r>
                  <w:rPr>
                    <w:sz w:val="22"/>
                    <w:szCs w:val="22"/>
                  </w:rPr>
                  <w:t>Rodiklio pavadinimas</w:t>
                </w:r>
              </w:p>
            </w:tc>
            <w:tc>
              <w:tcPr>
                <w:tcW w:w="2664" w:type="dxa"/>
                <w:shd w:val="clear" w:color="auto" w:fill="auto"/>
                <w:vAlign w:val="center"/>
              </w:tcPr>
              <w:p w14:paraId="350F67A3" w14:textId="77777777" w:rsidR="005F45C2" w:rsidRDefault="003C5AF8">
                <w:pPr>
                  <w:jc w:val="center"/>
                  <w:rPr>
                    <w:sz w:val="22"/>
                    <w:szCs w:val="22"/>
                  </w:rPr>
                </w:pPr>
                <w:r>
                  <w:rPr>
                    <w:sz w:val="22"/>
                    <w:szCs w:val="22"/>
                  </w:rPr>
                  <w:t>Rodiklio kodas</w:t>
                </w:r>
              </w:p>
            </w:tc>
            <w:tc>
              <w:tcPr>
                <w:tcW w:w="1984" w:type="dxa"/>
                <w:shd w:val="clear" w:color="auto" w:fill="auto"/>
                <w:vAlign w:val="center"/>
              </w:tcPr>
              <w:p w14:paraId="2B07A159" w14:textId="77777777" w:rsidR="005F45C2" w:rsidRDefault="003C5AF8">
                <w:pPr>
                  <w:jc w:val="center"/>
                  <w:rPr>
                    <w:sz w:val="22"/>
                    <w:szCs w:val="22"/>
                  </w:rPr>
                </w:pPr>
                <w:r>
                  <w:rPr>
                    <w:sz w:val="22"/>
                    <w:szCs w:val="22"/>
                  </w:rPr>
                  <w:t>Matavimo vienetai</w:t>
                </w:r>
              </w:p>
            </w:tc>
            <w:tc>
              <w:tcPr>
                <w:tcW w:w="2410" w:type="dxa"/>
                <w:shd w:val="clear" w:color="auto" w:fill="auto"/>
                <w:vAlign w:val="center"/>
              </w:tcPr>
              <w:p w14:paraId="5EC59199" w14:textId="4C05D771" w:rsidR="005F45C2" w:rsidRDefault="003C5AF8">
                <w:pPr>
                  <w:jc w:val="center"/>
                  <w:rPr>
                    <w:sz w:val="22"/>
                    <w:szCs w:val="22"/>
                  </w:rPr>
                </w:pPr>
                <w:r>
                  <w:rPr>
                    <w:sz w:val="22"/>
                    <w:szCs w:val="22"/>
                  </w:rPr>
                  <w:t>Siektina reikšmė ir pasiekimo data</w:t>
                </w:r>
              </w:p>
            </w:tc>
          </w:tr>
          <w:tr w:rsidR="005F45C2" w14:paraId="5C0F6250" w14:textId="77777777">
            <w:trPr>
              <w:trHeight w:val="587"/>
            </w:trPr>
            <w:tc>
              <w:tcPr>
                <w:tcW w:w="8359" w:type="dxa"/>
              </w:tcPr>
              <w:p w14:paraId="3A7EC8A8" w14:textId="650DDA49" w:rsidR="005F45C2" w:rsidRDefault="003C5AF8">
                <w:pPr>
                  <w:rPr>
                    <w:sz w:val="22"/>
                    <w:szCs w:val="22"/>
                  </w:rPr>
                </w:pPr>
                <w:r>
                  <w:rPr>
                    <w:sz w:val="22"/>
                    <w:szCs w:val="22"/>
                    <w:lang w:eastAsia="lt-LT"/>
                  </w:rPr>
                  <w:t>Nepalankias sąlygas turinčių asmenų grupių mokinių, kuriems buvo skirta parama profesinio mokymo prieinamumui gerinti, dalis</w:t>
                </w:r>
              </w:p>
            </w:tc>
            <w:tc>
              <w:tcPr>
                <w:tcW w:w="2664" w:type="dxa"/>
              </w:tcPr>
              <w:p w14:paraId="2CE4B2D8" w14:textId="372B0BD8" w:rsidR="005F45C2" w:rsidRDefault="003C5AF8">
                <w:pPr>
                  <w:jc w:val="center"/>
                  <w:rPr>
                    <w:sz w:val="22"/>
                    <w:szCs w:val="22"/>
                  </w:rPr>
                </w:pPr>
                <w:r>
                  <w:rPr>
                    <w:sz w:val="22"/>
                    <w:szCs w:val="22"/>
                  </w:rPr>
                  <w:t>R-12-003-03-04-03-01 R.S.2.3510</w:t>
                </w:r>
              </w:p>
            </w:tc>
            <w:tc>
              <w:tcPr>
                <w:tcW w:w="1984" w:type="dxa"/>
              </w:tcPr>
              <w:p w14:paraId="5CADCBD4" w14:textId="5A06C65E" w:rsidR="005F45C2" w:rsidRDefault="003C5AF8">
                <w:pPr>
                  <w:jc w:val="center"/>
                  <w:rPr>
                    <w:sz w:val="22"/>
                    <w:szCs w:val="22"/>
                  </w:rPr>
                </w:pPr>
                <w:r>
                  <w:rPr>
                    <w:sz w:val="22"/>
                    <w:szCs w:val="22"/>
                  </w:rPr>
                  <w:t>Procentas</w:t>
                </w:r>
              </w:p>
            </w:tc>
            <w:tc>
              <w:tcPr>
                <w:tcW w:w="2410" w:type="dxa"/>
              </w:tcPr>
              <w:p w14:paraId="23DC78B4" w14:textId="18C9B9FF" w:rsidR="005F45C2" w:rsidRDefault="003C5AF8">
                <w:pPr>
                  <w:jc w:val="center"/>
                  <w:rPr>
                    <w:sz w:val="22"/>
                    <w:szCs w:val="22"/>
                  </w:rPr>
                </w:pPr>
                <w:r>
                  <w:rPr>
                    <w:sz w:val="22"/>
                    <w:szCs w:val="22"/>
                  </w:rPr>
                  <w:t>4</w:t>
                </w:r>
              </w:p>
            </w:tc>
          </w:tr>
          <w:tr w:rsidR="005F45C2" w14:paraId="33761EB4" w14:textId="77777777">
            <w:trPr>
              <w:trHeight w:val="555"/>
            </w:trPr>
            <w:tc>
              <w:tcPr>
                <w:tcW w:w="8359" w:type="dxa"/>
              </w:tcPr>
              <w:p w14:paraId="553B777F" w14:textId="0454ADC0" w:rsidR="005F45C2" w:rsidRDefault="003C5AF8">
                <w:pPr>
                  <w:rPr>
                    <w:sz w:val="22"/>
                    <w:szCs w:val="22"/>
                  </w:rPr>
                </w:pPr>
                <w:r>
                  <w:rPr>
                    <w:sz w:val="22"/>
                    <w:szCs w:val="22"/>
                    <w:lang w:eastAsia="lt-LT"/>
                  </w:rPr>
                  <w:t>Nepalankias sąlygas turinčių asmenų grupių mokiniai, kuriems buvo skirta parama profesinio mokymo prieinamumui gerinti</w:t>
                </w:r>
              </w:p>
            </w:tc>
            <w:tc>
              <w:tcPr>
                <w:tcW w:w="2664" w:type="dxa"/>
              </w:tcPr>
              <w:p w14:paraId="65641435" w14:textId="7D8FC591" w:rsidR="005F45C2" w:rsidRDefault="003C5AF8">
                <w:pPr>
                  <w:jc w:val="center"/>
                  <w:rPr>
                    <w:sz w:val="22"/>
                    <w:szCs w:val="22"/>
                  </w:rPr>
                </w:pPr>
                <w:r>
                  <w:rPr>
                    <w:sz w:val="22"/>
                    <w:szCs w:val="22"/>
                  </w:rPr>
                  <w:t>P-12-003-03-04-03-05 P.S.2.1505</w:t>
                </w:r>
              </w:p>
            </w:tc>
            <w:tc>
              <w:tcPr>
                <w:tcW w:w="1984" w:type="dxa"/>
              </w:tcPr>
              <w:p w14:paraId="4B68239F" w14:textId="77777777" w:rsidR="005F45C2" w:rsidRDefault="003C5AF8">
                <w:pPr>
                  <w:jc w:val="center"/>
                  <w:rPr>
                    <w:sz w:val="22"/>
                    <w:szCs w:val="22"/>
                  </w:rPr>
                </w:pPr>
                <w:r>
                  <w:rPr>
                    <w:sz w:val="22"/>
                    <w:szCs w:val="22"/>
                  </w:rPr>
                  <w:t>Asmenys</w:t>
                </w:r>
              </w:p>
            </w:tc>
            <w:tc>
              <w:tcPr>
                <w:tcW w:w="2410" w:type="dxa"/>
              </w:tcPr>
              <w:p w14:paraId="1FF274C3" w14:textId="44399557" w:rsidR="005F45C2" w:rsidRDefault="003C5AF8">
                <w:pPr>
                  <w:jc w:val="center"/>
                  <w:rPr>
                    <w:sz w:val="22"/>
                    <w:szCs w:val="22"/>
                  </w:rPr>
                </w:pPr>
                <w:r>
                  <w:rPr>
                    <w:sz w:val="22"/>
                    <w:szCs w:val="22"/>
                    <w:lang w:eastAsia="lt-LT"/>
                  </w:rPr>
                  <w:t>130</w:t>
                </w:r>
              </w:p>
            </w:tc>
          </w:tr>
        </w:tbl>
        <w:p w14:paraId="705CB711" w14:textId="77777777" w:rsidR="005F45C2" w:rsidRDefault="005F45C2">
          <w:pPr>
            <w:jc w:val="both"/>
            <w:rPr>
              <w:iCs/>
              <w:sz w:val="22"/>
              <w:szCs w:val="22"/>
            </w:rPr>
          </w:pPr>
        </w:p>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17"/>
          </w:tblGrid>
          <w:tr w:rsidR="005F45C2" w14:paraId="3096EC8B" w14:textId="77777777">
            <w:trPr>
              <w:trHeight w:val="298"/>
            </w:trPr>
            <w:tc>
              <w:tcPr>
                <w:tcW w:w="15417" w:type="dxa"/>
              </w:tcPr>
              <w:p w14:paraId="67833BB8" w14:textId="3CAEE3E5" w:rsidR="005F45C2" w:rsidRDefault="003C5AF8">
                <w:pPr>
                  <w:jc w:val="both"/>
                  <w:rPr>
                    <w:szCs w:val="24"/>
                  </w:rPr>
                </w:pPr>
                <w:r>
                  <w:rPr>
                    <w:szCs w:val="24"/>
                  </w:rPr>
                  <w:t>Švietimo, mokslo ir sporto ministerijos stebėsenos rodiklių aprašymo kortelės</w:t>
                </w:r>
              </w:p>
            </w:tc>
          </w:tr>
          <w:tr w:rsidR="005F45C2" w14:paraId="1AEB4DAE" w14:textId="77777777">
            <w:trPr>
              <w:trHeight w:val="315"/>
            </w:trPr>
            <w:tc>
              <w:tcPr>
                <w:tcW w:w="15417" w:type="dxa"/>
              </w:tcPr>
              <w:p w14:paraId="28FD5D26" w14:textId="47509BB1" w:rsidR="005F45C2" w:rsidRDefault="003C5AF8">
                <w:pPr>
                  <w:jc w:val="both"/>
                  <w:rPr>
                    <w:i/>
                    <w:szCs w:val="24"/>
                  </w:rPr>
                </w:pPr>
                <w:r>
                  <w:rPr>
                    <w:iCs/>
                    <w:sz w:val="22"/>
                    <w:szCs w:val="22"/>
                  </w:rPr>
                  <w:t xml:space="preserve">Rodiklių skaičiavimo metodika pateikta 2021–2030 m. plėtros programos valdytojos Lietuvos Respublikos švietimo, mokslo ir sporto ministerijos švietimo plėtros programos pažangos priemonės Nr. 12-003-03-04-03 „Sukurti rinkos poreikius atliepiančią profesinio ugdymo sistemą“ stebėsenos rodiklių aprašymo kortelėse tinklalapyje: </w:t>
                </w:r>
                <w:r>
                  <w:rPr>
                    <w:iCs/>
                    <w:sz w:val="22"/>
                    <w:szCs w:val="22"/>
                    <w:u w:val="single"/>
                  </w:rPr>
                  <w:t>https://smsm.lrv.lt/lt/administracine-informacija/planavimo-dokumentai/Pprogramos20200519/priemones_/</w:t>
                </w:r>
                <w:r>
                  <w:rPr>
                    <w:iCs/>
                    <w:sz w:val="22"/>
                    <w:szCs w:val="22"/>
                  </w:rPr>
                  <w:t>.</w:t>
                </w:r>
              </w:p>
            </w:tc>
          </w:tr>
        </w:tbl>
        <w:p w14:paraId="491AE665" w14:textId="77777777" w:rsidR="005F45C2" w:rsidRDefault="005F45C2">
          <w:pPr>
            <w:spacing w:line="259" w:lineRule="auto"/>
            <w:jc w:val="both"/>
            <w:rPr>
              <w:i/>
              <w:iCs/>
              <w:sz w:val="20"/>
            </w:rPr>
          </w:pPr>
        </w:p>
        <w:tbl>
          <w:tblPr>
            <w:tblW w:w="154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963"/>
            <w:gridCol w:w="1134"/>
            <w:gridCol w:w="1276"/>
            <w:gridCol w:w="992"/>
            <w:gridCol w:w="1134"/>
            <w:gridCol w:w="1134"/>
            <w:gridCol w:w="1000"/>
            <w:gridCol w:w="1319"/>
            <w:gridCol w:w="1221"/>
            <w:gridCol w:w="1287"/>
            <w:gridCol w:w="1276"/>
            <w:gridCol w:w="1268"/>
            <w:gridCol w:w="8"/>
          </w:tblGrid>
          <w:tr w:rsidR="005F45C2" w14:paraId="39623A2A" w14:textId="5743922B">
            <w:trPr>
              <w:gridAfter w:val="1"/>
              <w:wAfter w:w="8" w:type="dxa"/>
            </w:trPr>
            <w:tc>
              <w:tcPr>
                <w:tcW w:w="15417" w:type="dxa"/>
                <w:gridSpan w:val="13"/>
                <w:vAlign w:val="center"/>
              </w:tcPr>
              <w:p w14:paraId="564B5DA0" w14:textId="7522AE97" w:rsidR="005F45C2" w:rsidRDefault="003C5AF8">
                <w:pPr>
                  <w:jc w:val="center"/>
                  <w:rPr>
                    <w:b/>
                    <w:bCs/>
                    <w:sz w:val="22"/>
                    <w:szCs w:val="22"/>
                  </w:rPr>
                </w:pPr>
                <w:r>
                  <w:rPr>
                    <w:b/>
                    <w:bCs/>
                    <w:sz w:val="22"/>
                    <w:szCs w:val="22"/>
                  </w:rPr>
                  <w:t>VEIKLOS AR POVEIKLĖS, KURIOMS NUSTATOMOS PROJEKTŲ FINANSAVIMO SĄLYGOS</w:t>
                </w:r>
              </w:p>
            </w:tc>
          </w:tr>
          <w:tr w:rsidR="005F45C2" w14:paraId="2C9CAAC4" w14:textId="2453B372">
            <w:tc>
              <w:tcPr>
                <w:tcW w:w="1413" w:type="dxa"/>
                <w:vAlign w:val="center"/>
              </w:tcPr>
              <w:p w14:paraId="085E3946" w14:textId="64649BE0" w:rsidR="005F45C2" w:rsidRDefault="003C5AF8">
                <w:pPr>
                  <w:jc w:val="center"/>
                  <w:rPr>
                    <w:b/>
                    <w:bCs/>
                    <w:sz w:val="20"/>
                  </w:rPr>
                </w:pPr>
                <w:r>
                  <w:rPr>
                    <w:b/>
                    <w:bCs/>
                    <w:sz w:val="20"/>
                  </w:rPr>
                  <w:t>Veiklos ar poveiklės pavadinimas</w:t>
                </w:r>
              </w:p>
            </w:tc>
            <w:tc>
              <w:tcPr>
                <w:tcW w:w="963" w:type="dxa"/>
                <w:vAlign w:val="center"/>
              </w:tcPr>
              <w:p w14:paraId="21C7E801" w14:textId="513E7CB3" w:rsidR="005F45C2" w:rsidRDefault="003C5AF8">
                <w:pPr>
                  <w:jc w:val="center"/>
                  <w:rPr>
                    <w:b/>
                    <w:bCs/>
                    <w:sz w:val="20"/>
                  </w:rPr>
                </w:pPr>
                <w:r>
                  <w:rPr>
                    <w:b/>
                    <w:bCs/>
                    <w:sz w:val="20"/>
                  </w:rPr>
                  <w:t>Finansa-vimo šaltinis</w:t>
                </w:r>
              </w:p>
            </w:tc>
            <w:tc>
              <w:tcPr>
                <w:tcW w:w="1134" w:type="dxa"/>
                <w:vAlign w:val="center"/>
              </w:tcPr>
              <w:p w14:paraId="0D1C4356" w14:textId="16BA36FE" w:rsidR="005F45C2" w:rsidRDefault="003C5AF8">
                <w:pPr>
                  <w:jc w:val="center"/>
                  <w:rPr>
                    <w:b/>
                    <w:bCs/>
                    <w:sz w:val="20"/>
                  </w:rPr>
                </w:pPr>
                <w:r>
                  <w:rPr>
                    <w:b/>
                    <w:bCs/>
                    <w:sz w:val="20"/>
                  </w:rPr>
                  <w:t>Prioritetas ar kompo-nentas</w:t>
                </w:r>
              </w:p>
            </w:tc>
            <w:tc>
              <w:tcPr>
                <w:tcW w:w="1276" w:type="dxa"/>
                <w:vAlign w:val="center"/>
              </w:tcPr>
              <w:p w14:paraId="104FECF9" w14:textId="5746C752" w:rsidR="005F45C2" w:rsidRDefault="003C5AF8">
                <w:pPr>
                  <w:jc w:val="center"/>
                  <w:rPr>
                    <w:b/>
                    <w:bCs/>
                    <w:sz w:val="20"/>
                  </w:rPr>
                </w:pPr>
                <w:r>
                  <w:rPr>
                    <w:b/>
                    <w:bCs/>
                    <w:sz w:val="20"/>
                  </w:rPr>
                  <w:t>Uždavinys ar priemonė</w:t>
                </w:r>
              </w:p>
            </w:tc>
            <w:tc>
              <w:tcPr>
                <w:tcW w:w="992" w:type="dxa"/>
                <w:vAlign w:val="center"/>
              </w:tcPr>
              <w:p w14:paraId="6542BECF" w14:textId="3A686289" w:rsidR="005F45C2" w:rsidRDefault="003C5AF8">
                <w:pPr>
                  <w:jc w:val="center"/>
                  <w:rPr>
                    <w:b/>
                    <w:bCs/>
                    <w:sz w:val="20"/>
                  </w:rPr>
                </w:pPr>
                <w:r>
                  <w:rPr>
                    <w:b/>
                    <w:bCs/>
                    <w:sz w:val="20"/>
                  </w:rPr>
                  <w:t>Veikla ar poveiklė</w:t>
                </w:r>
              </w:p>
            </w:tc>
            <w:tc>
              <w:tcPr>
                <w:tcW w:w="1134" w:type="dxa"/>
                <w:vAlign w:val="center"/>
              </w:tcPr>
              <w:p w14:paraId="4C9EE76F" w14:textId="54A79B08" w:rsidR="005F45C2" w:rsidRDefault="003C5AF8">
                <w:pPr>
                  <w:jc w:val="center"/>
                  <w:rPr>
                    <w:b/>
                    <w:bCs/>
                    <w:sz w:val="20"/>
                  </w:rPr>
                </w:pPr>
                <w:r>
                  <w:rPr>
                    <w:b/>
                    <w:bCs/>
                    <w:sz w:val="20"/>
                  </w:rPr>
                  <w:t>Intervencinės priemonės kodas</w:t>
                </w:r>
              </w:p>
            </w:tc>
            <w:tc>
              <w:tcPr>
                <w:tcW w:w="1134" w:type="dxa"/>
                <w:vAlign w:val="center"/>
              </w:tcPr>
              <w:p w14:paraId="07217E2C" w14:textId="53A9FDF7" w:rsidR="005F45C2" w:rsidRDefault="003C5AF8">
                <w:pPr>
                  <w:jc w:val="center"/>
                  <w:rPr>
                    <w:b/>
                    <w:bCs/>
                    <w:sz w:val="20"/>
                  </w:rPr>
                </w:pPr>
                <w:r>
                  <w:rPr>
                    <w:b/>
                    <w:bCs/>
                    <w:sz w:val="20"/>
                  </w:rPr>
                  <w:t>Regionas, kuriam priskiria-ma veikla ar poveiklė</w:t>
                </w:r>
              </w:p>
            </w:tc>
            <w:tc>
              <w:tcPr>
                <w:tcW w:w="1000" w:type="dxa"/>
                <w:vAlign w:val="center"/>
              </w:tcPr>
              <w:p w14:paraId="2AF2003A" w14:textId="3C0C810F" w:rsidR="005F45C2" w:rsidRDefault="003C5AF8">
                <w:pPr>
                  <w:jc w:val="center"/>
                  <w:rPr>
                    <w:b/>
                    <w:bCs/>
                    <w:sz w:val="20"/>
                  </w:rPr>
                </w:pPr>
                <w:r>
                  <w:rPr>
                    <w:b/>
                    <w:bCs/>
                    <w:sz w:val="20"/>
                  </w:rPr>
                  <w:t>Para-mos formos kodas</w:t>
                </w:r>
              </w:p>
            </w:tc>
            <w:tc>
              <w:tcPr>
                <w:tcW w:w="1319" w:type="dxa"/>
                <w:vAlign w:val="center"/>
              </w:tcPr>
              <w:p w14:paraId="20FF8B49" w14:textId="34590567" w:rsidR="005F45C2" w:rsidRDefault="003C5AF8">
                <w:pPr>
                  <w:jc w:val="center"/>
                  <w:rPr>
                    <w:b/>
                    <w:bCs/>
                    <w:sz w:val="20"/>
                  </w:rPr>
                </w:pPr>
                <w:r>
                  <w:rPr>
                    <w:b/>
                    <w:bCs/>
                    <w:sz w:val="20"/>
                  </w:rPr>
                  <w:t>Pagrindinės teritorinės srities kodas (-ai)</w:t>
                </w:r>
              </w:p>
            </w:tc>
            <w:tc>
              <w:tcPr>
                <w:tcW w:w="1221" w:type="dxa"/>
                <w:vAlign w:val="center"/>
              </w:tcPr>
              <w:p w14:paraId="068F3DAC" w14:textId="009E2673" w:rsidR="005F45C2" w:rsidRDefault="003C5AF8">
                <w:pPr>
                  <w:jc w:val="center"/>
                  <w:rPr>
                    <w:b/>
                    <w:bCs/>
                    <w:sz w:val="20"/>
                  </w:rPr>
                </w:pPr>
                <w:r>
                  <w:rPr>
                    <w:b/>
                    <w:bCs/>
                    <w:sz w:val="20"/>
                  </w:rPr>
                  <w:t>Ekonomi-nės veiklos kodas (-ai)</w:t>
                </w:r>
              </w:p>
            </w:tc>
            <w:tc>
              <w:tcPr>
                <w:tcW w:w="1287" w:type="dxa"/>
                <w:vAlign w:val="center"/>
              </w:tcPr>
              <w:p w14:paraId="403DB445" w14:textId="5F663905" w:rsidR="005F45C2" w:rsidRDefault="003C5AF8">
                <w:pPr>
                  <w:jc w:val="center"/>
                  <w:rPr>
                    <w:b/>
                    <w:bCs/>
                    <w:sz w:val="20"/>
                  </w:rPr>
                </w:pPr>
                <w:r>
                  <w:rPr>
                    <w:b/>
                    <w:bCs/>
                    <w:sz w:val="20"/>
                  </w:rPr>
                  <w:t>„Europos socialinio fondo +“ antrinių temų kodai</w:t>
                </w:r>
              </w:p>
            </w:tc>
            <w:tc>
              <w:tcPr>
                <w:tcW w:w="1276" w:type="dxa"/>
                <w:vAlign w:val="center"/>
              </w:tcPr>
              <w:p w14:paraId="1A398B2B" w14:textId="7B709672" w:rsidR="005F45C2" w:rsidRDefault="003C5AF8">
                <w:pPr>
                  <w:jc w:val="center"/>
                  <w:rPr>
                    <w:b/>
                    <w:bCs/>
                    <w:sz w:val="20"/>
                  </w:rPr>
                </w:pPr>
                <w:r>
                  <w:rPr>
                    <w:b/>
                    <w:bCs/>
                    <w:sz w:val="20"/>
                  </w:rPr>
                  <w:t>Lyčių lygybės matmens kodas</w:t>
                </w:r>
              </w:p>
            </w:tc>
            <w:tc>
              <w:tcPr>
                <w:tcW w:w="1276" w:type="dxa"/>
                <w:gridSpan w:val="2"/>
              </w:tcPr>
              <w:p w14:paraId="37974BEA" w14:textId="77777777" w:rsidR="005F45C2" w:rsidRDefault="003C5AF8">
                <w:pPr>
                  <w:jc w:val="center"/>
                  <w:rPr>
                    <w:b/>
                    <w:sz w:val="20"/>
                  </w:rPr>
                </w:pPr>
                <w:r>
                  <w:rPr>
                    <w:b/>
                    <w:sz w:val="20"/>
                  </w:rPr>
                  <w:t xml:space="preserve">Nepanau-dotos Ekonomi-kos gaivinimo ir atsparumo didinimo </w:t>
                </w:r>
                <w:r>
                  <w:rPr>
                    <w:b/>
                    <w:sz w:val="20"/>
                  </w:rPr>
                  <w:lastRenderedPageBreak/>
                  <w:t>priemonės lėšos</w:t>
                </w:r>
              </w:p>
              <w:p w14:paraId="3A17DA9B" w14:textId="424826A0" w:rsidR="005F45C2" w:rsidRDefault="003C5AF8">
                <w:pPr>
                  <w:jc w:val="center"/>
                  <w:rPr>
                    <w:b/>
                    <w:bCs/>
                    <w:sz w:val="20"/>
                  </w:rPr>
                </w:pPr>
                <w:r>
                  <w:rPr>
                    <w:b/>
                    <w:sz w:val="20"/>
                  </w:rPr>
                  <w:t>(Taip / Ne)</w:t>
                </w:r>
              </w:p>
            </w:tc>
          </w:tr>
          <w:tr w:rsidR="005F45C2" w14:paraId="65F70B10" w14:textId="739B380C">
            <w:trPr>
              <w:trHeight w:val="278"/>
            </w:trPr>
            <w:tc>
              <w:tcPr>
                <w:tcW w:w="1413" w:type="dxa"/>
                <w:tcMar>
                  <w:left w:w="28" w:type="dxa"/>
                  <w:right w:w="28" w:type="dxa"/>
                </w:tcMar>
              </w:tcPr>
              <w:p w14:paraId="498C6439" w14:textId="1FC95014" w:rsidR="005F45C2" w:rsidRDefault="003C5AF8">
                <w:pPr>
                  <w:jc w:val="center"/>
                  <w:rPr>
                    <w:iCs/>
                    <w:sz w:val="22"/>
                    <w:szCs w:val="22"/>
                  </w:rPr>
                </w:pPr>
                <w:r>
                  <w:rPr>
                    <w:sz w:val="22"/>
                    <w:szCs w:val="22"/>
                  </w:rPr>
                  <w:lastRenderedPageBreak/>
                  <w:t>6.2. Profesinio mokymo prieinamumo gerinimo parama mokiniams iš nepalankias sąlygas turinčių asmenų grupių</w:t>
                </w:r>
                <w:r>
                  <w:rPr>
                    <w:sz w:val="22"/>
                    <w:szCs w:val="22"/>
                    <w:lang w:eastAsia="lt-LT"/>
                  </w:rPr>
                  <w:t xml:space="preserve"> Vidurio ir vakarų Lietuvos regione</w:t>
                </w:r>
              </w:p>
            </w:tc>
            <w:tc>
              <w:tcPr>
                <w:tcW w:w="963" w:type="dxa"/>
                <w:tcMar>
                  <w:left w:w="28" w:type="dxa"/>
                  <w:right w:w="28" w:type="dxa"/>
                </w:tcMar>
              </w:tcPr>
              <w:p w14:paraId="29EDA8E3" w14:textId="1C863A6B" w:rsidR="005F45C2" w:rsidRDefault="003C5AF8">
                <w:pPr>
                  <w:shd w:val="clear" w:color="000000" w:fill="auto"/>
                  <w:ind w:right="-57"/>
                  <w:jc w:val="center"/>
                  <w:rPr>
                    <w:sz w:val="22"/>
                    <w:szCs w:val="22"/>
                  </w:rPr>
                </w:pPr>
                <w:r>
                  <w:rPr>
                    <w:rFonts w:eastAsia="Calibri"/>
                    <w:sz w:val="22"/>
                    <w:szCs w:val="22"/>
                  </w:rPr>
                  <w:t xml:space="preserve">Europos Sąjungos fondų </w:t>
                </w:r>
                <w:r>
                  <w:rPr>
                    <w:sz w:val="22"/>
                    <w:szCs w:val="22"/>
                  </w:rPr>
                  <w:t>ir bendro finansavimo lėšos</w:t>
                </w:r>
              </w:p>
            </w:tc>
            <w:tc>
              <w:tcPr>
                <w:tcW w:w="1134" w:type="dxa"/>
                <w:tcMar>
                  <w:left w:w="28" w:type="dxa"/>
                  <w:right w:w="28" w:type="dxa"/>
                </w:tcMar>
              </w:tcPr>
              <w:p w14:paraId="27B15BA6" w14:textId="2FE2A813" w:rsidR="005F45C2" w:rsidRDefault="003C5AF8">
                <w:pPr>
                  <w:jc w:val="center"/>
                  <w:rPr>
                    <w:sz w:val="22"/>
                    <w:szCs w:val="22"/>
                  </w:rPr>
                </w:pPr>
                <w:r>
                  <w:rPr>
                    <w:sz w:val="22"/>
                    <w:szCs w:val="22"/>
                  </w:rPr>
                  <w:t>4</w:t>
                </w:r>
              </w:p>
            </w:tc>
            <w:tc>
              <w:tcPr>
                <w:tcW w:w="1276" w:type="dxa"/>
                <w:tcMar>
                  <w:left w:w="28" w:type="dxa"/>
                  <w:right w:w="28" w:type="dxa"/>
                </w:tcMar>
              </w:tcPr>
              <w:p w14:paraId="0ED878E1" w14:textId="1004E9F2" w:rsidR="005F45C2" w:rsidRDefault="003C5AF8">
                <w:pPr>
                  <w:jc w:val="center"/>
                  <w:textAlignment w:val="baseline"/>
                  <w:rPr>
                    <w:sz w:val="22"/>
                    <w:szCs w:val="22"/>
                  </w:rPr>
                </w:pPr>
                <w:r>
                  <w:rPr>
                    <w:sz w:val="22"/>
                    <w:szCs w:val="22"/>
                  </w:rPr>
                  <w:t>4.3</w:t>
                </w:r>
              </w:p>
            </w:tc>
            <w:tc>
              <w:tcPr>
                <w:tcW w:w="992" w:type="dxa"/>
                <w:tcMar>
                  <w:left w:w="28" w:type="dxa"/>
                  <w:right w:w="28" w:type="dxa"/>
                </w:tcMar>
              </w:tcPr>
              <w:p w14:paraId="21A1FF2C" w14:textId="4F987FBB" w:rsidR="005F45C2" w:rsidRDefault="003C5AF8">
                <w:pPr>
                  <w:jc w:val="center"/>
                  <w:rPr>
                    <w:sz w:val="22"/>
                    <w:szCs w:val="22"/>
                  </w:rPr>
                </w:pPr>
                <w:r>
                  <w:rPr>
                    <w:sz w:val="22"/>
                    <w:szCs w:val="22"/>
                  </w:rPr>
                  <w:t>4.3.4. Socialinės ir finansinės paskatos bei pagalba profesinio mokymo įstaigų mokiniams ir aukštųjų mokyklų studentams iš nepalankias sąlygas turinčių grupių</w:t>
                </w:r>
              </w:p>
            </w:tc>
            <w:tc>
              <w:tcPr>
                <w:tcW w:w="1134" w:type="dxa"/>
                <w:tcMar>
                  <w:left w:w="28" w:type="dxa"/>
                  <w:right w:w="28" w:type="dxa"/>
                </w:tcMar>
              </w:tcPr>
              <w:p w14:paraId="191658BA" w14:textId="278FA2FC" w:rsidR="005F45C2" w:rsidRDefault="003C5AF8">
                <w:pPr>
                  <w:jc w:val="center"/>
                  <w:rPr>
                    <w:sz w:val="22"/>
                    <w:szCs w:val="22"/>
                  </w:rPr>
                </w:pPr>
                <w:r>
                  <w:rPr>
                    <w:sz w:val="22"/>
                    <w:szCs w:val="22"/>
                  </w:rPr>
                  <w:t>150</w:t>
                </w:r>
              </w:p>
            </w:tc>
            <w:tc>
              <w:tcPr>
                <w:tcW w:w="1134" w:type="dxa"/>
                <w:tcMar>
                  <w:left w:w="28" w:type="dxa"/>
                  <w:right w:w="28" w:type="dxa"/>
                </w:tcMar>
              </w:tcPr>
              <w:p w14:paraId="0956A1AE" w14:textId="6675C995" w:rsidR="005F45C2" w:rsidRDefault="003C5AF8">
                <w:pPr>
                  <w:jc w:val="center"/>
                  <w:rPr>
                    <w:sz w:val="22"/>
                    <w:szCs w:val="22"/>
                  </w:rPr>
                </w:pPr>
                <w:r>
                  <w:rPr>
                    <w:sz w:val="22"/>
                    <w:szCs w:val="22"/>
                  </w:rPr>
                  <w:t>Vidurio ir vakarų Lietuvos regionas</w:t>
                </w:r>
              </w:p>
            </w:tc>
            <w:tc>
              <w:tcPr>
                <w:tcW w:w="1000" w:type="dxa"/>
                <w:tcMar>
                  <w:left w:w="28" w:type="dxa"/>
                  <w:right w:w="28" w:type="dxa"/>
                </w:tcMar>
              </w:tcPr>
              <w:p w14:paraId="5B8535F9" w14:textId="1BC91974" w:rsidR="005F45C2" w:rsidRDefault="003C5AF8">
                <w:pPr>
                  <w:jc w:val="center"/>
                  <w:rPr>
                    <w:sz w:val="22"/>
                    <w:szCs w:val="22"/>
                  </w:rPr>
                </w:pPr>
                <w:r>
                  <w:rPr>
                    <w:sz w:val="22"/>
                    <w:szCs w:val="22"/>
                    <w:shd w:val="clear" w:color="auto" w:fill="FFFFFF"/>
                  </w:rPr>
                  <w:t>01 – Dotacija</w:t>
                </w:r>
              </w:p>
            </w:tc>
            <w:tc>
              <w:tcPr>
                <w:tcW w:w="1319" w:type="dxa"/>
                <w:tcMar>
                  <w:left w:w="28" w:type="dxa"/>
                  <w:right w:w="28" w:type="dxa"/>
                </w:tcMar>
              </w:tcPr>
              <w:p w14:paraId="20748047" w14:textId="647BD6E3" w:rsidR="005F45C2" w:rsidRDefault="003C5AF8">
                <w:pPr>
                  <w:jc w:val="center"/>
                  <w:rPr>
                    <w:b/>
                    <w:bCs/>
                    <w:sz w:val="22"/>
                    <w:szCs w:val="22"/>
                  </w:rPr>
                </w:pPr>
                <w:r>
                  <w:rPr>
                    <w:color w:val="000000"/>
                    <w:sz w:val="22"/>
                    <w:szCs w:val="22"/>
                    <w:shd w:val="clear" w:color="auto" w:fill="FFFFFF"/>
                  </w:rPr>
                  <w:t>33 – Nesiorientuojant į teritoriškumą</w:t>
                </w:r>
              </w:p>
            </w:tc>
            <w:tc>
              <w:tcPr>
                <w:tcW w:w="1221" w:type="dxa"/>
                <w:tcMar>
                  <w:left w:w="28" w:type="dxa"/>
                  <w:right w:w="28" w:type="dxa"/>
                </w:tcMar>
              </w:tcPr>
              <w:p w14:paraId="3069F012" w14:textId="27F2F1D1" w:rsidR="005F45C2" w:rsidRDefault="003C5AF8">
                <w:pPr>
                  <w:jc w:val="center"/>
                  <w:rPr>
                    <w:sz w:val="22"/>
                    <w:szCs w:val="22"/>
                  </w:rPr>
                </w:pPr>
                <w:r>
                  <w:rPr>
                    <w:sz w:val="22"/>
                    <w:szCs w:val="22"/>
                  </w:rPr>
                  <w:t xml:space="preserve">21 </w:t>
                </w:r>
                <w:r>
                  <w:rPr>
                    <w:color w:val="000000"/>
                    <w:sz w:val="22"/>
                    <w:szCs w:val="22"/>
                    <w:shd w:val="clear" w:color="auto" w:fill="FFFFFF"/>
                  </w:rPr>
                  <w:t xml:space="preserve">– </w:t>
                </w:r>
                <w:r>
                  <w:rPr>
                    <w:sz w:val="22"/>
                    <w:szCs w:val="22"/>
                  </w:rPr>
                  <w:t>Švietimas</w:t>
                </w:r>
              </w:p>
            </w:tc>
            <w:tc>
              <w:tcPr>
                <w:tcW w:w="1287" w:type="dxa"/>
                <w:tcMar>
                  <w:left w:w="28" w:type="dxa"/>
                  <w:right w:w="28" w:type="dxa"/>
                </w:tcMar>
              </w:tcPr>
              <w:p w14:paraId="6B2BB8EE" w14:textId="7DEFAF42" w:rsidR="005F45C2" w:rsidRDefault="003C5AF8">
                <w:pPr>
                  <w:jc w:val="center"/>
                  <w:rPr>
                    <w:sz w:val="22"/>
                    <w:szCs w:val="22"/>
                  </w:rPr>
                </w:pPr>
                <w:r>
                  <w:rPr>
                    <w:color w:val="000000"/>
                    <w:sz w:val="22"/>
                    <w:szCs w:val="22"/>
                    <w:shd w:val="clear" w:color="auto" w:fill="FFFFFF"/>
                  </w:rPr>
                  <w:t>09 – Netaikoma</w:t>
                </w:r>
              </w:p>
            </w:tc>
            <w:tc>
              <w:tcPr>
                <w:tcW w:w="1276" w:type="dxa"/>
                <w:tcMar>
                  <w:left w:w="28" w:type="dxa"/>
                  <w:right w:w="28" w:type="dxa"/>
                </w:tcMar>
              </w:tcPr>
              <w:p w14:paraId="07626CDD" w14:textId="1E79AFA0" w:rsidR="005F45C2" w:rsidRDefault="003C5AF8">
                <w:pPr>
                  <w:jc w:val="center"/>
                  <w:rPr>
                    <w:sz w:val="22"/>
                    <w:szCs w:val="22"/>
                  </w:rPr>
                </w:pPr>
                <w:r>
                  <w:rPr>
                    <w:iCs/>
                    <w:sz w:val="22"/>
                    <w:szCs w:val="22"/>
                  </w:rPr>
                  <w:t>03 – Neutralumas lyties požiūriu</w:t>
                </w:r>
              </w:p>
            </w:tc>
            <w:tc>
              <w:tcPr>
                <w:tcW w:w="1276" w:type="dxa"/>
                <w:gridSpan w:val="2"/>
              </w:tcPr>
              <w:p w14:paraId="24C2119B" w14:textId="77777777" w:rsidR="005F45C2" w:rsidRDefault="005F45C2">
                <w:pPr>
                  <w:jc w:val="center"/>
                  <w:rPr>
                    <w:iCs/>
                    <w:sz w:val="22"/>
                    <w:szCs w:val="22"/>
                  </w:rPr>
                </w:pPr>
              </w:p>
            </w:tc>
          </w:tr>
        </w:tbl>
        <w:p w14:paraId="5E0693EB" w14:textId="06AD661E" w:rsidR="005F45C2" w:rsidRDefault="005F45C2">
          <w:pPr>
            <w:jc w:val="both"/>
            <w:rPr>
              <w:i/>
              <w:iCs/>
              <w:szCs w:val="24"/>
            </w:rPr>
          </w:pPr>
        </w:p>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59"/>
            <w:gridCol w:w="2664"/>
            <w:gridCol w:w="1984"/>
            <w:gridCol w:w="2410"/>
          </w:tblGrid>
          <w:tr w:rsidR="005F45C2" w14:paraId="47ED76DD" w14:textId="77777777">
            <w:trPr>
              <w:trHeight w:val="405"/>
            </w:trPr>
            <w:tc>
              <w:tcPr>
                <w:tcW w:w="8359" w:type="dxa"/>
                <w:shd w:val="clear" w:color="auto" w:fill="auto"/>
                <w:vAlign w:val="center"/>
              </w:tcPr>
              <w:p w14:paraId="1DEF2862" w14:textId="77777777" w:rsidR="005F45C2" w:rsidRDefault="003C5AF8">
                <w:pPr>
                  <w:jc w:val="center"/>
                  <w:rPr>
                    <w:sz w:val="22"/>
                    <w:szCs w:val="22"/>
                  </w:rPr>
                </w:pPr>
                <w:r>
                  <w:rPr>
                    <w:sz w:val="22"/>
                    <w:szCs w:val="22"/>
                  </w:rPr>
                  <w:t>Rodiklio pavadinimas</w:t>
                </w:r>
              </w:p>
            </w:tc>
            <w:tc>
              <w:tcPr>
                <w:tcW w:w="2664" w:type="dxa"/>
                <w:shd w:val="clear" w:color="auto" w:fill="auto"/>
                <w:vAlign w:val="center"/>
              </w:tcPr>
              <w:p w14:paraId="7AECEC93" w14:textId="77777777" w:rsidR="005F45C2" w:rsidRDefault="003C5AF8">
                <w:pPr>
                  <w:jc w:val="center"/>
                  <w:rPr>
                    <w:sz w:val="22"/>
                    <w:szCs w:val="22"/>
                  </w:rPr>
                </w:pPr>
                <w:r>
                  <w:rPr>
                    <w:sz w:val="22"/>
                    <w:szCs w:val="22"/>
                  </w:rPr>
                  <w:t>Rodiklio kodas</w:t>
                </w:r>
              </w:p>
            </w:tc>
            <w:tc>
              <w:tcPr>
                <w:tcW w:w="1984" w:type="dxa"/>
                <w:shd w:val="clear" w:color="auto" w:fill="auto"/>
                <w:vAlign w:val="center"/>
              </w:tcPr>
              <w:p w14:paraId="6E3CAD59" w14:textId="77777777" w:rsidR="005F45C2" w:rsidRDefault="003C5AF8">
                <w:pPr>
                  <w:jc w:val="center"/>
                  <w:rPr>
                    <w:sz w:val="22"/>
                    <w:szCs w:val="22"/>
                  </w:rPr>
                </w:pPr>
                <w:r>
                  <w:rPr>
                    <w:sz w:val="22"/>
                    <w:szCs w:val="22"/>
                  </w:rPr>
                  <w:t>Matavimo vienetai</w:t>
                </w:r>
              </w:p>
            </w:tc>
            <w:tc>
              <w:tcPr>
                <w:tcW w:w="2410" w:type="dxa"/>
                <w:shd w:val="clear" w:color="auto" w:fill="auto"/>
                <w:vAlign w:val="center"/>
              </w:tcPr>
              <w:p w14:paraId="28D3298B" w14:textId="331FA6FD" w:rsidR="005F45C2" w:rsidRDefault="003C5AF8">
                <w:pPr>
                  <w:jc w:val="center"/>
                  <w:rPr>
                    <w:sz w:val="22"/>
                    <w:szCs w:val="22"/>
                  </w:rPr>
                </w:pPr>
                <w:r>
                  <w:rPr>
                    <w:sz w:val="22"/>
                    <w:szCs w:val="22"/>
                  </w:rPr>
                  <w:t>Siektina reikšmė ir pasiekimo data</w:t>
                </w:r>
              </w:p>
            </w:tc>
          </w:tr>
          <w:tr w:rsidR="005F45C2" w14:paraId="1DE96128" w14:textId="77777777">
            <w:trPr>
              <w:trHeight w:val="685"/>
            </w:trPr>
            <w:tc>
              <w:tcPr>
                <w:tcW w:w="8359" w:type="dxa"/>
              </w:tcPr>
              <w:p w14:paraId="7BF5CD0E" w14:textId="77777777" w:rsidR="005F45C2" w:rsidRDefault="003C5AF8">
                <w:pPr>
                  <w:rPr>
                    <w:sz w:val="22"/>
                    <w:szCs w:val="22"/>
                  </w:rPr>
                </w:pPr>
                <w:r>
                  <w:rPr>
                    <w:sz w:val="22"/>
                    <w:szCs w:val="22"/>
                    <w:lang w:eastAsia="lt-LT"/>
                  </w:rPr>
                  <w:t>Nepalankias sąlygas turinčių asmenų grupių mokinių, kuriems buvo skirta parama profesinio mokymo prieinamumui gerinti, dalis</w:t>
                </w:r>
              </w:p>
            </w:tc>
            <w:tc>
              <w:tcPr>
                <w:tcW w:w="2664" w:type="dxa"/>
              </w:tcPr>
              <w:p w14:paraId="1FC88AF3" w14:textId="2CC6AA2B" w:rsidR="005F45C2" w:rsidRDefault="003C5AF8">
                <w:pPr>
                  <w:jc w:val="center"/>
                  <w:rPr>
                    <w:sz w:val="22"/>
                    <w:szCs w:val="22"/>
                  </w:rPr>
                </w:pPr>
                <w:r>
                  <w:rPr>
                    <w:sz w:val="22"/>
                    <w:szCs w:val="22"/>
                  </w:rPr>
                  <w:t>R-12-003-03-04-03-01 R.S.2.3510</w:t>
                </w:r>
              </w:p>
            </w:tc>
            <w:tc>
              <w:tcPr>
                <w:tcW w:w="1984" w:type="dxa"/>
              </w:tcPr>
              <w:p w14:paraId="6B873F4D" w14:textId="415DAA38" w:rsidR="005F45C2" w:rsidRDefault="003C5AF8">
                <w:pPr>
                  <w:jc w:val="center"/>
                  <w:rPr>
                    <w:sz w:val="22"/>
                    <w:szCs w:val="22"/>
                  </w:rPr>
                </w:pPr>
                <w:r>
                  <w:rPr>
                    <w:sz w:val="22"/>
                    <w:szCs w:val="22"/>
                  </w:rPr>
                  <w:t>Procentas</w:t>
                </w:r>
              </w:p>
            </w:tc>
            <w:tc>
              <w:tcPr>
                <w:tcW w:w="2410" w:type="dxa"/>
              </w:tcPr>
              <w:p w14:paraId="5D6F9D10" w14:textId="0C1D87B1" w:rsidR="005F45C2" w:rsidRDefault="003C5AF8">
                <w:pPr>
                  <w:jc w:val="center"/>
                  <w:rPr>
                    <w:sz w:val="22"/>
                    <w:szCs w:val="22"/>
                  </w:rPr>
                </w:pPr>
                <w:r>
                  <w:rPr>
                    <w:sz w:val="22"/>
                    <w:szCs w:val="22"/>
                    <w:lang w:eastAsia="lt-LT"/>
                  </w:rPr>
                  <w:t>4</w:t>
                </w:r>
              </w:p>
            </w:tc>
          </w:tr>
          <w:tr w:rsidR="005F45C2" w14:paraId="2CE74323" w14:textId="77777777">
            <w:trPr>
              <w:trHeight w:val="555"/>
            </w:trPr>
            <w:tc>
              <w:tcPr>
                <w:tcW w:w="8359" w:type="dxa"/>
              </w:tcPr>
              <w:p w14:paraId="1D40F60D" w14:textId="77777777" w:rsidR="005F45C2" w:rsidRDefault="003C5AF8">
                <w:pPr>
                  <w:rPr>
                    <w:sz w:val="22"/>
                    <w:szCs w:val="22"/>
                  </w:rPr>
                </w:pPr>
                <w:r>
                  <w:rPr>
                    <w:sz w:val="22"/>
                    <w:szCs w:val="22"/>
                    <w:lang w:eastAsia="lt-LT"/>
                  </w:rPr>
                  <w:t>Nepalankias sąlygas turinčių asmenų grupių mokiniai, kuriems buvo skirta parama profesinio mokymo prieinamumui gerinti</w:t>
                </w:r>
              </w:p>
            </w:tc>
            <w:tc>
              <w:tcPr>
                <w:tcW w:w="2664" w:type="dxa"/>
              </w:tcPr>
              <w:p w14:paraId="602C253D" w14:textId="02B99AE4" w:rsidR="005F45C2" w:rsidRDefault="003C5AF8">
                <w:pPr>
                  <w:jc w:val="center"/>
                  <w:rPr>
                    <w:sz w:val="22"/>
                    <w:szCs w:val="22"/>
                    <w:lang w:eastAsia="lt-LT"/>
                  </w:rPr>
                </w:pPr>
                <w:r>
                  <w:rPr>
                    <w:sz w:val="22"/>
                    <w:szCs w:val="22"/>
                  </w:rPr>
                  <w:t>P-12-003-03-04-03-05 P.S.2.1505</w:t>
                </w:r>
              </w:p>
            </w:tc>
            <w:tc>
              <w:tcPr>
                <w:tcW w:w="1984" w:type="dxa"/>
              </w:tcPr>
              <w:p w14:paraId="189D912B" w14:textId="77777777" w:rsidR="005F45C2" w:rsidRDefault="003C5AF8">
                <w:pPr>
                  <w:jc w:val="center"/>
                  <w:rPr>
                    <w:sz w:val="22"/>
                    <w:szCs w:val="22"/>
                  </w:rPr>
                </w:pPr>
                <w:r>
                  <w:rPr>
                    <w:sz w:val="22"/>
                    <w:szCs w:val="22"/>
                  </w:rPr>
                  <w:t>Asmenys</w:t>
                </w:r>
              </w:p>
            </w:tc>
            <w:tc>
              <w:tcPr>
                <w:tcW w:w="2410" w:type="dxa"/>
              </w:tcPr>
              <w:p w14:paraId="22D05205" w14:textId="32FE4B08" w:rsidR="005F45C2" w:rsidRDefault="003C5AF8">
                <w:pPr>
                  <w:jc w:val="center"/>
                  <w:rPr>
                    <w:sz w:val="22"/>
                    <w:szCs w:val="22"/>
                  </w:rPr>
                </w:pPr>
                <w:r>
                  <w:rPr>
                    <w:sz w:val="22"/>
                    <w:szCs w:val="22"/>
                  </w:rPr>
                  <w:t>660</w:t>
                </w:r>
              </w:p>
            </w:tc>
          </w:tr>
          <w:tr w:rsidR="005F45C2" w14:paraId="3A2FE583" w14:textId="77777777">
            <w:trPr>
              <w:trHeight w:val="298"/>
            </w:trPr>
            <w:tc>
              <w:tcPr>
                <w:tcW w:w="15417" w:type="dxa"/>
                <w:gridSpan w:val="4"/>
              </w:tcPr>
              <w:p w14:paraId="5A34E487" w14:textId="1C69A3C2" w:rsidR="005F45C2" w:rsidRDefault="003C5AF8">
                <w:pPr>
                  <w:jc w:val="both"/>
                  <w:rPr>
                    <w:szCs w:val="24"/>
                  </w:rPr>
                </w:pPr>
                <w:r>
                  <w:rPr>
                    <w:szCs w:val="24"/>
                  </w:rPr>
                  <w:t>Švietimo, mokslo ir sporto ministerijos stebėsenos rodiklių aprašymo kortelės</w:t>
                </w:r>
              </w:p>
            </w:tc>
          </w:tr>
          <w:tr w:rsidR="005F45C2" w14:paraId="2C9EA33E" w14:textId="77777777">
            <w:trPr>
              <w:trHeight w:val="315"/>
            </w:trPr>
            <w:tc>
              <w:tcPr>
                <w:tcW w:w="15417" w:type="dxa"/>
                <w:gridSpan w:val="4"/>
              </w:tcPr>
              <w:p w14:paraId="5A849D97" w14:textId="335A1FAF" w:rsidR="005F45C2" w:rsidRDefault="003C5AF8">
                <w:pPr>
                  <w:jc w:val="both"/>
                  <w:rPr>
                    <w:i/>
                    <w:szCs w:val="24"/>
                  </w:rPr>
                </w:pPr>
                <w:r>
                  <w:rPr>
                    <w:iCs/>
                    <w:sz w:val="22"/>
                    <w:szCs w:val="22"/>
                  </w:rPr>
                  <w:t xml:space="preserve">Rodiklių skaičiavimo metodika pateikta 2021–2030 m. plėtros programos valdytojos Lietuvos Respublikos švietimo, mokslo ir sporto ministerijos švietimo plėtros programos pažangos priemonės Nr. 12-003-03-04-03 „Sukurti rinkos poreikius atliepiančią profesinio ugdymo sistemą“ stebėsenos rodiklių aprašymo kortelėse tinklalapyje: </w:t>
                </w:r>
                <w:r>
                  <w:rPr>
                    <w:iCs/>
                    <w:sz w:val="22"/>
                    <w:szCs w:val="22"/>
                    <w:u w:val="single"/>
                  </w:rPr>
                  <w:t>https://smsm.lrv.lt/lt/administracine-informacija/planavimo-dokumentai/Pprogramos20200519/priemones_/</w:t>
                </w:r>
                <w:r>
                  <w:rPr>
                    <w:iCs/>
                    <w:sz w:val="22"/>
                    <w:szCs w:val="22"/>
                  </w:rPr>
                  <w:t>.</w:t>
                </w:r>
              </w:p>
            </w:tc>
          </w:tr>
        </w:tbl>
        <w:p w14:paraId="4822513F" w14:textId="77777777" w:rsidR="005F45C2" w:rsidRDefault="005F45C2">
          <w:pPr>
            <w:jc w:val="both"/>
            <w:rPr>
              <w:i/>
              <w:iCs/>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1"/>
          </w:tblGrid>
          <w:tr w:rsidR="005F45C2" w14:paraId="7DA10928" w14:textId="77777777">
            <w:tc>
              <w:tcPr>
                <w:tcW w:w="15021" w:type="dxa"/>
              </w:tcPr>
              <w:p w14:paraId="3D6598BB" w14:textId="77777777" w:rsidR="005F45C2" w:rsidRDefault="003C5AF8">
                <w:pPr>
                  <w:rPr>
                    <w:b/>
                    <w:szCs w:val="24"/>
                  </w:rPr>
                </w:pPr>
                <w:r>
                  <w:rPr>
                    <w:b/>
                    <w:szCs w:val="24"/>
                  </w:rPr>
                  <w:t>SPECIALIEJI FINANSAVIMO REIKALAVIMAI</w:t>
                </w:r>
              </w:p>
            </w:tc>
          </w:tr>
          <w:tr w:rsidR="005F45C2" w14:paraId="02F4BCBC" w14:textId="77777777">
            <w:tc>
              <w:tcPr>
                <w:tcW w:w="15021" w:type="dxa"/>
              </w:tcPr>
              <w:p w14:paraId="25E951D2" w14:textId="77777777" w:rsidR="005F45C2" w:rsidRDefault="003C5AF8">
                <w:pPr>
                  <w:rPr>
                    <w:b/>
                    <w:bCs/>
                    <w:szCs w:val="24"/>
                  </w:rPr>
                </w:pPr>
                <w:r>
                  <w:rPr>
                    <w:b/>
                    <w:bCs/>
                    <w:szCs w:val="24"/>
                  </w:rPr>
                  <w:lastRenderedPageBreak/>
                  <w:t>1. Taikomi teisės aktai</w:t>
                </w:r>
              </w:p>
            </w:tc>
          </w:tr>
          <w:tr w:rsidR="005F45C2" w14:paraId="516CAA64" w14:textId="77777777">
            <w:tc>
              <w:tcPr>
                <w:tcW w:w="15021" w:type="dxa"/>
                <w:shd w:val="clear" w:color="auto" w:fill="FFFFFF" w:themeFill="background1"/>
              </w:tcPr>
              <w:p w14:paraId="01F92ACD" w14:textId="4D6BC4E7" w:rsidR="005F45C2" w:rsidRDefault="003C5AF8">
                <w:pPr>
                  <w:tabs>
                    <w:tab w:val="left" w:pos="22"/>
                    <w:tab w:val="left" w:pos="465"/>
                  </w:tabs>
                  <w:ind w:left="22"/>
                  <w:jc w:val="both"/>
                  <w:rPr>
                    <w:szCs w:val="24"/>
                  </w:rPr>
                </w:pPr>
                <w:r>
                  <w:rPr>
                    <w:iCs/>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7 (toliau – Aprašas Nr. 7) parengtas atsižvelgiant į:</w:t>
                </w:r>
              </w:p>
              <w:p w14:paraId="4EEBBE49" w14:textId="77777777" w:rsidR="005F45C2" w:rsidRDefault="005F45C2">
                <w:pPr>
                  <w:rPr>
                    <w:sz w:val="6"/>
                    <w:szCs w:val="6"/>
                  </w:rPr>
                </w:pPr>
              </w:p>
              <w:p w14:paraId="44EFCFC1" w14:textId="1E0F9AB8" w:rsidR="005F45C2" w:rsidRDefault="003C5AF8">
                <w:pPr>
                  <w:ind w:left="360" w:hanging="360"/>
                  <w:jc w:val="both"/>
                  <w:rPr>
                    <w:b/>
                    <w:szCs w:val="24"/>
                  </w:rPr>
                </w:pPr>
                <w:r>
                  <w:rPr>
                    <w:b/>
                    <w:szCs w:val="24"/>
                  </w:rPr>
                  <w:t>1.1. Bendruosius teisės aktus:</w:t>
                </w:r>
              </w:p>
              <w:p w14:paraId="7930213F" w14:textId="6C9CCEDB" w:rsidR="005F45C2" w:rsidRDefault="003C5AF8">
                <w:pPr>
                  <w:tabs>
                    <w:tab w:val="left" w:pos="885"/>
                  </w:tabs>
                  <w:jc w:val="both"/>
                  <w:rPr>
                    <w:szCs w:val="24"/>
                  </w:rPr>
                </w:pPr>
                <w:r>
                  <w:rPr>
                    <w:szCs w:val="24"/>
                  </w:rPr>
                  <w:t>1.1.1.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r>
                  <w:rPr>
                    <w:szCs w:val="24"/>
                    <w:vertAlign w:val="superscript"/>
                  </w:rPr>
                  <w:footnoteReference w:id="2"/>
                </w:r>
                <w:r>
                  <w:rPr>
                    <w:szCs w:val="24"/>
                  </w:rPr>
                  <w:t xml:space="preserve"> (toliau – Projektų administravimo ir finansavimo taisyklės);</w:t>
                </w:r>
              </w:p>
              <w:p w14:paraId="56B88631" w14:textId="570F7BDB" w:rsidR="005F45C2" w:rsidRDefault="003C5AF8">
                <w:pPr>
                  <w:tabs>
                    <w:tab w:val="left" w:pos="885"/>
                  </w:tabs>
                  <w:jc w:val="both"/>
                  <w:rPr>
                    <w:szCs w:val="24"/>
                  </w:rPr>
                </w:pPr>
                <w:r>
                  <w:rPr>
                    <w:szCs w:val="24"/>
                  </w:rPr>
                  <w:t>1.1.2. Strateginio valdymo metodiką, patvirtintą Lietuvos Respublikos Vyriausybės 2021 m. balandžio 28 d. nutarimu Nr. 292 „Dėl Strateginio valdymo metodikos patvirtinimo“ (toliau – Strateginio valdymo metodika)</w:t>
                </w:r>
                <w:r>
                  <w:rPr>
                    <w:szCs w:val="24"/>
                    <w:vertAlign w:val="superscript"/>
                  </w:rPr>
                  <w:footnoteReference w:id="3"/>
                </w:r>
                <w:r>
                  <w:rPr>
                    <w:szCs w:val="24"/>
                  </w:rPr>
                  <w:t>;</w:t>
                </w:r>
              </w:p>
              <w:p w14:paraId="1FD29E53" w14:textId="63B73F18" w:rsidR="005F45C2" w:rsidRDefault="003C5AF8">
                <w:pPr>
                  <w:tabs>
                    <w:tab w:val="left" w:pos="885"/>
                  </w:tabs>
                  <w:jc w:val="both"/>
                  <w:rPr>
                    <w:szCs w:val="24"/>
                  </w:rPr>
                </w:pPr>
                <w:r>
                  <w:rPr>
                    <w:szCs w:val="24"/>
                  </w:rPr>
                  <w:t>1.1.3. 2021–2030 metų nacionalinį pažangos planą, patvirtintą Lietuvos Respublikos Vyriausybės 2020 m. rugsėjo 9 d. nutarimu Nr. 998 „Dėl 2021–2030 metų nacionalinio pažangos plano patvirtinimo“;</w:t>
                </w:r>
              </w:p>
              <w:p w14:paraId="7E33B2E7" w14:textId="2D740402" w:rsidR="005F45C2" w:rsidRDefault="003C5AF8">
                <w:pPr>
                  <w:tabs>
                    <w:tab w:val="left" w:pos="885"/>
                  </w:tabs>
                  <w:jc w:val="both"/>
                  <w:rPr>
                    <w:szCs w:val="24"/>
                  </w:rPr>
                </w:pPr>
                <w:r>
                  <w:rPr>
                    <w:szCs w:val="24"/>
                  </w:rPr>
                  <w:t xml:space="preserve">1.1.4. 2021–2030 m. plėtros programos valdytojos Lietuvos Respublikos švietimo, mokslo ir sporto ministerijos švietimo plėtros programą, patvirtintą Lietuvos Respublikos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14:paraId="300EBC4E" w14:textId="5863F6FD" w:rsidR="005F45C2" w:rsidRDefault="003C5AF8">
                <w:pPr>
                  <w:tabs>
                    <w:tab w:val="left" w:pos="885"/>
                  </w:tabs>
                  <w:jc w:val="both"/>
                  <w:rPr>
                    <w:szCs w:val="24"/>
                  </w:rPr>
                </w:pPr>
                <w:r>
                  <w:rPr>
                    <w:szCs w:val="24"/>
                  </w:rPr>
                  <w:t xml:space="preserve">1.1.5. Stebėsenos rodiklių nustatymo ir skaičiavimo aprašą, patvirtintą </w:t>
                </w:r>
                <w:r>
                  <w:rPr>
                    <w:color w:val="000000"/>
                  </w:rPr>
                  <w:t>Lietuvos Respublikos finansų ministro 2022 m. birželio 22 d. įsakymu Nr. 1K-237;</w:t>
                </w:r>
              </w:p>
              <w:p w14:paraId="2063565C" w14:textId="56CA8356" w:rsidR="005F45C2" w:rsidRDefault="003C5AF8">
                <w:pPr>
                  <w:tabs>
                    <w:tab w:val="left" w:pos="885"/>
                  </w:tabs>
                  <w:jc w:val="both"/>
                  <w:rPr>
                    <w:szCs w:val="24"/>
                  </w:rPr>
                </w:pPr>
                <w:r>
                  <w:rPr>
                    <w:szCs w:val="24"/>
                  </w:rPr>
                  <w:t xml:space="preserve">1.1.6. 2021–2030 m. plėtros programos valdytojos Lietuvos Respublikos švietimo, mokslo ir sporto ministerijos švietimo plėtros programos pažangos priemonės Nr. 12-003-03-04-03 „Sukurti rinkos poreikius atliepiančią profesinio ugdymo sistemą“ aprašą, patvirtintą </w:t>
                </w:r>
                <w:r>
                  <w:rPr>
                    <w:szCs w:val="24"/>
                    <w:shd w:val="clear" w:color="auto" w:fill="FFFFFF"/>
                  </w:rPr>
                  <w:t>Lietuvos Respublikos švietimo, mokslo ir sporto ministro 2022 m. birželio 9 d. 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r>
                  <w:rPr>
                    <w:szCs w:val="24"/>
                  </w:rPr>
                  <w:t>;</w:t>
                </w:r>
              </w:p>
              <w:p w14:paraId="50651B4B" w14:textId="2CEFBB9E" w:rsidR="005F45C2" w:rsidRDefault="003C5AF8">
                <w:pPr>
                  <w:jc w:val="both"/>
                  <w:rPr>
                    <w:iCs/>
                    <w:szCs w:val="24"/>
                  </w:rPr>
                </w:pPr>
                <w:r>
                  <w:rPr>
                    <w:iCs/>
                    <w:szCs w:val="24"/>
                  </w:rPr>
                  <w:t>1.1.7. 2021 m. birželio 24 d. Europos Parlamento ir Tarybos reglamentą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(toliau – Taisyklės);</w:t>
                </w:r>
              </w:p>
              <w:p w14:paraId="75B58967" w14:textId="77777777" w:rsidR="005F45C2" w:rsidRDefault="005F45C2">
                <w:pPr>
                  <w:tabs>
                    <w:tab w:val="left" w:pos="885"/>
                  </w:tabs>
                  <w:jc w:val="both"/>
                  <w:rPr>
                    <w:sz w:val="4"/>
                    <w:szCs w:val="4"/>
                  </w:rPr>
                </w:pPr>
              </w:p>
              <w:p w14:paraId="6D72D151" w14:textId="77777777" w:rsidR="005F45C2" w:rsidRDefault="003C5AF8">
                <w:pPr>
                  <w:tabs>
                    <w:tab w:val="left" w:pos="447"/>
                  </w:tabs>
                  <w:ind w:left="360" w:hanging="360"/>
                  <w:jc w:val="both"/>
                  <w:rPr>
                    <w:b/>
                    <w:szCs w:val="24"/>
                  </w:rPr>
                </w:pPr>
                <w:r>
                  <w:rPr>
                    <w:b/>
                    <w:szCs w:val="24"/>
                  </w:rPr>
                  <w:t>1.2.</w:t>
                </w:r>
                <w:r>
                  <w:rPr>
                    <w:b/>
                    <w:szCs w:val="24"/>
                  </w:rPr>
                  <w:tab/>
                  <w:t>Specialiuosius teisės aktus:</w:t>
                </w:r>
              </w:p>
              <w:p w14:paraId="68D4FD4B" w14:textId="77777777" w:rsidR="005F45C2" w:rsidRDefault="003C5AF8">
                <w:pPr>
                  <w:jc w:val="both"/>
                  <w:rPr>
                    <w:szCs w:val="24"/>
                  </w:rPr>
                </w:pPr>
                <w:r>
                  <w:rPr>
                    <w:szCs w:val="24"/>
                    <w:lang w:eastAsia="lt-LT"/>
                  </w:rPr>
                  <w:t>1.2.1. Lietuvos Respublikos švietimo įstatymą;</w:t>
                </w:r>
              </w:p>
              <w:p w14:paraId="4E06239A" w14:textId="77777777" w:rsidR="005F45C2" w:rsidRDefault="003C5AF8">
                <w:pPr>
                  <w:jc w:val="both"/>
                  <w:rPr>
                    <w:szCs w:val="24"/>
                  </w:rPr>
                </w:pPr>
                <w:r>
                  <w:rPr>
                    <w:szCs w:val="24"/>
                  </w:rPr>
                  <w:t xml:space="preserve">1.2.2. Lietuvos Respublikos profesinio mokymo įstatymą; </w:t>
                </w:r>
              </w:p>
              <w:p w14:paraId="32BBA341" w14:textId="4247FED2" w:rsidR="005F45C2" w:rsidRDefault="003C5AF8">
                <w:pPr>
                  <w:jc w:val="both"/>
                  <w:rPr>
                    <w:szCs w:val="24"/>
                  </w:rPr>
                </w:pPr>
                <w:r>
                  <w:rPr>
                    <w:szCs w:val="24"/>
                  </w:rPr>
                  <w:t xml:space="preserve">1.2.3. Formaliojo profesinio mokymo tvarkos aprašą, patvirtintą Lietuvos Respublikos švietimo ir mokslo ministro 2012 m. kovo 15 d. įsakymu Nr. V-482 „Dėl Formaliojo profesinio mokymo tvarkos aprašo patvirtinimo“; </w:t>
                </w:r>
              </w:p>
              <w:p w14:paraId="6B7CBD71" w14:textId="03FD6994" w:rsidR="005F45C2" w:rsidRDefault="003C5AF8">
                <w:pPr>
                  <w:jc w:val="both"/>
                  <w:rPr>
                    <w:rFonts w:eastAsia="Calibri"/>
                    <w:i/>
                  </w:rPr>
                </w:pPr>
                <w:r>
                  <w:rPr>
                    <w:lang w:eastAsia="lt-LT"/>
                  </w:rPr>
                  <w:lastRenderedPageBreak/>
                  <w:t xml:space="preserve">1.2.4. </w:t>
                </w:r>
                <w:r>
                  <w:rPr>
                    <w:rFonts w:eastAsia="Calibri"/>
                  </w:rPr>
                  <w:t xml:space="preserve">Profesinio orientavimo teikimo tvarkos aprašą, patvirtintą Lietuvos Respublikos Vyriausybės 2022 m. rugpjūčio 24 d. nutarimu Nr. 847 „Dėl Profesinio orientavimo teikimo tvarkos aprašo patvirtinimo“; </w:t>
                </w:r>
              </w:p>
              <w:p w14:paraId="3364EC53" w14:textId="439DC94D" w:rsidR="005F45C2" w:rsidRDefault="003C5AF8">
                <w:pPr>
                  <w:spacing w:line="259" w:lineRule="auto"/>
                  <w:jc w:val="both"/>
                  <w:textAlignment w:val="baseline"/>
                  <w:rPr>
                    <w:lang w:eastAsia="lt-LT"/>
                  </w:rPr>
                </w:pPr>
                <w:r>
                  <w:rPr>
                    <w:lang w:eastAsia="lt-LT"/>
                  </w:rPr>
                  <w:t xml:space="preserve">1.2.5. 2023–2024 ir 2024–2025 mokslo metų pradinio, pagrindinio ir vidurinio ugdymo programų bendruosius ugdymo planus, patvirtintus Lietuvos Respublikos švietimo, mokslo ir sporto ministro 2023 m. balandžio 24 d. įsakymu Nr. V-586 „Dėl 2023–2024 ir 2024–2025 mokslo metų pradinio, pagrindinio ir vidurinio ugdymo programų bendrųjų ugdymo planų patvirtinimo“; </w:t>
                </w:r>
              </w:p>
              <w:p w14:paraId="41CAEC24" w14:textId="17405F39" w:rsidR="005F45C2" w:rsidRDefault="003C5AF8">
                <w:pPr>
                  <w:spacing w:line="259" w:lineRule="auto"/>
                  <w:jc w:val="both"/>
                  <w:textAlignment w:val="baseline"/>
                </w:pPr>
                <w:r>
                  <w:rPr>
                    <w:lang w:eastAsia="lt-LT"/>
                  </w:rPr>
                  <w:t xml:space="preserve">1.2.6. </w:t>
                </w:r>
                <w:r>
                  <w:rPr>
                    <w:color w:val="000000"/>
                    <w:szCs w:val="24"/>
                  </w:rPr>
                  <w:t>Priėmimo mokytis pagal formaliojo profesinio mokymo programas į profesinio mokymo įstaigas ir kitas valstybines ar savivaldybių švietimo įstaigas tvarkos aprašą, patvirtintą Lietuvos Respublikos švietimo, mokslo ir sporto ministro 2017 m. gegužės 17 d. įsakymu Nr. V-373 „Dėl Priėmimo mokytis pagal formaliojo profesinio mokymo programas į profesinio mokymo įstaigas ir kitas valstybines ar savivaldybių švietimo įstaigas tvarkos aprašo patvirtinimo“;</w:t>
                </w:r>
                <w:r>
                  <w:t xml:space="preserve"> </w:t>
                </w:r>
              </w:p>
              <w:p w14:paraId="24CF5818" w14:textId="7E25494E" w:rsidR="005F45C2" w:rsidRDefault="003C5AF8">
                <w:pPr>
                  <w:jc w:val="both"/>
                  <w:rPr>
                    <w:szCs w:val="24"/>
                  </w:rPr>
                </w:pPr>
                <w:r>
                  <w:t xml:space="preserve">1.2.7. </w:t>
                </w:r>
                <w:r>
                  <w:rPr>
                    <w:color w:val="000000"/>
                    <w:szCs w:val="24"/>
                  </w:rPr>
                  <w:t>Mokinių, turinčių specialiųjų ugdymosi poreikių, grupių nustatymo ir jų specialiųjų ugdymosi poreikių skirstymo į lygius tvarkos aprašą, patvirtintą Lietuvos Respublikos švietimo ir mokslo ministro, Lietuvos Respublikos sveikatos apsaugos ministro ir Lietuvos Respublikos socialinės apsaugos ir darbo ministro 2011 m. liepos 13 d. įsakymu Nr. V-1265/V-685/A1-317 „Dėl Mokinių, turinčių specialiųjų ugdymosi poreikių, grupių nustatymo ir jų specialiųjų ugdymosi poreikių skirstymo į lygius tvarkos aprašo patvirtinimo“;</w:t>
                </w:r>
              </w:p>
              <w:p w14:paraId="33461307" w14:textId="76BA155D" w:rsidR="005F45C2" w:rsidRDefault="003C5AF8">
                <w:pPr>
                  <w:spacing w:line="259" w:lineRule="auto"/>
                  <w:jc w:val="both"/>
                  <w:textAlignment w:val="baseline"/>
                </w:pPr>
                <w:r>
                  <w:rPr>
                    <w:szCs w:val="24"/>
                  </w:rPr>
                  <w:t>1.2.8. 2023–2024 ir 2024–2025</w:t>
                </w:r>
                <w:r>
                  <w:rPr>
                    <w:b/>
                    <w:bCs/>
                    <w:szCs w:val="24"/>
                  </w:rPr>
                  <w:t> </w:t>
                </w:r>
                <w:r>
                  <w:rPr>
                    <w:szCs w:val="24"/>
                  </w:rPr>
                  <w:t xml:space="preserve">mokslo metų bendruosius profesinio mokymo planus, patvirtintus </w:t>
                </w:r>
                <w:r>
                  <w:rPr>
                    <w:lang w:eastAsia="lt-LT"/>
                  </w:rPr>
                  <w:t>Lietuvos Respublikos švietimo, mokslo ir sporto ministro 2023 m. birželio 29 d. įsakymu Nr. V-</w:t>
                </w:r>
                <w:r>
                  <w:t>913</w:t>
                </w:r>
                <w:r>
                  <w:rPr>
                    <w:lang w:eastAsia="lt-LT"/>
                  </w:rPr>
                  <w:t xml:space="preserve"> „Dėl 2023–2024 ir 2024–2025 mokslo metų bendrųjų profesinio mokymo planų patvirtinimo“. </w:t>
                </w:r>
              </w:p>
              <w:p w14:paraId="2254B39C" w14:textId="1D8CE439" w:rsidR="005F45C2" w:rsidRDefault="003C5AF8">
                <w:pPr>
                  <w:ind w:left="22"/>
                  <w:jc w:val="both"/>
                  <w:rPr>
                    <w:szCs w:val="24"/>
                  </w:rPr>
                </w:pPr>
                <w:r>
                  <w:rPr>
                    <w:szCs w:val="24"/>
                  </w:rPr>
                  <w:t>1.3. Apraše Nr. 7 vartojamos sąvokos suprantamos taip, kaip jos apibrėžtos Strateginio valdymo metodikoje, Taisyklėse, Projektų administravimo ir finansavimo taisyklėse, Lietuvos Respublikos švietimo įstatyme ir kituose anksčiau paminėtuose teisės aktuose.</w:t>
                </w:r>
              </w:p>
              <w:p w14:paraId="267B26C3" w14:textId="53A351AE" w:rsidR="005F45C2" w:rsidRDefault="003C5AF8">
                <w:pPr>
                  <w:jc w:val="both"/>
                  <w:rPr>
                    <w:i/>
                    <w:szCs w:val="24"/>
                  </w:rPr>
                </w:pPr>
                <w:r>
                  <w:rPr>
                    <w:szCs w:val="24"/>
                  </w:rPr>
                  <w:t xml:space="preserve">1.4. Apraše Nr. 7 vartojamos kitos sąvokos: </w:t>
                </w:r>
              </w:p>
              <w:p w14:paraId="2DC352FC" w14:textId="76B02226" w:rsidR="005F45C2" w:rsidRDefault="003C5AF8">
                <w:pPr>
                  <w:jc w:val="both"/>
                  <w:rPr>
                    <w:szCs w:val="24"/>
                    <w:lang w:eastAsia="lt-LT" w:bidi="lt-LT"/>
                  </w:rPr>
                </w:pPr>
                <w:r>
                  <w:rPr>
                    <w:rFonts w:eastAsia="Calibri"/>
                    <w:szCs w:val="24"/>
                  </w:rPr>
                  <w:t xml:space="preserve">1.4.1. </w:t>
                </w:r>
                <w:r>
                  <w:rPr>
                    <w:szCs w:val="24"/>
                  </w:rPr>
                  <w:t>Mokiniai, turintys specialiųjų ugdymosi poreikių, ir mokiniai</w:t>
                </w:r>
                <w:r>
                  <w:rPr>
                    <w:szCs w:val="24"/>
                    <w:lang w:eastAsia="lt-LT"/>
                  </w:rPr>
                  <w:t xml:space="preserve"> iš nepalankaus socialinio ekonominio konteksto (toliau – SEK)</w:t>
                </w:r>
                <w:r>
                  <w:rPr>
                    <w:rFonts w:eastAsia="Calibri"/>
                    <w:szCs w:val="24"/>
                  </w:rPr>
                  <w:t xml:space="preserve"> </w:t>
                </w:r>
                <w:r>
                  <w:rPr>
                    <w:szCs w:val="24"/>
                    <w:lang w:eastAsia="lt-LT"/>
                  </w:rPr>
                  <w:t>–</w:t>
                </w:r>
                <w:r>
                  <w:rPr>
                    <w:rFonts w:eastAsia="Calibri"/>
                    <w:szCs w:val="24"/>
                  </w:rPr>
                  <w:t xml:space="preserve"> mokiniai</w:t>
                </w:r>
                <w:r>
                  <w:rPr>
                    <w:szCs w:val="24"/>
                    <w:lang w:eastAsia="lt-LT" w:bidi="lt-LT"/>
                  </w:rPr>
                  <w:t xml:space="preserve">, patiriantys atskirtį, skurdą ar socialines rizikas, dėl kurių kyla grėsmė patirti socialinę atskirtį, t. y. mokiniai, turintys negalią; </w:t>
                </w:r>
                <w:r>
                  <w:rPr>
                    <w:iCs/>
                    <w:szCs w:val="24"/>
                    <w:lang w:eastAsia="lt-LT"/>
                  </w:rPr>
                  <w:t>mokiniai, turintys</w:t>
                </w:r>
                <w:r>
                  <w:rPr>
                    <w:szCs w:val="24"/>
                  </w:rPr>
                  <w:t xml:space="preserve"> elgesio ir / ar emocijų, raidos ir kitų sutrikimų; </w:t>
                </w:r>
                <w:r>
                  <w:rPr>
                    <w:szCs w:val="24"/>
                    <w:lang w:eastAsia="lt-LT" w:bidi="lt-LT"/>
                  </w:rPr>
                  <w:t xml:space="preserve">mokiniai, </w:t>
                </w:r>
                <w:r>
                  <w:rPr>
                    <w:iCs/>
                    <w:szCs w:val="24"/>
                    <w:lang w:eastAsia="lt-LT"/>
                  </w:rPr>
                  <w:t>turintys teisę gauti arba gaunantys piniginę socialinę paramą pagal Lietuvos Respublikos socialinės paramos nepasiturintiems gyventojams įstatymą; mokiniai, netekę vieno iš tėvų (globėjų, rūpintojų) ar kitų šeimos narių;  mokiniai, esantys iš šeimų, auginančių 3 ir daugiau vaikų iki 18 metų; mokiniai, kuriems dėl kitų priežasčių profesinio mokymo paslaugų teikėjo vaiko gerovės komisijai pritarus būtina padidinti mokymosi prieinamumą ir sudaryti mokiniams palankesnes mokymosi sąlygas</w:t>
                </w:r>
                <w:r>
                  <w:rPr>
                    <w:szCs w:val="24"/>
                    <w:lang w:eastAsia="lt-LT" w:bidi="lt-LT"/>
                  </w:rPr>
                  <w:t xml:space="preserve">. </w:t>
                </w:r>
              </w:p>
              <w:p w14:paraId="7774A862" w14:textId="0EF6D12D" w:rsidR="005F45C2" w:rsidRDefault="005F45C2">
                <w:pPr>
                  <w:jc w:val="both"/>
                  <w:rPr>
                    <w:sz w:val="10"/>
                    <w:szCs w:val="10"/>
                    <w:lang w:eastAsia="lt-LT"/>
                  </w:rPr>
                </w:pPr>
              </w:p>
            </w:tc>
          </w:tr>
          <w:tr w:rsidR="005F45C2" w14:paraId="1559E931" w14:textId="77777777">
            <w:tc>
              <w:tcPr>
                <w:tcW w:w="15021" w:type="dxa"/>
              </w:tcPr>
              <w:p w14:paraId="50D1A2A8" w14:textId="722896F7" w:rsidR="005F45C2" w:rsidRDefault="003C5AF8">
                <w:pPr>
                  <w:rPr>
                    <w:b/>
                    <w:szCs w:val="24"/>
                  </w:rPr>
                </w:pPr>
                <w:r>
                  <w:rPr>
                    <w:b/>
                    <w:szCs w:val="24"/>
                  </w:rPr>
                  <w:lastRenderedPageBreak/>
                  <w:t>2. Reikalavimai projektams, pareiškėjams ir partneriams</w:t>
                </w:r>
              </w:p>
            </w:tc>
          </w:tr>
          <w:tr w:rsidR="005F45C2" w14:paraId="7F9A1E33" w14:textId="77777777">
            <w:tc>
              <w:tcPr>
                <w:tcW w:w="15021" w:type="dxa"/>
              </w:tcPr>
              <w:p w14:paraId="58846C78" w14:textId="7F0C85A6" w:rsidR="005F45C2" w:rsidRDefault="003C5AF8">
                <w:pPr>
                  <w:jc w:val="both"/>
                  <w:rPr>
                    <w:bCs/>
                    <w:szCs w:val="24"/>
                  </w:rPr>
                </w:pPr>
                <w:r>
                  <w:rPr>
                    <w:szCs w:val="24"/>
                  </w:rPr>
                  <w:t xml:space="preserve">2.1. Pagal Aprašą Nr. 7 įgyvendinamos 2021–2030 m. plėtros programos valdytojos Lietuvos Respublikos švietimo, mokslo ir sporto ministerijos švietimo plėtros programos pažangos priemonės Nr. 12-003-03-04-03 „Sukurti rinkos poreikius atliepiančią profesinio ugdymo sistemą“ aprašo III skyriaus 6 veiklos </w:t>
                </w:r>
                <w:r>
                  <w:rPr>
                    <w:bCs/>
                    <w:szCs w:val="24"/>
                  </w:rPr>
                  <w:t>„</w:t>
                </w:r>
                <w:r>
                  <w:rPr>
                    <w:szCs w:val="24"/>
                  </w:rPr>
                  <w:t>Profesinio mokymo prieinamumo gerinimo parama, mokiniams iš nepalankias sąlygas turinčių asmenų grupių</w:t>
                </w:r>
                <w:r>
                  <w:rPr>
                    <w:bCs/>
                    <w:szCs w:val="24"/>
                  </w:rPr>
                  <w:t>“ veiklos:</w:t>
                </w:r>
              </w:p>
              <w:p w14:paraId="65C00023" w14:textId="7C5D2B90" w:rsidR="005F45C2" w:rsidRDefault="003C5AF8">
                <w:pPr>
                  <w:jc w:val="both"/>
                  <w:rPr>
                    <w:szCs w:val="24"/>
                  </w:rPr>
                </w:pPr>
                <w:r>
                  <w:rPr>
                    <w:bCs/>
                    <w:szCs w:val="24"/>
                  </w:rPr>
                  <w:t xml:space="preserve">2.1.1. veikla Nr. 6.1 </w:t>
                </w:r>
                <w:r>
                  <w:rPr>
                    <w:szCs w:val="24"/>
                  </w:rPr>
                  <w:t>Profesinio mokymo prieinamumo gerinimo parama mokiniams iš nepalankias sąlygas turinčių asmenų grupių</w:t>
                </w:r>
                <w:r>
                  <w:rPr>
                    <w:szCs w:val="24"/>
                    <w:lang w:eastAsia="lt-LT"/>
                  </w:rPr>
                  <w:t xml:space="preserve"> Sostinės regione</w:t>
                </w:r>
                <w:r>
                  <w:rPr>
                    <w:szCs w:val="24"/>
                  </w:rPr>
                  <w:t>;</w:t>
                </w:r>
              </w:p>
              <w:p w14:paraId="4462E68F" w14:textId="1D5D3923" w:rsidR="005F45C2" w:rsidRDefault="003C5AF8">
                <w:pPr>
                  <w:jc w:val="both"/>
                  <w:rPr>
                    <w:szCs w:val="24"/>
                  </w:rPr>
                </w:pPr>
                <w:r>
                  <w:rPr>
                    <w:szCs w:val="24"/>
                  </w:rPr>
                  <w:t xml:space="preserve">2.1.2. veikla Nr. </w:t>
                </w:r>
                <w:r>
                  <w:rPr>
                    <w:bCs/>
                    <w:szCs w:val="24"/>
                  </w:rPr>
                  <w:t xml:space="preserve">6.2 </w:t>
                </w:r>
                <w:r>
                  <w:rPr>
                    <w:szCs w:val="24"/>
                  </w:rPr>
                  <w:t>Profesinio mokymo prieinamumo gerinimo parama mokiniams iš nepalankias sąlygas turinčių asmenų grupių</w:t>
                </w:r>
                <w:r>
                  <w:rPr>
                    <w:szCs w:val="24"/>
                    <w:lang w:eastAsia="lt-LT"/>
                  </w:rPr>
                  <w:t xml:space="preserve"> Vidurio ir vakarų (toliau – VVL) regione</w:t>
                </w:r>
                <w:r>
                  <w:rPr>
                    <w:szCs w:val="24"/>
                  </w:rPr>
                  <w:t xml:space="preserve">. </w:t>
                </w:r>
              </w:p>
              <w:p w14:paraId="1756CF17" w14:textId="44C3762E" w:rsidR="005F45C2" w:rsidRDefault="003C5AF8">
                <w:pPr>
                  <w:tabs>
                    <w:tab w:val="left" w:pos="447"/>
                  </w:tabs>
                  <w:jc w:val="both"/>
                  <w:rPr>
                    <w:color w:val="000000"/>
                    <w:szCs w:val="24"/>
                  </w:rPr>
                </w:pPr>
                <w:r>
                  <w:rPr>
                    <w:szCs w:val="24"/>
                  </w:rPr>
                  <w:lastRenderedPageBreak/>
                  <w:t xml:space="preserve">2.2. Aprašo Nr. 7 2.1 papunktyje nurodytos finansuojamos veiklos turi būti numatytos viename projekte. Projekto įgyvendintų veiklų rodikliai ir išlaidos gali būti priskirti bet kuriam iš dviejų regionų (Sostinės arba VVL) nepriklausomai nuo to, kuriam regionui atitenka investicijos kuriama nauda. </w:t>
                </w:r>
                <w:r>
                  <w:rPr>
                    <w:color w:val="000000"/>
                    <w:szCs w:val="24"/>
                  </w:rPr>
                  <w:t>Projekto išlaidos pagal regionus negali viršyti 2.11 papunktyje nurodytų sumų ir turi būti pasiekti nurodyti stebėsenos rodikliai pagal regionus.</w:t>
                </w:r>
                <w:r>
                  <w:rPr>
                    <w:szCs w:val="24"/>
                  </w:rPr>
                  <w:t xml:space="preserve"> </w:t>
                </w:r>
              </w:p>
              <w:p w14:paraId="2AD0B7F6" w14:textId="170C2DCB" w:rsidR="005F45C2" w:rsidRDefault="003C5AF8">
                <w:pPr>
                  <w:jc w:val="both"/>
                  <w:rPr>
                    <w:i/>
                    <w:iCs/>
                    <w:szCs w:val="24"/>
                  </w:rPr>
                </w:pPr>
                <w:r>
                  <w:rPr>
                    <w:szCs w:val="24"/>
                  </w:rPr>
                  <w:t xml:space="preserve">2.3. Pagal Aprašą Nr. 7 remiamoms veikloms numatomas </w:t>
                </w:r>
                <w:r>
                  <w:rPr>
                    <w:bCs/>
                    <w:szCs w:val="24"/>
                  </w:rPr>
                  <w:t xml:space="preserve">projektų atrankos būdas </w:t>
                </w:r>
                <w:r>
                  <w:rPr>
                    <w:szCs w:val="24"/>
                  </w:rPr>
                  <w:t>– valstybės projektų planavimas.</w:t>
                </w:r>
              </w:p>
              <w:p w14:paraId="3BFFE36B" w14:textId="10114DA1" w:rsidR="005F45C2" w:rsidRDefault="003C5AF8">
                <w:pPr>
                  <w:jc w:val="both"/>
                  <w:rPr>
                    <w:i/>
                    <w:iCs/>
                    <w:szCs w:val="24"/>
                  </w:rPr>
                </w:pPr>
                <w:r>
                  <w:rPr>
                    <w:szCs w:val="24"/>
                  </w:rPr>
                  <w:t>2.4. Pagal Aprašą Nr. 7 numatoma skelbti 1 kvietimą pareiškėjui teikti projekto įgyvendinimo planą (toliau – PĮP).</w:t>
                </w:r>
              </w:p>
              <w:p w14:paraId="31C8AD76" w14:textId="2BC809B1" w:rsidR="005F45C2" w:rsidRDefault="003C5AF8">
                <w:pPr>
                  <w:jc w:val="both"/>
                  <w:rPr>
                    <w:i/>
                    <w:iCs/>
                    <w:szCs w:val="24"/>
                  </w:rPr>
                </w:pPr>
                <w:r>
                  <w:rPr>
                    <w:szCs w:val="24"/>
                  </w:rPr>
                  <w:t xml:space="preserve">2.5. Galimas projekto </w:t>
                </w:r>
                <w:r>
                  <w:rPr>
                    <w:bCs/>
                    <w:szCs w:val="24"/>
                  </w:rPr>
                  <w:t>pareiškėjas</w:t>
                </w:r>
                <w:r>
                  <w:rPr>
                    <w:szCs w:val="24"/>
                  </w:rPr>
                  <w:t xml:space="preserve"> – Europos socialinio fondo agentūra. Galimi partneriai</w:t>
                </w:r>
                <w:r>
                  <w:rPr>
                    <w:b/>
                    <w:szCs w:val="24"/>
                  </w:rPr>
                  <w:t xml:space="preserve"> </w:t>
                </w:r>
                <w:r>
                  <w:rPr>
                    <w:b/>
                    <w:bCs/>
                    <w:szCs w:val="24"/>
                  </w:rPr>
                  <w:t>–</w:t>
                </w:r>
                <w:r>
                  <w:rPr>
                    <w:b/>
                    <w:szCs w:val="24"/>
                  </w:rPr>
                  <w:t xml:space="preserve"> </w:t>
                </w:r>
                <w:r>
                  <w:rPr>
                    <w:bCs/>
                    <w:szCs w:val="24"/>
                  </w:rPr>
                  <w:t xml:space="preserve">profesinio mokymo įstaigos, kuriose Lietuvos Respublikos švietimo, mokslo ir sporto ministerija (toliau – Ministerija) įgyvendina savininko (dalininko) teises ir pareigas, </w:t>
                </w:r>
                <w:r>
                  <w:t>Nacionalinė švietimo agentūra, Kvalifikacijų ir profesinio mokymo plėtros centras, Lietuvos įtraukties švietime centras, Lietuvos neformaliojo švietimo agentūra. Partneriais galės būti visos šiame punkte nurodytos įstaigos, teigiamai atsakiusios į projekto vykdytojo el. ryšio priemonėmis pateiktą kvietimą būti projekto partneriais.</w:t>
                </w:r>
              </w:p>
              <w:p w14:paraId="17E502A9" w14:textId="6E8DF946" w:rsidR="005F45C2" w:rsidRDefault="003C5AF8">
                <w:pPr>
                  <w:jc w:val="both"/>
                  <w:rPr>
                    <w:szCs w:val="24"/>
                  </w:rPr>
                </w:pPr>
                <w:r>
                  <w:rPr>
                    <w:szCs w:val="24"/>
                  </w:rPr>
                  <w:t xml:space="preserve">2.6. Pagal Aprašą Nr. 7 </w:t>
                </w:r>
                <w:r>
                  <w:rPr>
                    <w:bCs/>
                    <w:szCs w:val="24"/>
                  </w:rPr>
                  <w:t>finansuojamos veiklos</w:t>
                </w:r>
                <w:r>
                  <w:rPr>
                    <w:szCs w:val="24"/>
                  </w:rPr>
                  <w:t xml:space="preserve"> –</w:t>
                </w:r>
                <w:r>
                  <w:rPr>
                    <w:iCs/>
                    <w:szCs w:val="24"/>
                  </w:rPr>
                  <w:t xml:space="preserve"> </w:t>
                </w:r>
                <w:r>
                  <w:rPr>
                    <w:szCs w:val="24"/>
                  </w:rPr>
                  <w:t>socialinės paskatos bei pagalba profesinio mokymo įstaigų mokiniams, turintiems specialiųjų ugdymosi poreikių (toliau – SUP), ir mokiniams</w:t>
                </w:r>
                <w:r>
                  <w:rPr>
                    <w:szCs w:val="24"/>
                    <w:lang w:eastAsia="lt-LT"/>
                  </w:rPr>
                  <w:t xml:space="preserve"> iš nepalankaus socialinio ekonominio konteksto (toliau –SEK), mokytojams ir švietimo pagalbos specialistams</w:t>
                </w:r>
                <w:r>
                  <w:rPr>
                    <w:szCs w:val="24"/>
                  </w:rPr>
                  <w:t>:</w:t>
                </w:r>
              </w:p>
              <w:p w14:paraId="1E6B4F62" w14:textId="57A0ED9C" w:rsidR="005F45C2" w:rsidRDefault="003C5AF8">
                <w:pPr>
                  <w:jc w:val="both"/>
                  <w:rPr>
                    <w:szCs w:val="24"/>
                    <w:lang w:eastAsia="lt-LT"/>
                  </w:rPr>
                </w:pPr>
                <w:r>
                  <w:rPr>
                    <w:szCs w:val="24"/>
                    <w:lang w:eastAsia="lt-LT"/>
                  </w:rPr>
                  <w:t xml:space="preserve">2.6.1. mokiniams, turintiems SUP, ir mokiniams iš nepalankaus SEK pritaikytų metodinių priemonių (pvz., </w:t>
                </w:r>
                <w:r>
                  <w:rPr>
                    <w:bCs/>
                    <w:szCs w:val="24"/>
                    <w:lang w:eastAsia="lt-LT"/>
                  </w:rPr>
                  <w:t>užduočių sąsiuvinių, dėlionių ir kt.)</w:t>
                </w:r>
                <w:r>
                  <w:rPr>
                    <w:szCs w:val="24"/>
                    <w:lang w:eastAsia="lt-LT"/>
                  </w:rPr>
                  <w:t xml:space="preserve"> parengimas;</w:t>
                </w:r>
              </w:p>
              <w:p w14:paraId="7BEA5EB0" w14:textId="53C86B30" w:rsidR="005F45C2" w:rsidRDefault="003C5AF8">
                <w:pPr>
                  <w:jc w:val="both"/>
                  <w:rPr>
                    <w:szCs w:val="24"/>
                    <w:lang w:eastAsia="lt-LT"/>
                  </w:rPr>
                </w:pPr>
                <w:r>
                  <w:rPr>
                    <w:szCs w:val="24"/>
                    <w:lang w:eastAsia="lt-LT"/>
                  </w:rPr>
                  <w:t xml:space="preserve">2.6.2. neformaliojo švietimo veiklos / </w:t>
                </w:r>
                <w:r>
                  <w:rPr>
                    <w:szCs w:val="24"/>
                    <w:shd w:val="clear" w:color="auto" w:fill="FFFFFF"/>
                    <w:lang w:eastAsia="lt-LT"/>
                  </w:rPr>
                  <w:t xml:space="preserve">mokymai mokiniams, </w:t>
                </w:r>
                <w:r>
                  <w:rPr>
                    <w:szCs w:val="24"/>
                    <w:lang w:eastAsia="lt-LT"/>
                  </w:rPr>
                  <w:t>turintiems SUP, ir mokiniams iš nepalankaus SEK;</w:t>
                </w:r>
              </w:p>
              <w:p w14:paraId="31C5420B" w14:textId="27575933" w:rsidR="005F45C2" w:rsidRDefault="003C5AF8">
                <w:pPr>
                  <w:jc w:val="both"/>
                  <w:rPr>
                    <w:szCs w:val="24"/>
                  </w:rPr>
                </w:pPr>
                <w:r>
                  <w:rPr>
                    <w:szCs w:val="24"/>
                  </w:rPr>
                  <w:t xml:space="preserve">2.6.3. </w:t>
                </w:r>
                <w:r>
                  <w:t xml:space="preserve">mokinių, turinčių SUP, ir mokinių iš nepalankaus SEK aprūpinimas priemonėmis, įranga (pvz., specializuota kompiuterine programine įranga, skirta asmenims, turintiems regos, klausos sutrikimų; virtualios realybės įranga, skirta asmenims su autizmo spektro ar motorikos sutrikimais; planšetiniai kompiuteriai ar kiti liečiamieji kompiuteriai; įranga, skirta stalų aukščiui reguliuoti, dirbti su profesinio mokymo programai pritaikyta reikalinga technika (pavyzdžiui, vežimėliai, smulki technika pritaikytomis rankenomis ar smulkias detales prispaudžianti ir pan.), multisensorinių / poilsio kambarių įrengimas (multisensoriniai / poilsio kambariai bus įrengiami profesinio mokymo įstaigose, kurios atitiks šiuos kriterijus: 1) profesinio mokymo įstaiga iki projekto pradžios neturi įrengto multisensorinio / poilsio kambario; 2) profesinio mokymo įstaigos mokinių, turinčių SUP, skaičiaus vidurkis per paskutinius dvejus mokslo metus iki projekto pradžios yra ne mažesnis kaip 50); </w:t>
                </w:r>
              </w:p>
              <w:p w14:paraId="28E26E68" w14:textId="29E5D5AF" w:rsidR="005F45C2" w:rsidRDefault="003C5AF8">
                <w:pPr>
                  <w:jc w:val="both"/>
                  <w:rPr>
                    <w:szCs w:val="24"/>
                  </w:rPr>
                </w:pPr>
                <w:r>
                  <w:rPr>
                    <w:szCs w:val="24"/>
                  </w:rPr>
                  <w:t>2.6.4. profesinės mokymo įstaigos mokytojų ir švietimo pagalbos specialistų kompetencijų tobulinimas. Išlaidos šiai veiklai gali būti tinkamos, tik jei nefinansuojamos kitų pažangos priemonių lėšomis;</w:t>
                </w:r>
              </w:p>
              <w:p w14:paraId="57060970" w14:textId="79EA2046" w:rsidR="005F45C2" w:rsidRDefault="003C5AF8">
                <w:pPr>
                  <w:jc w:val="both"/>
                  <w:rPr>
                    <w:kern w:val="2"/>
                    <w:szCs w:val="24"/>
                    <w:shd w:val="clear" w:color="auto" w:fill="FFFFFF"/>
                    <w14:ligatures w14:val="standardContextual"/>
                  </w:rPr>
                </w:pPr>
                <w:r>
                  <w:rPr>
                    <w:szCs w:val="24"/>
                  </w:rPr>
                  <w:t xml:space="preserve">2.6.5. </w:t>
                </w:r>
                <w:r>
                  <w:t xml:space="preserve">diagnostinių įrankių, skirtų mokiniams ištirti ir įvertinti psichofizines savybes, reikalingas darbinei veiklai, bei pagrindinius gebėjimus: kognityvinius, susijusius su darbo atlikimo pobūdžiu, psichomotorinius ir susijusius su kultūros išraiška / bendravimu, bei numatyti galimybes psichofizinių savybių plėtotei individualizuojant profesinį mokymą, komplektų pirkimas ir mokymų jais naudotis organizavimas. Projekto vykdytojui apklausus profesinio mokymo įstaigas ir įvertinus diagnostinių įrankių poreikį: 1) diagnostinių įrankių įsigijimas būtų vykdomas toms profesinio mokymo įstaigoms, kuriose mokinių, turinčių SUP, skaičiaus vidurkis per paskutinius dvejus mokslo metus iki projekto pradžios yra ne mažesnis kaip 40 ir kurios tokių įrankių neturi; 2) mokymai naudotis diagnostiniais įrankiais būtų organizuojami švietimo pagalbos specialistams iš diagnostinius įrankius projekto metu įsigyjančių ir iš diagnostinius įrankius anksčiau įsigijusių, tačiau nebeturinčių pakankamai jais naudotis apmokytų ir teisę jais naudotis turinčių specialistų, profesinio mokymo įstaigų; </w:t>
                </w:r>
                <w:r>
                  <w:rPr>
                    <w:kern w:val="2"/>
                    <w:szCs w:val="24"/>
                    <w:shd w:val="clear" w:color="auto" w:fill="FFFFFF"/>
                    <w14:ligatures w14:val="standardContextual"/>
                  </w:rPr>
                  <w:t xml:space="preserve"> </w:t>
                </w:r>
              </w:p>
              <w:p w14:paraId="29D36AB0" w14:textId="54940D8B" w:rsidR="005F45C2" w:rsidRDefault="003C5AF8">
                <w:pPr>
                  <w:jc w:val="both"/>
                  <w:rPr>
                    <w:szCs w:val="24"/>
                    <w:lang w:eastAsia="lt-LT"/>
                  </w:rPr>
                </w:pPr>
                <w:r>
                  <w:rPr>
                    <w:szCs w:val="24"/>
                    <w:lang w:eastAsia="lt-LT"/>
                  </w:rPr>
                  <w:t xml:space="preserve">2.6.6. kitos veiklos, susijusios su profesinio mokymo prieinamumo gerinimu, </w:t>
                </w:r>
                <w:r>
                  <w:t>jei tokios būtų nustatytos apklausus</w:t>
                </w:r>
                <w:r>
                  <w:rPr>
                    <w:b/>
                    <w:bCs/>
                  </w:rPr>
                  <w:t xml:space="preserve"> </w:t>
                </w:r>
                <w:r>
                  <w:rPr>
                    <w:szCs w:val="24"/>
                    <w:lang w:eastAsia="lt-LT"/>
                  </w:rPr>
                  <w:t xml:space="preserve">profesinio mokymo įstaigas ir mokinius, </w:t>
                </w:r>
                <w:r>
                  <w:t>turinčius SUP, bei mokinius iš nepalankaus SEK,</w:t>
                </w:r>
                <w:r>
                  <w:rPr>
                    <w:b/>
                    <w:bCs/>
                  </w:rPr>
                  <w:t xml:space="preserve"> </w:t>
                </w:r>
                <w:r>
                  <w:t>būtų galimos tik tuo atveju, jei nustačius papildomus poreikius bei įvertinus jų naudą projekto tikslams pasiekti tai būtų finansinės paskatos mokiniams, turintiems SUP, bei mokiniams iš nepalankaus SEK</w:t>
                </w:r>
                <w:r>
                  <w:rPr>
                    <w:szCs w:val="24"/>
                    <w:lang w:eastAsia="lt-LT"/>
                  </w:rPr>
                  <w:t>.</w:t>
                </w:r>
              </w:p>
              <w:p w14:paraId="701BFC3A" w14:textId="28814567" w:rsidR="005F45C2" w:rsidRDefault="003C5AF8">
                <w:pPr>
                  <w:jc w:val="both"/>
                  <w:rPr>
                    <w:szCs w:val="24"/>
                    <w:highlight w:val="yellow"/>
                  </w:rPr>
                </w:pPr>
                <w:r>
                  <w:rPr>
                    <w:szCs w:val="24"/>
                  </w:rPr>
                  <w:lastRenderedPageBreak/>
                  <w:t xml:space="preserve">2.7. </w:t>
                </w:r>
                <w:r>
                  <w:rPr>
                    <w:bCs/>
                    <w:szCs w:val="24"/>
                  </w:rPr>
                  <w:t xml:space="preserve">Projekto veiklos turi būti baigtos </w:t>
                </w:r>
                <w:r>
                  <w:rPr>
                    <w:szCs w:val="24"/>
                  </w:rPr>
                  <w:t>ne vėliau, nei numatyta Projektų administravimo ir finansavimo taisyklių 149 punkte. Projekto veiklų įgyvendinimo terminas gali būti pratęstas, pasikeitus Projektų administravimo ir finansavimo taisyklių 149 punkte nurodytam išlaidų deklaravimo terminui.</w:t>
                </w:r>
              </w:p>
              <w:p w14:paraId="5B9FCB0F" w14:textId="6124B663" w:rsidR="005F45C2" w:rsidRDefault="003C5AF8">
                <w:pPr>
                  <w:jc w:val="both"/>
                  <w:rPr>
                    <w:szCs w:val="24"/>
                  </w:rPr>
                </w:pPr>
                <w:r>
                  <w:rPr>
                    <w:szCs w:val="24"/>
                  </w:rPr>
                  <w:t>2.8. Projektas turi atitikti bendruosius projektų atrankos kriterijus, nurodytus Projektų administravimo ir finansavimo taisyklių 2 priede.</w:t>
                </w:r>
              </w:p>
              <w:p w14:paraId="0ACAAA21" w14:textId="0329B1E6" w:rsidR="005F45C2" w:rsidRDefault="003C5AF8">
                <w:pPr>
                  <w:jc w:val="both"/>
                  <w:rPr>
                    <w:szCs w:val="24"/>
                  </w:rPr>
                </w:pPr>
                <w:r>
                  <w:rPr>
                    <w:szCs w:val="24"/>
                  </w:rPr>
                  <w:t>2.9. Projektų veiklos turi būti vykdomos Lietuvos Respublikoje.</w:t>
                </w:r>
              </w:p>
              <w:p w14:paraId="1BED6512" w14:textId="7B557484" w:rsidR="005F45C2" w:rsidRDefault="003C5AF8">
                <w:pPr>
                  <w:jc w:val="both"/>
                  <w:rPr>
                    <w:szCs w:val="24"/>
                  </w:rPr>
                </w:pPr>
                <w:r>
                  <w:rPr>
                    <w:szCs w:val="24"/>
                  </w:rPr>
                  <w:t xml:space="preserve">2.10. Projekto vykdytojas, įgyvendindamas projektą, privalo pasiekti Apraše Nr. 7 numatytus rezultatus. </w:t>
                </w:r>
              </w:p>
              <w:p w14:paraId="5919EA64" w14:textId="293DC3E2" w:rsidR="005F45C2" w:rsidRDefault="003C5AF8">
                <w:pPr>
                  <w:jc w:val="both"/>
                  <w:rPr>
                    <w:szCs w:val="24"/>
                  </w:rPr>
                </w:pPr>
                <w:r>
                  <w:rPr>
                    <w:szCs w:val="24"/>
                  </w:rPr>
                  <w:t xml:space="preserve">2.11. Projektui galima skirti lėšų suma yra iki 5 682 383 Eur (penkių milijonų šešių šimtų aštuoniasdešimt dviejų tūkstančių trijų šimtų aštuoniasdešimt trijų eurų). Iš kurių: </w:t>
                </w:r>
              </w:p>
              <w:p w14:paraId="5241D47F" w14:textId="719D8196" w:rsidR="005F45C2" w:rsidRDefault="003C5AF8">
                <w:pPr>
                  <w:jc w:val="both"/>
                  <w:rPr>
                    <w:szCs w:val="24"/>
                  </w:rPr>
                </w:pPr>
                <w:r>
                  <w:rPr>
                    <w:szCs w:val="24"/>
                  </w:rPr>
                  <w:t xml:space="preserve">2.11.1. iki 4 496 393 Eur (keturių milijonų keturių šimtų devyniasdešimt šešių tūkstančių trijų šimtų devyniasdešimt trijų eurų) Europos Sąjungos fondų lėšų, iš kurių iki 476 618 Eur (keturių šimtų septyniasdešimt šešių tūkstančių šešių šimtų aštuoniolikos eurų) Sostinės regionui ir iki 4 019 775 Eur (keturių milijonų devyniolikos tūkstančių septynių šimtų septyniasdešimt penkių eurų) VVL regionui; </w:t>
                </w:r>
              </w:p>
              <w:p w14:paraId="4281E1A1" w14:textId="4702D134" w:rsidR="005F45C2" w:rsidRDefault="003C5AF8">
                <w:pPr>
                  <w:jc w:val="both"/>
                  <w:rPr>
                    <w:szCs w:val="24"/>
                  </w:rPr>
                </w:pPr>
                <w:r>
                  <w:rPr>
                    <w:szCs w:val="24"/>
                  </w:rPr>
                  <w:t>2.11.2. iki 1 185 990</w:t>
                </w:r>
                <w:r>
                  <w:rPr>
                    <w:sz w:val="18"/>
                    <w:szCs w:val="18"/>
                  </w:rPr>
                  <w:t xml:space="preserve"> </w:t>
                </w:r>
                <w:r>
                  <w:rPr>
                    <w:szCs w:val="24"/>
                  </w:rPr>
                  <w:t>Eur (vieno milijono vieno šimto aštuoniasdešimt penkių tūkstančių devynių šimtų devyniasdešimt eurų) Europos Sąjungos fondų bendrojo finansavimo lėšų, iš kurių iki 476 618 Eur (keturių šimtų septyniasdešimt šešių tūkstančių šešių šimtų aštuoniolikos eurų) Sostinės regionui ir iki 709 372 Eur (septynių šimtų devynių tūkstančių trijų šimtų septyniasdešimt dviejų eurų) VVL regionui.</w:t>
                </w:r>
              </w:p>
              <w:p w14:paraId="6763C89F" w14:textId="63E9D409" w:rsidR="005F45C2" w:rsidRDefault="003C5AF8">
                <w:pPr>
                  <w:jc w:val="both"/>
                </w:pPr>
                <w:r>
                  <w:rPr>
                    <w:szCs w:val="24"/>
                  </w:rPr>
                  <w:t>2.12.</w:t>
                </w:r>
                <w:r>
                  <w:t xml:space="preserve"> Privalomi komunikacijos ir informavimo (viešinimo) veiksmai atliekami vadovaujantis Projektų administravimo ir finansavimo taisyklių VIII skyriaus pirmuoju skirsniu „Informavimas apie projektą ir komunikacija“.</w:t>
                </w:r>
              </w:p>
              <w:p w14:paraId="446B8E32" w14:textId="5DD78DD4" w:rsidR="005F45C2" w:rsidRDefault="003C5AF8">
                <w:pPr>
                  <w:jc w:val="both"/>
                  <w:rPr>
                    <w:szCs w:val="24"/>
                  </w:rPr>
                </w:pPr>
                <w:r>
                  <w:rPr>
                    <w:szCs w:val="24"/>
                  </w:rPr>
                  <w:t xml:space="preserve">2.13. Remiantis Ministerijos Investicijų į bendrąjį ugdymą, profesinį ir neformalųjį mokymą valdymo komiteto, patvirtinto Lietuvos Respublikos švietimo, mokslo ir sporto ministro 2023 m. vasario 23 d. įsakymu Nr. V-216 „Dėl Lietuvos Respublikos švietimo, mokslo ir sporto ministerijos valdymo komitetų darbo reglamento patvirtinimo ir komitetų personalinės sudėties sudarymo“ (toliau – Valdymo komitetas), 2023 m. birželio 13 d. posėdžio protokolinio sprendimo „Dėl 2021–2027 m. Europos Sąjungos fondų investicijų programos lėšomis planuojamų finansuoti projektų, kurie turi būti suderinti su Ministerija ir svarstomi Ministerijos valdymo komitete“ nutarimu planinių projektų projektiniai pasiūlymai turi būti svarstomi Valdymo komitete. Prieš teikdamas PĮP Administruojančiai institucijai pareiškėjas turi Ministerijai pateikti projektinį pasiūlymą ir gauti Valdymo komiteto pritarimą. Su Valdymo komitetu suderintą projektinį pasiūlymą pareiškėjas Administruojančiai institucijai pateikia PĮP priedu. </w:t>
                </w:r>
              </w:p>
              <w:p w14:paraId="2DD93F1E" w14:textId="5CA8D0B1" w:rsidR="005F45C2" w:rsidRDefault="003C5AF8">
                <w:pPr>
                  <w:jc w:val="both"/>
                  <w:rPr>
                    <w:szCs w:val="24"/>
                  </w:rPr>
                </w:pPr>
                <w:r>
                  <w:rPr>
                    <w:szCs w:val="24"/>
                  </w:rPr>
                  <w:t xml:space="preserve">2.14. Administruojanti institucija turi informuoti Ministeriją, jeigu PĮP vertinimo metu nustatyta, kad pareiškėjo pateiktas PĮP neatitinka su Valdymo komitetu suderinto projektinio pasiūlymo nuostatų. </w:t>
                </w:r>
              </w:p>
              <w:p w14:paraId="3C0FC5DB" w14:textId="38449E21" w:rsidR="005F45C2" w:rsidRDefault="003C5AF8">
                <w:pPr>
                  <w:jc w:val="both"/>
                  <w:rPr>
                    <w:color w:val="000000"/>
                    <w:szCs w:val="24"/>
                    <w:lang w:eastAsia="lt-LT"/>
                  </w:rPr>
                </w:pPr>
                <w:r>
                  <w:rPr>
                    <w:color w:val="000000"/>
                    <w:szCs w:val="24"/>
                    <w:lang w:eastAsia="lt-LT"/>
                  </w:rPr>
                  <w:t>2.15. Kartu su PĮP turi būti pateikti lietuvių kalba šie dokumentai:</w:t>
                </w:r>
              </w:p>
              <w:p w14:paraId="4426283E" w14:textId="711FFBDB" w:rsidR="005F45C2" w:rsidRDefault="003C5AF8">
                <w:pPr>
                  <w:jc w:val="both"/>
                  <w:rPr>
                    <w:szCs w:val="24"/>
                    <w:lang w:eastAsia="lt-LT"/>
                  </w:rPr>
                </w:pPr>
                <w:r>
                  <w:rPr>
                    <w:szCs w:val="24"/>
                    <w:lang w:eastAsia="lt-LT"/>
                  </w:rPr>
                  <w:t>2.15.1. partnerio (-ių) deklaracijos (Projektų finansavimo ir administravimo taisyklės 1 priedo 1 priedas (kai projektas įgyvendinamas su partneriais);</w:t>
                </w:r>
              </w:p>
              <w:p w14:paraId="06E2A985" w14:textId="41787633" w:rsidR="005F45C2" w:rsidRDefault="003C5AF8">
                <w:pPr>
                  <w:jc w:val="both"/>
                  <w:rPr>
                    <w:szCs w:val="24"/>
                    <w:lang w:eastAsia="lt-LT"/>
                  </w:rPr>
                </w:pPr>
                <w:r>
                  <w:rPr>
                    <w:szCs w:val="24"/>
                    <w:lang w:eastAsia="lt-LT"/>
                  </w:rPr>
                  <w:t>2.15.2. informacija apie projekto biudžeto paskirstymą pagal pareiškėjus (Projektų finansavimo ir administravimo taisyklės 1 priedo 2 priedas (jei taikoma);</w:t>
                </w:r>
              </w:p>
              <w:p w14:paraId="66F7CBC7" w14:textId="758943FC" w:rsidR="005F45C2" w:rsidRDefault="003C5AF8">
                <w:pPr>
                  <w:jc w:val="both"/>
                  <w:rPr>
                    <w:szCs w:val="24"/>
                    <w:lang w:eastAsia="lt-LT"/>
                  </w:rPr>
                </w:pPr>
                <w:r>
                  <w:rPr>
                    <w:szCs w:val="24"/>
                    <w:lang w:eastAsia="lt-LT"/>
                  </w:rPr>
                  <w:t>2.15.3. turi pateikti dokumentus, pagrindžiančius projekto išlaidų pagrįstumą (sudarytos sutartys, komercinis pasiūlymas, nuorodos į rinkoje esančias kainas).</w:t>
                </w:r>
              </w:p>
              <w:p w14:paraId="44D21CC8" w14:textId="3168D456" w:rsidR="005F45C2" w:rsidRDefault="003C5AF8">
                <w:pPr>
                  <w:jc w:val="both"/>
                  <w:rPr>
                    <w:szCs w:val="24"/>
                    <w:lang w:eastAsia="lt-LT"/>
                  </w:rPr>
                </w:pPr>
                <w:r>
                  <w:rPr>
                    <w:szCs w:val="24"/>
                    <w:lang w:eastAsia="lt-LT"/>
                  </w:rPr>
                  <w:t>2.16. Projekto</w:t>
                </w:r>
                <w:r>
                  <w:rPr>
                    <w:szCs w:val="24"/>
                  </w:rPr>
                  <w:t xml:space="preserve"> įgyvendinimo metu turi būti siekiami visi stebėsenos rodikliai.</w:t>
                </w:r>
              </w:p>
              <w:p w14:paraId="028B9EF9" w14:textId="23A5A270" w:rsidR="005F45C2" w:rsidRDefault="003C5AF8">
                <w:pPr>
                  <w:jc w:val="both"/>
                  <w:rPr>
                    <w:szCs w:val="24"/>
                    <w:lang w:eastAsia="lt-LT"/>
                  </w:rPr>
                </w:pPr>
                <w:r>
                  <w:rPr>
                    <w:szCs w:val="24"/>
                    <w:lang w:eastAsia="lt-LT"/>
                  </w:rPr>
                  <w:t>2.17. Projektu nesiekiama viešojo ir privataus sektorių partnerystės įgyvendinimo.</w:t>
                </w:r>
              </w:p>
              <w:p w14:paraId="7B802F0E" w14:textId="45A6DF81" w:rsidR="005F45C2" w:rsidRDefault="005F45C2">
                <w:pPr>
                  <w:ind w:left="600"/>
                  <w:jc w:val="both"/>
                  <w:rPr>
                    <w:i/>
                    <w:iCs/>
                    <w:sz w:val="6"/>
                    <w:szCs w:val="2"/>
                  </w:rPr>
                </w:pPr>
              </w:p>
            </w:tc>
          </w:tr>
          <w:tr w:rsidR="005F45C2" w14:paraId="53456142" w14:textId="77777777">
            <w:trPr>
              <w:trHeight w:val="285"/>
            </w:trPr>
            <w:tc>
              <w:tcPr>
                <w:tcW w:w="15021" w:type="dxa"/>
              </w:tcPr>
              <w:p w14:paraId="79D09DDF" w14:textId="53EAA6D2" w:rsidR="005F45C2" w:rsidRDefault="003C5AF8">
                <w:pPr>
                  <w:rPr>
                    <w:b/>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5F45C2" w14:paraId="2925AC5E" w14:textId="77777777">
            <w:trPr>
              <w:trHeight w:val="200"/>
            </w:trPr>
            <w:tc>
              <w:tcPr>
                <w:tcW w:w="15021" w:type="dxa"/>
              </w:tcPr>
              <w:p w14:paraId="1EC29047" w14:textId="6C969D25" w:rsidR="005F45C2" w:rsidRDefault="003C5AF8">
                <w:pPr>
                  <w:rPr>
                    <w:szCs w:val="24"/>
                  </w:rPr>
                </w:pPr>
                <w:r>
                  <w:rPr>
                    <w:szCs w:val="24"/>
                  </w:rPr>
                  <w:t>Netaikoma.</w:t>
                </w:r>
              </w:p>
            </w:tc>
          </w:tr>
          <w:tr w:rsidR="005F45C2" w14:paraId="5E3C9D9C" w14:textId="77777777">
            <w:trPr>
              <w:trHeight w:val="285"/>
            </w:trPr>
            <w:tc>
              <w:tcPr>
                <w:tcW w:w="15021" w:type="dxa"/>
              </w:tcPr>
              <w:p w14:paraId="7FCFB416" w14:textId="5C5C2552" w:rsidR="005F45C2" w:rsidRDefault="003C5AF8">
                <w:pPr>
                  <w:rPr>
                    <w:b/>
                    <w:szCs w:val="24"/>
                  </w:rPr>
                </w:pPr>
                <w:r>
                  <w:rPr>
                    <w:b/>
                    <w:szCs w:val="24"/>
                  </w:rPr>
                  <w:t>4. Projekto tikslinės grupės</w:t>
                </w:r>
              </w:p>
            </w:tc>
          </w:tr>
          <w:tr w:rsidR="005F45C2" w14:paraId="04B14111" w14:textId="77777777">
            <w:trPr>
              <w:trHeight w:val="251"/>
            </w:trPr>
            <w:tc>
              <w:tcPr>
                <w:tcW w:w="15021" w:type="dxa"/>
              </w:tcPr>
              <w:p w14:paraId="28125AED" w14:textId="5244F593" w:rsidR="005F45C2" w:rsidRDefault="003C5AF8">
                <w:pPr>
                  <w:jc w:val="both"/>
                  <w:rPr>
                    <w:szCs w:val="24"/>
                  </w:rPr>
                </w:pPr>
                <w:r>
                  <w:rPr>
                    <w:szCs w:val="24"/>
                  </w:rPr>
                  <w:lastRenderedPageBreak/>
                  <w:t>4.1. Projekto tikslinė grupė – profesinių mokymo įstaigų mokiniai, mokytojai, švietimo pagalvos specialistai:</w:t>
                </w:r>
              </w:p>
              <w:p w14:paraId="6CB5D2B0" w14:textId="442ADFA4" w:rsidR="005F45C2" w:rsidRDefault="003C5AF8">
                <w:pPr>
                  <w:jc w:val="both"/>
                  <w:rPr>
                    <w:szCs w:val="24"/>
                  </w:rPr>
                </w:pPr>
                <w:r>
                  <w:rPr>
                    <w:szCs w:val="24"/>
                  </w:rPr>
                  <w:t>4.1.1. profesinio mokymo mokinių poreikiai – mokiniams, turintiems specialiųjų ugdymosi poreikių, ir mokiniams iš nepalankaus SEK reikalingos papildomos ir / arba specifinės sąlygos jiems siekiant įgyti profesinio mokymo kvalifikaciją;</w:t>
                </w:r>
              </w:p>
              <w:p w14:paraId="7EC5708A" w14:textId="1339295B" w:rsidR="005F45C2" w:rsidRDefault="003C5AF8">
                <w:pPr>
                  <w:jc w:val="both"/>
                  <w:rPr>
                    <w:szCs w:val="24"/>
                  </w:rPr>
                </w:pPr>
                <w:r>
                  <w:rPr>
                    <w:szCs w:val="24"/>
                  </w:rPr>
                  <w:t>4.1.2. profesinio mokymo mokytojų poreikiai – profesinio mokymo įstaigose mokosi nemažai mokinių, turinčių specialiųjų ugdymosi poreikių, ir mokinių iš nepalankaus SEK. Tokių mokinių skaičius nuolat didėja. Mokytojams būtina sustiprinti kompetencijas atpažinti skirtingus mokinių, turinčių specialiųjų ugdymosi poreikių, ir mokinių iš nepalankaus SEK poreikius ir panaudojant tikslines priemones padėti jiems įgyti reikiamų kompetencijų pasiekti profesinio mokymo kvalifikaciją;</w:t>
                </w:r>
              </w:p>
              <w:p w14:paraId="3EDFEDE7" w14:textId="1DA6A450" w:rsidR="005F45C2" w:rsidRDefault="003C5AF8">
                <w:pPr>
                  <w:jc w:val="both"/>
                  <w:rPr>
                    <w:szCs w:val="24"/>
                  </w:rPr>
                </w:pPr>
                <w:r>
                  <w:rPr>
                    <w:szCs w:val="24"/>
                  </w:rPr>
                  <w:t>4.1.3. švietimo pagalbos specialistų poreikiai – profesinio mokymo įstaigose mokosi nemažai mokinių, turinčių specialiųjų ugdymosi poreikių, ir mokinių iš nepalankaus SEK. Tokių mokinių skaičius nuolat didėja. Švietimo pagalbos specialistams būtina sustiprinti kompetencijas atpažinti skirtingus mokinių, turinčių specialiųjų ugdymosi poreikių, ir mokinių iš nepalankaus SEK poreikius ir panaudojant tikslines priemones padėti jiems įgyti reikiamų kompetencijų pasiekti profesinio mokymo kvalifikaciją.</w:t>
                </w:r>
              </w:p>
              <w:p w14:paraId="12DEB422" w14:textId="71B2F157" w:rsidR="005F45C2" w:rsidRDefault="003C5AF8">
                <w:pPr>
                  <w:rPr>
                    <w:b/>
                    <w:szCs w:val="24"/>
                    <w:lang w:eastAsia="lt-LT"/>
                  </w:rPr>
                </w:pPr>
                <w:r>
                  <w:rPr>
                    <w:szCs w:val="24"/>
                    <w:lang w:eastAsia="lt-LT"/>
                  </w:rPr>
                  <w:t>4.2. Projekto tikslinės grupės administravimas bus vykdomas, vadovaujantis Projekto dalyvių informacijos administravimo instrukcija, kuri yra skelbiama adresu: https://www.esinvesticijos.lt/dokumentai/projekto-dalyviu-informacijos-administravimo-instrukcija.</w:t>
                </w:r>
              </w:p>
            </w:tc>
          </w:tr>
          <w:tr w:rsidR="005F45C2" w14:paraId="5A17117A" w14:textId="77777777">
            <w:trPr>
              <w:trHeight w:val="285"/>
            </w:trPr>
            <w:tc>
              <w:tcPr>
                <w:tcW w:w="15021" w:type="dxa"/>
              </w:tcPr>
              <w:p w14:paraId="56857CF1" w14:textId="012B81F8" w:rsidR="005F45C2" w:rsidRDefault="003C5AF8">
                <w:pPr>
                  <w:rPr>
                    <w:sz w:val="22"/>
                    <w:szCs w:val="22"/>
                  </w:rPr>
                </w:pPr>
                <w:r>
                  <w:rPr>
                    <w:b/>
                    <w:szCs w:val="24"/>
                  </w:rPr>
                  <w:t>5. Horizontaliųjų principų (toliau – HP) reikalavimai</w:t>
                </w:r>
              </w:p>
            </w:tc>
          </w:tr>
          <w:tr w:rsidR="005F45C2" w14:paraId="010799ED" w14:textId="77777777">
            <w:trPr>
              <w:trHeight w:val="698"/>
            </w:trPr>
            <w:tc>
              <w:tcPr>
                <w:tcW w:w="15021" w:type="dxa"/>
              </w:tcPr>
              <w:p w14:paraId="42064CB0" w14:textId="18F3D778" w:rsidR="005F45C2" w:rsidRDefault="003C5AF8">
                <w:pPr>
                  <w:tabs>
                    <w:tab w:val="left" w:pos="459"/>
                  </w:tabs>
                  <w:jc w:val="both"/>
                  <w:rPr>
                    <w:szCs w:val="24"/>
                    <w:lang w:eastAsia="lt-LT"/>
                  </w:rPr>
                </w:pPr>
                <w:r>
                  <w:rPr>
                    <w:szCs w:val="24"/>
                  </w:rPr>
                  <w:t>5.1.</w:t>
                </w:r>
                <w:r>
                  <w:rPr>
                    <w:szCs w:val="24"/>
                  </w:rPr>
                  <w:tab/>
                  <w:t>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14:paraId="06B8CDD7" w14:textId="5A80F190" w:rsidR="005F45C2" w:rsidRDefault="003C5AF8">
                <w:pPr>
                  <w:jc w:val="both"/>
                  <w:rPr>
                    <w:szCs w:val="24"/>
                    <w:lang w:eastAsia="lt-LT"/>
                  </w:rPr>
                </w:pPr>
                <w:r>
                  <w:rPr>
                    <w:szCs w:val="24"/>
                  </w:rPr>
                  <w:t xml:space="preserve">5.2. </w:t>
                </w:r>
                <w:r>
                  <w:rPr>
                    <w:szCs w:val="24"/>
                    <w:lang w:eastAsia="lt-LT"/>
                  </w:rPr>
                  <w:t>Projektuose neturi būti numatyti veiksmai, kurie turėtų neigiamą poveikį darnaus vystymosi principui įgyvendinti.</w:t>
                </w:r>
              </w:p>
              <w:p w14:paraId="7ABD52AC" w14:textId="756A00BC" w:rsidR="005F45C2" w:rsidRDefault="003C5AF8">
                <w:pPr>
                  <w:tabs>
                    <w:tab w:val="left" w:pos="459"/>
                  </w:tabs>
                  <w:jc w:val="both"/>
                </w:pPr>
                <w:r>
                  <w:rPr>
                    <w:iCs/>
                    <w:szCs w:val="24"/>
                  </w:rPr>
                  <w:t xml:space="preserve">5.3. </w:t>
                </w:r>
                <w:r>
                  <w:t>Projektas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Projektų (įskaitant jungtinį projektą) atitikties reikšmingos žalos nedarymo HP vertinimo reikalavimai pateikiami Aprašo Nr. 7 priede „Projekto (įskaitant jungtinį projektą) atitikties reikšmingos žalos nedarymo horizontaliajam principui vertinimo reikalavimų aprašas“.</w:t>
                </w:r>
              </w:p>
              <w:p w14:paraId="0838AB13" w14:textId="55D875D9" w:rsidR="005F45C2" w:rsidRDefault="003C5AF8">
                <w:pPr>
                  <w:tabs>
                    <w:tab w:val="left" w:pos="459"/>
                  </w:tabs>
                  <w:jc w:val="both"/>
                </w:pPr>
                <w:r>
                  <w:t>5.4. Tikslinės grupės asmens duomenys tvarkomi gavus duomenų subjekto sutikimą ir laikantis Bendrojo duomenų apsaugos reglamento</w:t>
                </w:r>
                <w:r>
                  <w:rPr>
                    <w:szCs w:val="24"/>
                    <w:vertAlign w:val="superscript"/>
                  </w:rPr>
                  <w:footnoteReference w:id="4"/>
                </w:r>
                <w:r>
                  <w:t xml:space="preserve"> reikalavimų.</w:t>
                </w:r>
              </w:p>
            </w:tc>
          </w:tr>
          <w:tr w:rsidR="005F45C2" w14:paraId="32A95883" w14:textId="77777777">
            <w:tc>
              <w:tcPr>
                <w:tcW w:w="15021" w:type="dxa"/>
              </w:tcPr>
              <w:p w14:paraId="1BA8B80C" w14:textId="7D25C13C" w:rsidR="005F45C2" w:rsidRDefault="003C5AF8">
                <w:pPr>
                  <w:spacing w:line="259" w:lineRule="auto"/>
                  <w:jc w:val="both"/>
                  <w:rPr>
                    <w:b/>
                    <w:bCs/>
                  </w:rPr>
                </w:pPr>
                <w:r>
                  <w:rPr>
                    <w:b/>
                    <w:bCs/>
                  </w:rPr>
                  <w:t>6. Europos Sąjungos pagrindinių teisių chartijos (toliau – Chartija) reikalavimai</w:t>
                </w:r>
              </w:p>
            </w:tc>
          </w:tr>
          <w:tr w:rsidR="005F45C2" w14:paraId="3B807710" w14:textId="77777777">
            <w:trPr>
              <w:trHeight w:val="394"/>
            </w:trPr>
            <w:tc>
              <w:tcPr>
                <w:tcW w:w="15021" w:type="dxa"/>
              </w:tcPr>
              <w:p w14:paraId="5D024BA3" w14:textId="77C0F9A4" w:rsidR="005F45C2" w:rsidRDefault="003C5AF8">
                <w:pPr>
                  <w:jc w:val="both"/>
                  <w:rPr>
                    <w:szCs w:val="24"/>
                  </w:rPr>
                </w:pPr>
                <w:r>
                  <w:rPr>
                    <w:szCs w:val="24"/>
                  </w:rPr>
                  <w:t>Pagal Aprašą Nr. 7 finansuojamos veiklos, įvertinus jas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Nr. 7 finansuojamų veiklų pobūdį, papildomi reikalavimai dėl aktyvių priemonių Chartijoje įtvirtintoms teisėms propaguoti nėra nustatomi.</w:t>
                </w:r>
              </w:p>
              <w:p w14:paraId="3C1C9617" w14:textId="77777777" w:rsidR="005F45C2" w:rsidRDefault="003C5AF8">
                <w:pPr>
                  <w:rPr>
                    <w:szCs w:val="24"/>
                  </w:rPr>
                </w:pPr>
                <w:r>
                  <w:rPr>
                    <w:szCs w:val="24"/>
                  </w:rPr>
                  <w:t>Projekto vykdytojas privalo nepažeisti Chartijos reikalavimų projekto vykdymo metu.</w:t>
                </w:r>
              </w:p>
              <w:p w14:paraId="25B568C1" w14:textId="7A4AB844" w:rsidR="005F45C2" w:rsidRDefault="005F45C2">
                <w:pPr>
                  <w:jc w:val="both"/>
                  <w:rPr>
                    <w:i/>
                    <w:iCs/>
                  </w:rPr>
                </w:pPr>
              </w:p>
            </w:tc>
          </w:tr>
          <w:tr w:rsidR="005F45C2" w14:paraId="0A95C7E5" w14:textId="77777777">
            <w:tc>
              <w:tcPr>
                <w:tcW w:w="15021" w:type="dxa"/>
              </w:tcPr>
              <w:p w14:paraId="4A6472D2" w14:textId="1F8C1472" w:rsidR="005F45C2" w:rsidRDefault="003C5AF8">
                <w:pPr>
                  <w:rPr>
                    <w:b/>
                    <w:szCs w:val="24"/>
                  </w:rPr>
                </w:pPr>
                <w:r>
                  <w:rPr>
                    <w:b/>
                    <w:szCs w:val="24"/>
                  </w:rPr>
                  <w:lastRenderedPageBreak/>
                  <w:t>7. Apskritis, kurioje gali būti įgyvendinami projektai</w:t>
                </w:r>
              </w:p>
            </w:tc>
          </w:tr>
          <w:tr w:rsidR="005F45C2" w14:paraId="5417909E" w14:textId="77777777">
            <w:trPr>
              <w:trHeight w:val="417"/>
            </w:trPr>
            <w:tc>
              <w:tcPr>
                <w:tcW w:w="15021" w:type="dxa"/>
              </w:tcPr>
              <w:p w14:paraId="2F225B5B" w14:textId="61E0DBDF" w:rsidR="005F45C2" w:rsidRDefault="003C5AF8">
                <w:pPr>
                  <w:jc w:val="both"/>
                  <w:rPr>
                    <w:szCs w:val="24"/>
                  </w:rPr>
                </w:pPr>
                <w:r>
                  <w:rPr>
                    <w:szCs w:val="24"/>
                  </w:rPr>
                  <w:t>Netaikoma.</w:t>
                </w:r>
              </w:p>
            </w:tc>
          </w:tr>
          <w:tr w:rsidR="005F45C2" w14:paraId="40884192" w14:textId="77777777">
            <w:tc>
              <w:tcPr>
                <w:tcW w:w="15021" w:type="dxa"/>
              </w:tcPr>
              <w:p w14:paraId="2713E015" w14:textId="5BF92A1C" w:rsidR="005F45C2" w:rsidRDefault="003C5AF8">
                <w:pPr>
                  <w:jc w:val="both"/>
                  <w:rPr>
                    <w:b/>
                    <w:szCs w:val="24"/>
                  </w:rPr>
                </w:pPr>
                <w:r>
                  <w:rPr>
                    <w:b/>
                    <w:szCs w:val="24"/>
                  </w:rPr>
                  <w:t>8. Reikalavimai valstybės pagalbai (kurie nėra nurodyti kituose Aprašo punktuose)</w:t>
                </w:r>
              </w:p>
            </w:tc>
          </w:tr>
          <w:tr w:rsidR="005F45C2" w14:paraId="622C0FB7" w14:textId="77777777">
            <w:trPr>
              <w:trHeight w:val="966"/>
            </w:trPr>
            <w:tc>
              <w:tcPr>
                <w:tcW w:w="15021" w:type="dxa"/>
              </w:tcPr>
              <w:p w14:paraId="464863DE" w14:textId="00D16611" w:rsidR="005F45C2" w:rsidRDefault="003C5AF8">
                <w:pPr>
                  <w:jc w:val="both"/>
                  <w:rPr>
                    <w:i/>
                    <w:iCs/>
                  </w:rPr>
                </w:pPr>
                <w:r>
                  <w:t xml:space="preserve">Pagal Aprašą Nr. 7 valstybės pagalba, kaip ji apibrėžta Sutarties dėl Europos Sąjungos veikimo 107 straipsnyje, ir </w:t>
                </w:r>
                <w:r>
                  <w:rPr>
                    <w:i/>
                  </w:rPr>
                  <w:t>de minimis</w:t>
                </w:r>
                <w:r>
                  <w:t xml:space="preserve"> pagalba, kuri atitinka 2013 m. gruodžio 18 d. Komisijos reglamento (ES) Nr. 1407/2013 dėl Sutarties dėl Europos Sąjungos veikimo 107 ir 108 straipsnių taikymo </w:t>
                </w:r>
                <w:r>
                  <w:rPr>
                    <w:i/>
                  </w:rPr>
                  <w:t>de</w:t>
                </w:r>
                <w:r>
                  <w:t xml:space="preserve"> </w:t>
                </w:r>
                <w:r>
                  <w:rPr>
                    <w:i/>
                  </w:rPr>
                  <w:t>minimis</w:t>
                </w:r>
                <w:r>
                  <w:t xml:space="preserve"> pagalbai nuostatas, neteikiama.</w:t>
                </w:r>
              </w:p>
            </w:tc>
          </w:tr>
          <w:tr w:rsidR="005F45C2" w14:paraId="4463DB70" w14:textId="77777777">
            <w:tc>
              <w:tcPr>
                <w:tcW w:w="15021" w:type="dxa"/>
              </w:tcPr>
              <w:p w14:paraId="4F63D80A" w14:textId="7C45513F" w:rsidR="005F45C2" w:rsidRDefault="003C5AF8">
                <w:pPr>
                  <w:ind w:left="426" w:hanging="426"/>
                  <w:jc w:val="both"/>
                  <w:rPr>
                    <w:i/>
                    <w:szCs w:val="24"/>
                  </w:rPr>
                </w:pPr>
                <w:r>
                  <w:rPr>
                    <w:b/>
                    <w:szCs w:val="24"/>
                  </w:rPr>
                  <w:t>9. Projektų atrankos kriterijai</w:t>
                </w:r>
              </w:p>
            </w:tc>
          </w:tr>
          <w:tr w:rsidR="005F45C2" w14:paraId="0CE79D92" w14:textId="77777777">
            <w:trPr>
              <w:trHeight w:val="697"/>
            </w:trPr>
            <w:tc>
              <w:tcPr>
                <w:tcW w:w="15021" w:type="dxa"/>
              </w:tcPr>
              <w:p w14:paraId="45E62F6E" w14:textId="0A4ACB23" w:rsidR="005F45C2" w:rsidRDefault="003C5AF8">
                <w:pPr>
                  <w:jc w:val="both"/>
                  <w:rPr>
                    <w:iCs/>
                    <w:szCs w:val="24"/>
                  </w:rPr>
                </w:pPr>
                <w:r>
                  <w:rPr>
                    <w:iCs/>
                    <w:szCs w:val="24"/>
                  </w:rPr>
                  <w:t>9.1. Projekto prioritetiniai atrankos kriterijai nėra nustatomi.</w:t>
                </w:r>
              </w:p>
              <w:p w14:paraId="79F6D21D" w14:textId="725FB648" w:rsidR="005F45C2" w:rsidRDefault="003C5AF8">
                <w:pPr>
                  <w:jc w:val="both"/>
                  <w:rPr>
                    <w:iCs/>
                    <w:szCs w:val="24"/>
                  </w:rPr>
                </w:pPr>
                <w:r>
                  <w:rPr>
                    <w:iCs/>
                    <w:szCs w:val="24"/>
                  </w:rPr>
                  <w:t>9.2. Projekto specialieji atrankos kriterijai nėra nustatomi.</w:t>
                </w:r>
              </w:p>
            </w:tc>
          </w:tr>
          <w:tr w:rsidR="005F45C2" w14:paraId="4EF7D2D9" w14:textId="77777777">
            <w:tc>
              <w:tcPr>
                <w:tcW w:w="15021" w:type="dxa"/>
              </w:tcPr>
              <w:p w14:paraId="09A3D14B" w14:textId="77777777" w:rsidR="005F45C2" w:rsidRDefault="003C5AF8">
                <w:pPr>
                  <w:jc w:val="both"/>
                  <w:rPr>
                    <w:i/>
                    <w:szCs w:val="22"/>
                  </w:rPr>
                </w:pPr>
                <w:r>
                  <w:rPr>
                    <w:b/>
                    <w:szCs w:val="22"/>
                  </w:rPr>
                  <w:t>10.</w:t>
                </w:r>
                <w:r>
                  <w:rPr>
                    <w:szCs w:val="22"/>
                  </w:rPr>
                  <w:t xml:space="preserve"> </w:t>
                </w:r>
                <w:r>
                  <w:rPr>
                    <w:b/>
                    <w:szCs w:val="22"/>
                  </w:rPr>
                  <w:t>Jungtinio projekto projektų atrankos kriterijai (</w:t>
                </w:r>
                <w:r>
                  <w:rPr>
                    <w:b/>
                    <w:i/>
                    <w:szCs w:val="22"/>
                  </w:rPr>
                  <w:t>pildoma tik jungtiniam projektui)</w:t>
                </w:r>
              </w:p>
              <w:p w14:paraId="0826AE42" w14:textId="6CA0D70D" w:rsidR="005F45C2" w:rsidRDefault="003C5AF8">
                <w:pPr>
                  <w:rPr>
                    <w:b/>
                    <w:szCs w:val="24"/>
                  </w:rPr>
                </w:pPr>
                <w:r>
                  <w:t xml:space="preserve">(Kiekvienas jungtinio projekto projektas turi atitikti </w:t>
                </w:r>
                <w:r>
                  <w:rPr>
                    <w:iCs/>
                    <w:color w:val="000000"/>
                  </w:rPr>
                  <w:t>Projektų administravimo ir finansavimo taisyklių 2 priede nustatytus projektų bendruosius atrankos kriterijus.)</w:t>
                </w:r>
              </w:p>
            </w:tc>
          </w:tr>
          <w:tr w:rsidR="005F45C2" w14:paraId="24F64BF5" w14:textId="77777777">
            <w:tc>
              <w:tcPr>
                <w:tcW w:w="15021" w:type="dxa"/>
              </w:tcPr>
              <w:p w14:paraId="73C9EF82" w14:textId="56927762" w:rsidR="005F45C2" w:rsidRDefault="003C5AF8">
                <w:pPr>
                  <w:rPr>
                    <w:szCs w:val="24"/>
                  </w:rPr>
                </w:pPr>
                <w:r>
                  <w:rPr>
                    <w:szCs w:val="24"/>
                  </w:rPr>
                  <w:t>Netaikoma.</w:t>
                </w:r>
              </w:p>
            </w:tc>
          </w:tr>
          <w:tr w:rsidR="005F45C2" w14:paraId="5DE7118D" w14:textId="77777777">
            <w:tc>
              <w:tcPr>
                <w:tcW w:w="15021" w:type="dxa"/>
              </w:tcPr>
              <w:p w14:paraId="2C94A768" w14:textId="5CE0EDAD" w:rsidR="005F45C2" w:rsidRDefault="003C5AF8">
                <w:pPr>
                  <w:rPr>
                    <w:b/>
                    <w:szCs w:val="24"/>
                  </w:rPr>
                </w:pPr>
                <w:r>
                  <w:rPr>
                    <w:b/>
                    <w:szCs w:val="24"/>
                  </w:rPr>
                  <w:t xml:space="preserve">11. Reikalavimai įgyvendinus projektų veiklas </w:t>
                </w:r>
              </w:p>
            </w:tc>
          </w:tr>
          <w:tr w:rsidR="005F45C2" w14:paraId="0748C9F2" w14:textId="77777777">
            <w:trPr>
              <w:trHeight w:val="363"/>
            </w:trPr>
            <w:tc>
              <w:tcPr>
                <w:tcW w:w="15021" w:type="dxa"/>
              </w:tcPr>
              <w:p w14:paraId="04994716" w14:textId="328B0256" w:rsidR="005F45C2" w:rsidRDefault="00AC168C">
                <w:pPr>
                  <w:rPr>
                    <w:iCs/>
                    <w:szCs w:val="24"/>
                  </w:rPr>
                </w:pPr>
                <w:r>
                  <w:t>Projektui taikomi tęstinumo reikalavimai, numatyti Projektų administravimo ir finansavimo taisyklių 245–248 punktuose.</w:t>
                </w:r>
              </w:p>
            </w:tc>
          </w:tr>
          <w:tr w:rsidR="005F45C2" w14:paraId="2F1137DC" w14:textId="77777777">
            <w:tc>
              <w:tcPr>
                <w:tcW w:w="15021" w:type="dxa"/>
              </w:tcPr>
              <w:p w14:paraId="0E78102D" w14:textId="0C280717" w:rsidR="005F45C2" w:rsidRDefault="003C5AF8">
                <w:pPr>
                  <w:rPr>
                    <w:szCs w:val="24"/>
                  </w:rPr>
                </w:pPr>
                <w:r>
                  <w:rPr>
                    <w:b/>
                    <w:szCs w:val="24"/>
                  </w:rPr>
                  <w:t>12. Kiti reikalavimai</w:t>
                </w:r>
              </w:p>
            </w:tc>
          </w:tr>
          <w:tr w:rsidR="005F45C2" w14:paraId="78D1FF15" w14:textId="77777777">
            <w:trPr>
              <w:trHeight w:val="415"/>
            </w:trPr>
            <w:tc>
              <w:tcPr>
                <w:tcW w:w="15021" w:type="dxa"/>
              </w:tcPr>
              <w:p w14:paraId="4298BE86" w14:textId="76A4B792" w:rsidR="005F45C2" w:rsidRDefault="003C5AF8">
                <w:pPr>
                  <w:tabs>
                    <w:tab w:val="left" w:pos="1134"/>
                  </w:tabs>
                  <w:jc w:val="both"/>
                </w:pPr>
                <w:r>
                  <w:t xml:space="preserve">Kiti reikalavimai, kurie nenumatyti Projektų administravimo ir finansavimo taisyklėse, nėra taikomi.  </w:t>
                </w:r>
              </w:p>
            </w:tc>
          </w:tr>
          <w:tr w:rsidR="005F45C2" w14:paraId="79370CF4" w14:textId="77777777">
            <w:tc>
              <w:tcPr>
                <w:tcW w:w="15021" w:type="dxa"/>
              </w:tcPr>
              <w:p w14:paraId="2B33B1C1" w14:textId="77777777" w:rsidR="005F45C2" w:rsidRDefault="003C5AF8">
                <w:pPr>
                  <w:rPr>
                    <w:b/>
                    <w:szCs w:val="24"/>
                  </w:rPr>
                </w:pPr>
                <w:r>
                  <w:rPr>
                    <w:b/>
                    <w:szCs w:val="24"/>
                  </w:rPr>
                  <w:t>IŠLAIDŲ TINKAMUMO FINANSUOTI REIKALAVIMAI</w:t>
                </w:r>
              </w:p>
            </w:tc>
          </w:tr>
          <w:tr w:rsidR="005F45C2" w14:paraId="1D1B7B5A" w14:textId="77777777">
            <w:tc>
              <w:tcPr>
                <w:tcW w:w="15021" w:type="dxa"/>
              </w:tcPr>
              <w:p w14:paraId="4FF8F6A8" w14:textId="2823616A" w:rsidR="005F45C2" w:rsidRDefault="003C5AF8">
                <w:pPr>
                  <w:jc w:val="both"/>
                  <w:rPr>
                    <w:b/>
                    <w:szCs w:val="24"/>
                  </w:rPr>
                </w:pPr>
                <w:r>
                  <w:rPr>
                    <w:b/>
                    <w:szCs w:val="24"/>
                  </w:rPr>
                  <w:t>13. Išlaidų tinkamumo finansuoti reikalavimai</w:t>
                </w:r>
              </w:p>
            </w:tc>
          </w:tr>
          <w:tr w:rsidR="005F45C2" w14:paraId="25FECF96" w14:textId="77777777">
            <w:trPr>
              <w:trHeight w:val="913"/>
            </w:trPr>
            <w:tc>
              <w:tcPr>
                <w:tcW w:w="15021" w:type="dxa"/>
              </w:tcPr>
              <w:p w14:paraId="4257E9E3" w14:textId="705CDF45" w:rsidR="005F45C2" w:rsidRDefault="003C5AF8">
                <w:pPr>
                  <w:jc w:val="both"/>
                  <w:rPr>
                    <w:bCs/>
                    <w:szCs w:val="24"/>
                  </w:rPr>
                </w:pPr>
                <w:r>
                  <w:rPr>
                    <w:bCs/>
                    <w:szCs w:val="24"/>
                  </w:rPr>
                  <w:t>13.1. Projektų išlaidos turi atitikti Projektų administravimo ir finansavimo taisyklių VII skyriuje „Projektų išlaidų reikalavimai“ išdėstytus projektų išlaidoms taikomus reikalavimus.</w:t>
                </w:r>
              </w:p>
              <w:p w14:paraId="41B47A2A" w14:textId="19C3F855" w:rsidR="005F45C2" w:rsidRDefault="003C5AF8">
                <w:pPr>
                  <w:jc w:val="both"/>
                  <w:rPr>
                    <w:bCs/>
                    <w:szCs w:val="24"/>
                  </w:rPr>
                </w:pPr>
                <w:r>
                  <w:rPr>
                    <w:bCs/>
                    <w:szCs w:val="24"/>
                  </w:rPr>
                  <w:t xml:space="preserve">13.2. Pagal Aprašą Nr. 7 maksimali projektui įgyvendinti suma nurodyta Aprašo Nr. 7 2.11 papunktyje. </w:t>
                </w:r>
              </w:p>
              <w:p w14:paraId="4F4CBC27" w14:textId="119A16F4" w:rsidR="005F45C2" w:rsidRDefault="003C5AF8">
                <w:pPr>
                  <w:jc w:val="both"/>
                  <w:rPr>
                    <w:bCs/>
                    <w:szCs w:val="24"/>
                  </w:rPr>
                </w:pPr>
                <w:r>
                  <w:rPr>
                    <w:bCs/>
                    <w:szCs w:val="24"/>
                  </w:rPr>
                  <w:t>13.3. Pagal Aprašą Nr. 7 tinkamų finansuoti išlaidų rūšys yra šios:</w:t>
                </w:r>
              </w:p>
              <w:p w14:paraId="2123C475" w14:textId="77777777" w:rsidR="005F45C2" w:rsidRDefault="005F45C2">
                <w:pPr>
                  <w:jc w:val="both"/>
                  <w:rPr>
                    <w:bCs/>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3272"/>
                  <w:gridCol w:w="10629"/>
                </w:tblGrid>
                <w:tr w:rsidR="005F45C2" w14:paraId="78C887E3" w14:textId="77777777">
                  <w:tc>
                    <w:tcPr>
                      <w:tcW w:w="868" w:type="dxa"/>
                    </w:tcPr>
                    <w:p w14:paraId="74348362" w14:textId="77777777" w:rsidR="005F45C2" w:rsidRDefault="003C5AF8">
                      <w:pPr>
                        <w:jc w:val="center"/>
                        <w:rPr>
                          <w:b/>
                          <w:szCs w:val="24"/>
                        </w:rPr>
                      </w:pPr>
                      <w:r>
                        <w:rPr>
                          <w:b/>
                          <w:szCs w:val="24"/>
                        </w:rPr>
                        <w:t>Eil. Nr.</w:t>
                      </w:r>
                    </w:p>
                  </w:tc>
                  <w:tc>
                    <w:tcPr>
                      <w:tcW w:w="3272" w:type="dxa"/>
                    </w:tcPr>
                    <w:p w14:paraId="1DA1405D" w14:textId="77777777" w:rsidR="005F45C2" w:rsidRDefault="003C5AF8">
                      <w:pPr>
                        <w:jc w:val="center"/>
                        <w:rPr>
                          <w:b/>
                          <w:szCs w:val="24"/>
                        </w:rPr>
                      </w:pPr>
                      <w:r>
                        <w:rPr>
                          <w:b/>
                          <w:szCs w:val="24"/>
                        </w:rPr>
                        <w:t>Išlaidų rūšis</w:t>
                      </w:r>
                    </w:p>
                  </w:tc>
                  <w:tc>
                    <w:tcPr>
                      <w:tcW w:w="10629" w:type="dxa"/>
                    </w:tcPr>
                    <w:p w14:paraId="4E2EE9B4" w14:textId="77777777" w:rsidR="005F45C2" w:rsidRDefault="003C5AF8">
                      <w:pPr>
                        <w:jc w:val="center"/>
                        <w:rPr>
                          <w:b/>
                          <w:szCs w:val="24"/>
                        </w:rPr>
                      </w:pPr>
                      <w:r>
                        <w:rPr>
                          <w:b/>
                          <w:szCs w:val="24"/>
                        </w:rPr>
                        <w:t>Reikalavimai ir paaiškinimai</w:t>
                      </w:r>
                    </w:p>
                  </w:tc>
                </w:tr>
                <w:tr w:rsidR="005F45C2" w14:paraId="68D471E0" w14:textId="77777777">
                  <w:tc>
                    <w:tcPr>
                      <w:tcW w:w="868" w:type="dxa"/>
                    </w:tcPr>
                    <w:p w14:paraId="40120614" w14:textId="6742A614" w:rsidR="005F45C2" w:rsidRDefault="00AC168C">
                      <w:pPr>
                        <w:jc w:val="both"/>
                        <w:rPr>
                          <w:bCs/>
                          <w:szCs w:val="24"/>
                        </w:rPr>
                      </w:pPr>
                      <w:r>
                        <w:rPr>
                          <w:bCs/>
                          <w:szCs w:val="24"/>
                        </w:rPr>
                        <w:t>1.</w:t>
                      </w:r>
                    </w:p>
                  </w:tc>
                  <w:tc>
                    <w:tcPr>
                      <w:tcW w:w="3272" w:type="dxa"/>
                    </w:tcPr>
                    <w:p w14:paraId="0E7FF56D" w14:textId="36E2637F" w:rsidR="005F45C2" w:rsidRDefault="00AC168C">
                      <w:pPr>
                        <w:jc w:val="both"/>
                        <w:rPr>
                          <w:bCs/>
                          <w:szCs w:val="24"/>
                        </w:rPr>
                      </w:pPr>
                      <w:r>
                        <w:t>Žemė</w:t>
                      </w:r>
                    </w:p>
                  </w:tc>
                  <w:tc>
                    <w:tcPr>
                      <w:tcW w:w="10629" w:type="dxa"/>
                    </w:tcPr>
                    <w:p w14:paraId="5DF70700" w14:textId="6E60D04F" w:rsidR="005F45C2" w:rsidRDefault="00AC168C">
                      <w:pPr>
                        <w:jc w:val="both"/>
                        <w:rPr>
                          <w:bCs/>
                          <w:szCs w:val="24"/>
                        </w:rPr>
                      </w:pPr>
                      <w:r>
                        <w:t>Netinkama finansuoti.</w:t>
                      </w:r>
                    </w:p>
                  </w:tc>
                </w:tr>
                <w:tr w:rsidR="005F45C2" w14:paraId="59FF856E" w14:textId="77777777">
                  <w:tc>
                    <w:tcPr>
                      <w:tcW w:w="868" w:type="dxa"/>
                    </w:tcPr>
                    <w:p w14:paraId="39218746" w14:textId="6BE480F6" w:rsidR="005F45C2" w:rsidRDefault="00AC168C">
                      <w:pPr>
                        <w:jc w:val="both"/>
                        <w:rPr>
                          <w:bCs/>
                          <w:szCs w:val="24"/>
                        </w:rPr>
                      </w:pPr>
                      <w:r>
                        <w:rPr>
                          <w:bCs/>
                          <w:szCs w:val="24"/>
                        </w:rPr>
                        <w:t>2.</w:t>
                      </w:r>
                    </w:p>
                  </w:tc>
                  <w:tc>
                    <w:tcPr>
                      <w:tcW w:w="3272" w:type="dxa"/>
                    </w:tcPr>
                    <w:p w14:paraId="564F6DA8" w14:textId="6D95224D" w:rsidR="005F45C2" w:rsidRDefault="00AC168C">
                      <w:pPr>
                        <w:jc w:val="both"/>
                        <w:rPr>
                          <w:bCs/>
                          <w:szCs w:val="24"/>
                        </w:rPr>
                      </w:pPr>
                      <w:r>
                        <w:t>Nekilnojamasis turtas</w:t>
                      </w:r>
                    </w:p>
                  </w:tc>
                  <w:tc>
                    <w:tcPr>
                      <w:tcW w:w="10629" w:type="dxa"/>
                    </w:tcPr>
                    <w:p w14:paraId="402EAF15" w14:textId="2FA2C8ED" w:rsidR="005F45C2" w:rsidRDefault="00AC168C">
                      <w:pPr>
                        <w:jc w:val="both"/>
                        <w:rPr>
                          <w:bCs/>
                          <w:szCs w:val="24"/>
                        </w:rPr>
                      </w:pPr>
                      <w:r>
                        <w:t>Netinkama finansuoti.</w:t>
                      </w:r>
                    </w:p>
                  </w:tc>
                </w:tr>
                <w:tr w:rsidR="005F45C2" w14:paraId="3796C876" w14:textId="77777777">
                  <w:tc>
                    <w:tcPr>
                      <w:tcW w:w="868" w:type="dxa"/>
                    </w:tcPr>
                    <w:p w14:paraId="3AAEADC5" w14:textId="57485B05" w:rsidR="005F45C2" w:rsidRDefault="00AC168C">
                      <w:pPr>
                        <w:jc w:val="both"/>
                        <w:rPr>
                          <w:bCs/>
                          <w:szCs w:val="24"/>
                        </w:rPr>
                      </w:pPr>
                      <w:r>
                        <w:rPr>
                          <w:bCs/>
                          <w:szCs w:val="24"/>
                        </w:rPr>
                        <w:t>3.</w:t>
                      </w:r>
                    </w:p>
                  </w:tc>
                  <w:tc>
                    <w:tcPr>
                      <w:tcW w:w="3272" w:type="dxa"/>
                    </w:tcPr>
                    <w:p w14:paraId="5A4D2C1E" w14:textId="4A688639" w:rsidR="005F45C2" w:rsidRDefault="00AC168C">
                      <w:pPr>
                        <w:jc w:val="both"/>
                        <w:rPr>
                          <w:szCs w:val="24"/>
                          <w:lang w:eastAsia="lt-LT"/>
                        </w:rPr>
                      </w:pPr>
                      <w:r>
                        <w:t>Statyba, rekonstravimas, remontas ir kiti darbai</w:t>
                      </w:r>
                    </w:p>
                  </w:tc>
                  <w:tc>
                    <w:tcPr>
                      <w:tcW w:w="10629" w:type="dxa"/>
                    </w:tcPr>
                    <w:p w14:paraId="5DA254A9" w14:textId="63F7ED5E" w:rsidR="005F45C2" w:rsidRDefault="00AC168C">
                      <w:pPr>
                        <w:jc w:val="both"/>
                        <w:rPr>
                          <w:bCs/>
                          <w:szCs w:val="24"/>
                        </w:rPr>
                      </w:pPr>
                      <w:r>
                        <w:t>Netinkama finansuoti.</w:t>
                      </w:r>
                    </w:p>
                  </w:tc>
                </w:tr>
                <w:tr w:rsidR="005F45C2" w14:paraId="0FEEF113" w14:textId="77777777">
                  <w:tc>
                    <w:tcPr>
                      <w:tcW w:w="868" w:type="dxa"/>
                    </w:tcPr>
                    <w:p w14:paraId="2E953461" w14:textId="340E7969" w:rsidR="005F45C2" w:rsidRDefault="00AC168C">
                      <w:pPr>
                        <w:jc w:val="both"/>
                        <w:rPr>
                          <w:bCs/>
                          <w:szCs w:val="24"/>
                        </w:rPr>
                      </w:pPr>
                      <w:r>
                        <w:rPr>
                          <w:bCs/>
                          <w:szCs w:val="24"/>
                        </w:rPr>
                        <w:t>4.</w:t>
                      </w:r>
                    </w:p>
                  </w:tc>
                  <w:tc>
                    <w:tcPr>
                      <w:tcW w:w="3272" w:type="dxa"/>
                    </w:tcPr>
                    <w:p w14:paraId="2D073B17" w14:textId="4541E267" w:rsidR="005F45C2" w:rsidRDefault="00AC168C">
                      <w:pPr>
                        <w:jc w:val="both"/>
                        <w:rPr>
                          <w:szCs w:val="24"/>
                          <w:lang w:eastAsia="lt-LT"/>
                        </w:rPr>
                      </w:pPr>
                      <w:r>
                        <w:t>Įranga, įrenginiai ir kitas turtas</w:t>
                      </w:r>
                    </w:p>
                  </w:tc>
                  <w:tc>
                    <w:tcPr>
                      <w:tcW w:w="10629" w:type="dxa"/>
                    </w:tcPr>
                    <w:p w14:paraId="0972B0A2" w14:textId="564A3376" w:rsidR="005F45C2" w:rsidRDefault="00AC168C">
                      <w:pPr>
                        <w:overflowPunct w:val="0"/>
                        <w:jc w:val="both"/>
                        <w:textAlignment w:val="baseline"/>
                        <w:rPr>
                          <w:bCs/>
                          <w:szCs w:val="24"/>
                        </w:rPr>
                      </w:pPr>
                      <w:r>
                        <w:t>T</w:t>
                      </w:r>
                      <w:r>
                        <w:t>inkama finansuoti</w:t>
                      </w:r>
                    </w:p>
                  </w:tc>
                </w:tr>
                <w:tr w:rsidR="005F45C2" w14:paraId="6AFA7D85" w14:textId="77777777">
                  <w:tc>
                    <w:tcPr>
                      <w:tcW w:w="868" w:type="dxa"/>
                      <w:shd w:val="clear" w:color="auto" w:fill="auto"/>
                    </w:tcPr>
                    <w:p w14:paraId="5CA31E8C" w14:textId="2A5D2AF5" w:rsidR="005F45C2" w:rsidRDefault="00AC168C">
                      <w:pPr>
                        <w:jc w:val="both"/>
                        <w:rPr>
                          <w:bCs/>
                          <w:szCs w:val="24"/>
                        </w:rPr>
                      </w:pPr>
                      <w:r>
                        <w:rPr>
                          <w:bCs/>
                          <w:szCs w:val="24"/>
                        </w:rPr>
                        <w:lastRenderedPageBreak/>
                        <w:t>5.</w:t>
                      </w:r>
                    </w:p>
                  </w:tc>
                  <w:tc>
                    <w:tcPr>
                      <w:tcW w:w="3272" w:type="dxa"/>
                      <w:shd w:val="clear" w:color="auto" w:fill="auto"/>
                    </w:tcPr>
                    <w:p w14:paraId="78D7C6FC" w14:textId="07978F4D" w:rsidR="005F45C2" w:rsidRDefault="00AC168C">
                      <w:pPr>
                        <w:jc w:val="both"/>
                        <w:rPr>
                          <w:szCs w:val="24"/>
                          <w:lang w:eastAsia="lt-LT"/>
                        </w:rPr>
                      </w:pPr>
                      <w:r>
                        <w:t>Projekto vykdymas</w:t>
                      </w:r>
                    </w:p>
                  </w:tc>
                  <w:tc>
                    <w:tcPr>
                      <w:tcW w:w="10629" w:type="dxa"/>
                    </w:tcPr>
                    <w:p w14:paraId="28088C48" w14:textId="5D6ABB84" w:rsidR="005F45C2" w:rsidRDefault="00AC168C" w:rsidP="00AC168C">
                      <w:pPr>
                        <w:spacing w:before="100" w:beforeAutospacing="1" w:after="100" w:afterAutospacing="1"/>
                        <w:jc w:val="both"/>
                        <w:rPr>
                          <w:b/>
                          <w:bCs/>
                          <w:szCs w:val="24"/>
                        </w:rPr>
                      </w:pPr>
                      <w:r w:rsidRPr="00AC168C">
                        <w:rPr>
                          <w:szCs w:val="24"/>
                          <w:lang w:eastAsia="lt-LT"/>
                        </w:rPr>
                        <w:t>Tinkama finansuoti (veiklos nurodytos Aprašo Nr. 7 2.6 papunktyje), jei nefinansuojama kitų pažangos priemonių lėšomis.</w:t>
                      </w:r>
                    </w:p>
                  </w:tc>
                </w:tr>
                <w:tr w:rsidR="005F45C2" w14:paraId="3B410D99" w14:textId="77777777">
                  <w:tc>
                    <w:tcPr>
                      <w:tcW w:w="868" w:type="dxa"/>
                    </w:tcPr>
                    <w:p w14:paraId="26AE4F94" w14:textId="61D4CB25" w:rsidR="005F45C2" w:rsidRDefault="00AC168C">
                      <w:pPr>
                        <w:jc w:val="both"/>
                        <w:rPr>
                          <w:bCs/>
                          <w:szCs w:val="24"/>
                        </w:rPr>
                      </w:pPr>
                      <w:r>
                        <w:rPr>
                          <w:bCs/>
                          <w:szCs w:val="24"/>
                        </w:rPr>
                        <w:t>6.</w:t>
                      </w:r>
                    </w:p>
                  </w:tc>
                  <w:tc>
                    <w:tcPr>
                      <w:tcW w:w="3272" w:type="dxa"/>
                    </w:tcPr>
                    <w:p w14:paraId="082FA8C7" w14:textId="63410137" w:rsidR="005F45C2" w:rsidRDefault="00AC168C">
                      <w:pPr>
                        <w:jc w:val="both"/>
                        <w:rPr>
                          <w:szCs w:val="24"/>
                          <w:lang w:eastAsia="lt-LT"/>
                        </w:rPr>
                      </w:pPr>
                      <w:r>
                        <w:t>Informavimas apie projektą</w:t>
                      </w:r>
                    </w:p>
                  </w:tc>
                  <w:tc>
                    <w:tcPr>
                      <w:tcW w:w="10629" w:type="dxa"/>
                    </w:tcPr>
                    <w:p w14:paraId="276A7CC3" w14:textId="7DD230EE" w:rsidR="005F45C2" w:rsidRDefault="00AC168C" w:rsidP="00AC168C">
                      <w:pPr>
                        <w:spacing w:before="100" w:beforeAutospacing="1" w:after="100" w:afterAutospacing="1"/>
                        <w:jc w:val="both"/>
                        <w:rPr>
                          <w:bCs/>
                          <w:szCs w:val="24"/>
                        </w:rPr>
                      </w:pPr>
                      <w:r w:rsidRPr="00AC168C">
                        <w:rPr>
                          <w:szCs w:val="24"/>
                          <w:lang w:eastAsia="lt-LT"/>
                        </w:rPr>
                        <w:t>Tinkamos finansuoti išlaidos, skirtos privalomoms projektų matomumo ir informavimo apie projektus priemonėms, nurodytoms Projektų administravimo ir finansavimo taisyklių 341 punkte. Išlaidos apmokamos pagal Įgyvendintų privalomų matomumo ir informavimo priemonių apie ES fondų investicijų veiklas išlaidų fiksuotųjų sumų nustatymo tyrimą.</w:t>
                      </w:r>
                    </w:p>
                  </w:tc>
                </w:tr>
                <w:tr w:rsidR="005F45C2" w14:paraId="185DA46E" w14:textId="77777777">
                  <w:tc>
                    <w:tcPr>
                      <w:tcW w:w="868" w:type="dxa"/>
                    </w:tcPr>
                    <w:p w14:paraId="49B3685E" w14:textId="25B649C9" w:rsidR="005F45C2" w:rsidRDefault="00AC168C" w:rsidP="00AC168C">
                      <w:pPr>
                        <w:jc w:val="both"/>
                        <w:rPr>
                          <w:bCs/>
                          <w:szCs w:val="24"/>
                        </w:rPr>
                      </w:pPr>
                      <w:r>
                        <w:rPr>
                          <w:bCs/>
                          <w:szCs w:val="24"/>
                        </w:rPr>
                        <w:t>7.</w:t>
                      </w:r>
                    </w:p>
                  </w:tc>
                  <w:tc>
                    <w:tcPr>
                      <w:tcW w:w="3272" w:type="dxa"/>
                    </w:tcPr>
                    <w:p w14:paraId="02B7CA6D" w14:textId="4AC6976E" w:rsidR="005F45C2" w:rsidRDefault="00AC168C" w:rsidP="00AC168C">
                      <w:pPr>
                        <w:jc w:val="both"/>
                        <w:rPr>
                          <w:szCs w:val="24"/>
                          <w:lang w:eastAsia="lt-LT"/>
                        </w:rPr>
                      </w:pPr>
                      <w:r>
                        <w:t>Netiesioginės išlaidos ir kitos išlaidos pagal fiksuotąją projekto išlaidų normą</w:t>
                      </w:r>
                    </w:p>
                  </w:tc>
                  <w:tc>
                    <w:tcPr>
                      <w:tcW w:w="10629" w:type="dxa"/>
                    </w:tcPr>
                    <w:p w14:paraId="536CFDC9" w14:textId="77777777" w:rsidR="00AC168C" w:rsidRPr="00AC168C" w:rsidRDefault="00AC168C" w:rsidP="00AC168C">
                      <w:pPr>
                        <w:jc w:val="both"/>
                        <w:rPr>
                          <w:szCs w:val="24"/>
                          <w:lang w:eastAsia="lt-LT"/>
                        </w:rPr>
                      </w:pPr>
                      <w:r w:rsidRPr="00AC168C">
                        <w:rPr>
                          <w:szCs w:val="24"/>
                          <w:lang w:eastAsia="lt-LT"/>
                        </w:rPr>
                        <w:t xml:space="preserve">Tinkama finansuoti. </w:t>
                      </w:r>
                    </w:p>
                    <w:p w14:paraId="1750D7EF" w14:textId="77777777" w:rsidR="00AC168C" w:rsidRPr="00AC168C" w:rsidRDefault="00AC168C" w:rsidP="00AC168C">
                      <w:pPr>
                        <w:jc w:val="both"/>
                        <w:rPr>
                          <w:szCs w:val="24"/>
                          <w:lang w:eastAsia="lt-LT"/>
                        </w:rPr>
                      </w:pPr>
                      <w:r w:rsidRPr="00AC168C">
                        <w:rPr>
                          <w:szCs w:val="24"/>
                          <w:lang w:eastAsia="lt-LT"/>
                        </w:rPr>
                        <w:t>Išlaidos aptartos Aprašo Nr. 7 14.6 papunktyje.</w:t>
                      </w:r>
                    </w:p>
                    <w:p w14:paraId="49568CA0" w14:textId="698ED588" w:rsidR="005F45C2" w:rsidRDefault="005F45C2" w:rsidP="00AC168C">
                      <w:pPr>
                        <w:jc w:val="both"/>
                        <w:rPr>
                          <w:bCs/>
                          <w:szCs w:val="24"/>
                        </w:rPr>
                      </w:pPr>
                    </w:p>
                  </w:tc>
                </w:tr>
              </w:tbl>
              <w:p w14:paraId="5B79BC51" w14:textId="77777777" w:rsidR="005F45C2" w:rsidRDefault="005F45C2">
                <w:pPr>
                  <w:jc w:val="both"/>
                  <w:rPr>
                    <w:bCs/>
                    <w:sz w:val="16"/>
                    <w:szCs w:val="16"/>
                  </w:rPr>
                </w:pPr>
              </w:p>
              <w:p w14:paraId="683A5DA5" w14:textId="4E16BEBA" w:rsidR="005F45C2" w:rsidRDefault="003C5AF8">
                <w:pPr>
                  <w:jc w:val="both"/>
                  <w:rPr>
                    <w:bCs/>
                    <w:szCs w:val="24"/>
                  </w:rPr>
                </w:pPr>
                <w:r>
                  <w:rPr>
                    <w:bCs/>
                    <w:szCs w:val="24"/>
                  </w:rPr>
                  <w:t>13.4. Didžiausia galima projektų finansuojamoji dalis sudaro 100 proc. visų tinkamų finansuoti projekto išlaidų. Nuosavu įnašu prisidėti nereikalaujama. Projekto pareiškėjas savo iniciatyva ir savo ir (arba) kitų šaltinių lėšomis gali prisidėti prie projekto įgyvendinimo.</w:t>
                </w:r>
              </w:p>
              <w:p w14:paraId="22276433" w14:textId="599FD55D" w:rsidR="005F45C2" w:rsidRDefault="003C5AF8">
                <w:pPr>
                  <w:jc w:val="both"/>
                  <w:rPr>
                    <w:bCs/>
                    <w:szCs w:val="24"/>
                  </w:rPr>
                </w:pPr>
                <w:r>
                  <w:rPr>
                    <w:bCs/>
                    <w:szCs w:val="24"/>
                  </w:rPr>
                  <w:t>13.5. Projekto tinkamų finansuoti išlaidų dalis, kurios nepadengia projektui skiriamo finansavimo lėšos, turi būti finansuojama iš projekto vykdytojo lėšų.</w:t>
                </w:r>
              </w:p>
              <w:p w14:paraId="1ACA80EB" w14:textId="00108E64" w:rsidR="005F45C2" w:rsidRDefault="003C5AF8">
                <w:pPr>
                  <w:tabs>
                    <w:tab w:val="left" w:pos="0"/>
                    <w:tab w:val="left" w:pos="1134"/>
                    <w:tab w:val="left" w:pos="1418"/>
                    <w:tab w:val="left" w:pos="1560"/>
                  </w:tabs>
                  <w:jc w:val="both"/>
                  <w:rPr>
                    <w:szCs w:val="24"/>
                  </w:rPr>
                </w:pPr>
                <w:r>
                  <w:rPr>
                    <w:bCs/>
                    <w:szCs w:val="24"/>
                  </w:rPr>
                  <w:t xml:space="preserve">13.6. </w:t>
                </w:r>
                <w:r w:rsidR="00AC168C">
                  <w:t>Kryžminis finansavimas gali būti taikomas atsižvelgiant į Projektų administravimo ir finansavimo taisyklių 294.7 papunkčio nuostatas, 2023 m. birželio 22 d. viešosios įstaigos Centrinės projektų valdymo agentūros direktoriaus įsakymu Nr. 2023/8-246 patvirtintų Rekomendacijų dėl projektų išlaidų atitikties Europos Sąjungos fondų reikalavimams nuostatas ir negali viršyti 10 procentų nuo visų projektui skiriamų lėšų</w:t>
                </w:r>
                <w:r w:rsidR="00AC168C">
                  <w:t>.</w:t>
                </w:r>
                <w:bookmarkStart w:id="0" w:name="_GoBack"/>
                <w:bookmarkEnd w:id="0"/>
              </w:p>
              <w:p w14:paraId="60C94F94" w14:textId="37808D48" w:rsidR="005F45C2" w:rsidRDefault="003C5AF8">
                <w:pPr>
                  <w:tabs>
                    <w:tab w:val="left" w:pos="0"/>
                    <w:tab w:val="left" w:pos="1134"/>
                    <w:tab w:val="left" w:pos="1418"/>
                    <w:tab w:val="left" w:pos="1560"/>
                  </w:tabs>
                  <w:jc w:val="both"/>
                  <w:rPr>
                    <w:szCs w:val="24"/>
                  </w:rPr>
                </w:pPr>
                <w:r>
                  <w:rPr>
                    <w:bCs/>
                    <w:szCs w:val="24"/>
                  </w:rPr>
                  <w:t>13.7. PĮP parengimo išlaidos nėra finansuojamos.</w:t>
                </w:r>
              </w:p>
            </w:tc>
          </w:tr>
          <w:tr w:rsidR="005F45C2" w14:paraId="184250F6" w14:textId="77777777">
            <w:trPr>
              <w:trHeight w:val="349"/>
            </w:trPr>
            <w:tc>
              <w:tcPr>
                <w:tcW w:w="15021" w:type="dxa"/>
              </w:tcPr>
              <w:p w14:paraId="3B6E79C5" w14:textId="59B8CC0F" w:rsidR="005F45C2" w:rsidRDefault="003C5AF8">
                <w:pPr>
                  <w:jc w:val="both"/>
                  <w:rPr>
                    <w:szCs w:val="24"/>
                  </w:rPr>
                </w:pPr>
                <w:r>
                  <w:rPr>
                    <w:b/>
                    <w:szCs w:val="24"/>
                  </w:rPr>
                  <w:lastRenderedPageBreak/>
                  <w:t>14. Projektų veiklų ir jungtinio projekto projektų įgyvendinimui taikomi supaprastintai apmokamų išlaidų dydžiai</w:t>
                </w:r>
              </w:p>
            </w:tc>
          </w:tr>
          <w:tr w:rsidR="005F45C2" w14:paraId="1B36483A" w14:textId="77777777">
            <w:tc>
              <w:tcPr>
                <w:tcW w:w="15021" w:type="dxa"/>
              </w:tcPr>
              <w:p w14:paraId="4328B167" w14:textId="2179518A" w:rsidR="005F45C2" w:rsidRDefault="003C5AF8">
                <w:pPr>
                  <w:jc w:val="both"/>
                  <w:rPr>
                    <w:szCs w:val="24"/>
                  </w:rPr>
                </w:pPr>
                <w:r>
                  <w:rPr>
                    <w:szCs w:val="24"/>
                  </w:rPr>
                  <w:t>14.1. Projekto vykdytojas supaprastintai apmokamų išlaidų finansinę apskaitą tvarko vadovaudamasis ES ir Lietuvos Respublikos teisės aktais, tačiau veiklos ataskaitoje, deklaruodamas išlaidas, nurodomą tinkamų finansuoti išlaidų sumą apskaičiuoja pagal projekto sutartyje nustatytus supaprastintai apmokamų išlaidų dydžius.</w:t>
                </w:r>
              </w:p>
              <w:p w14:paraId="0B2A9390" w14:textId="4639D8CC" w:rsidR="005F45C2" w:rsidRDefault="003C5AF8">
                <w:pPr>
                  <w:jc w:val="both"/>
                  <w:rPr>
                    <w:szCs w:val="24"/>
                  </w:rPr>
                </w:pPr>
                <w:r>
                  <w:rPr>
                    <w:szCs w:val="24"/>
                  </w:rPr>
                  <w:t>14.2. Jeigu projekto vykdytojo faktiškai patirtos išlaidos (įsigytos prekės ar paslaugos, apskaičiuotas darbo užmokestis, išmokos ir pan.) yra didesnės už apskaičiuotas taikant nustatytus supaprastintai apmokamų išlaidų dydžius, skirtumas apmokamas iš projekto vykdytojo nuosavų lėšų.</w:t>
                </w:r>
              </w:p>
              <w:p w14:paraId="7B6BB84D" w14:textId="343EF6C2" w:rsidR="005F45C2" w:rsidRDefault="003C5AF8">
                <w:pPr>
                  <w:jc w:val="both"/>
                  <w:rPr>
                    <w:szCs w:val="24"/>
                  </w:rPr>
                </w:pPr>
                <w:r>
                  <w:rPr>
                    <w:szCs w:val="24"/>
                  </w:rPr>
                  <w:t>14.3. Kai išlaidos apmokamos supaprastintai, o informacija apie patirtas išlaidas reikalinga rengiant ar atnaujinant Supaprastintai apmokamų išlaidų nustatymo aprašus, projekto vykdytojas projekto įgyvendinimo metu ir po projekto finansavimo pabaigos per projekto sutartyje nurodytą projekto dokumentų saugojimo laikotarpį ministerijos, vadovaujančiosios ar administruojančiosios institucijų prašymu privalo pateikti šią informaciją.</w:t>
                </w:r>
              </w:p>
              <w:p w14:paraId="6E8A5CA1" w14:textId="6E8D327C" w:rsidR="005F45C2" w:rsidRDefault="003C5AF8">
                <w:pPr>
                  <w:jc w:val="both"/>
                  <w:rPr>
                    <w:szCs w:val="24"/>
                  </w:rPr>
                </w:pPr>
                <w:r>
                  <w:rPr>
                    <w:szCs w:val="24"/>
                  </w:rPr>
                  <w:t>14.4. Išlaidos pagal fiksuotuosius įkainius pripažįstamos tinkamomis finansuoti, kai yra pasiekti tam tikri rezultatai, už kurių pasiekimą nustatyti konkretūs fiksuotieji įkainiai.</w:t>
                </w:r>
              </w:p>
              <w:p w14:paraId="4D1073AA" w14:textId="39D6C039" w:rsidR="005F45C2" w:rsidRDefault="003C5AF8">
                <w:pPr>
                  <w:jc w:val="both"/>
                  <w:rPr>
                    <w:szCs w:val="24"/>
                  </w:rPr>
                </w:pPr>
                <w:r>
                  <w:rPr>
                    <w:szCs w:val="24"/>
                  </w:rPr>
                  <w:t>14.5. Išlaidos pagal fiksuotąją sumą yra tinkamos finansuoti tik tuo atveju, jei yra įvykdytos numatytos fiksuotosios sumos sąlygos. Jei numatytos fiksuotosios sumos sąlygos nėra įvykdytos, visos išlaidos pagal fiksuotąją sumą nėra tinkamos finansuoti.</w:t>
                </w:r>
              </w:p>
              <w:p w14:paraId="0B321F3F" w14:textId="7E992A3D" w:rsidR="005F45C2" w:rsidRDefault="003C5AF8">
                <w:pPr>
                  <w:jc w:val="both"/>
                  <w:rPr>
                    <w:szCs w:val="24"/>
                  </w:rPr>
                </w:pPr>
                <w:r>
                  <w:rPr>
                    <w:szCs w:val="24"/>
                  </w:rPr>
                  <w:t xml:space="preserve">14.6. Netiesioginės išlaidos apmokamos taikant fiksuotąją normą pagal Projektų administravimo ir finansavimo taisyklių 332.1 papunktį – 7 proc. netiesioginių išlaidų fiksuotoji norma.  </w:t>
                </w:r>
              </w:p>
              <w:p w14:paraId="1CE5693D" w14:textId="54F656B4" w:rsidR="005F45C2" w:rsidRDefault="003C5AF8">
                <w:pPr>
                  <w:jc w:val="both"/>
                  <w:rPr>
                    <w:szCs w:val="24"/>
                  </w:rPr>
                </w:pPr>
                <w:r>
                  <w:rPr>
                    <w:szCs w:val="24"/>
                  </w:rPr>
                  <w:t>14.7. Projekto sutartyje nustatyta netiesioginių išlaidų fiksuotoji norma projekto įgyvendinimo metu negali būti keičiama.</w:t>
                </w:r>
              </w:p>
              <w:p w14:paraId="1785B52A" w14:textId="09690AA4" w:rsidR="005F45C2" w:rsidRDefault="003C5AF8">
                <w:pPr>
                  <w:jc w:val="both"/>
                  <w:rPr>
                    <w:szCs w:val="24"/>
                  </w:rPr>
                </w:pPr>
                <w:r>
                  <w:rPr>
                    <w:szCs w:val="24"/>
                  </w:rPr>
                  <w:lastRenderedPageBreak/>
                  <w:t>14.8.</w:t>
                </w:r>
                <w:r>
                  <w:rPr>
                    <w:i/>
                    <w:iCs/>
                    <w:szCs w:val="24"/>
                  </w:rPr>
                  <w:t xml:space="preserve"> </w:t>
                </w:r>
                <w:r>
                  <w:rPr>
                    <w:szCs w:val="24"/>
                  </w:rPr>
                  <w:t>Vadovaujančiajai arba audito institucijoms nustačius, kad supaprastintai apmokamų išlaidų dydis ar jo taikymo sąlygos buvo netinkamai nustatyti (kai dydis turėjo būti mažesnis arba kitaip taikomas), patikslintas supaprastintai apmokamų išlaidų dydis ar jo taikymo sąlygos turi būti taikomi jau įgyvendinamų projektų veiklų, vykdomų nuo supaprastintai apmokamų išlaidų dydžio ar jo taikymo sąlygų patikslinimo įsigaliojimo dienos, išlaidoms apmokėti.</w:t>
                </w:r>
              </w:p>
              <w:p w14:paraId="0574F24F" w14:textId="77777777" w:rsidR="005F45C2" w:rsidRDefault="005F45C2">
                <w:pPr>
                  <w:jc w:val="both"/>
                  <w:rPr>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521"/>
                  <w:gridCol w:w="2409"/>
                  <w:gridCol w:w="3740"/>
                  <w:gridCol w:w="2890"/>
                </w:tblGrid>
                <w:tr w:rsidR="005F45C2" w14:paraId="05D77AC4" w14:textId="77777777">
                  <w:tc>
                    <w:tcPr>
                      <w:tcW w:w="14449" w:type="dxa"/>
                      <w:gridSpan w:val="5"/>
                    </w:tcPr>
                    <w:p w14:paraId="7F83BD7B" w14:textId="77777777" w:rsidR="005F45C2" w:rsidRDefault="003C5AF8">
                      <w:pPr>
                        <w:ind w:firstLine="57"/>
                        <w:jc w:val="both"/>
                        <w:rPr>
                          <w:b/>
                          <w:bCs/>
                          <w:color w:val="FF0000"/>
                          <w:sz w:val="22"/>
                          <w:szCs w:val="22"/>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FORMCHECKBOX </w:instrText>
                      </w:r>
                      <w:r w:rsidR="00AC168C">
                        <w:rPr>
                          <w:rFonts w:eastAsia="Calibri"/>
                          <w:sz w:val="22"/>
                          <w:szCs w:val="22"/>
                        </w:rPr>
                      </w:r>
                      <w:r w:rsidR="00AC168C">
                        <w:rPr>
                          <w:rFonts w:eastAsia="Calibri"/>
                          <w:sz w:val="22"/>
                          <w:szCs w:val="22"/>
                        </w:rPr>
                        <w:fldChar w:fldCharType="separate"/>
                      </w:r>
                      <w:r>
                        <w:rPr>
                          <w:rFonts w:eastAsia="Calibri"/>
                          <w:sz w:val="22"/>
                          <w:szCs w:val="22"/>
                        </w:rPr>
                        <w:fldChar w:fldCharType="end"/>
                      </w:r>
                      <w:r>
                        <w:rPr>
                          <w:b/>
                          <w:bCs/>
                          <w:sz w:val="22"/>
                          <w:szCs w:val="22"/>
                        </w:rPr>
                        <w:t>Indeksuojama</w:t>
                      </w:r>
                    </w:p>
                    <w:p w14:paraId="7C0924D8" w14:textId="77777777" w:rsidR="005F45C2" w:rsidRDefault="003C5AF8">
                      <w:pPr>
                        <w:ind w:firstLine="57"/>
                        <w:jc w:val="both"/>
                        <w:rPr>
                          <w:b/>
                          <w:bCs/>
                          <w:sz w:val="22"/>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sidR="00AC168C">
                        <w:rPr>
                          <w:rFonts w:eastAsia="Calibri"/>
                          <w:sz w:val="22"/>
                          <w:szCs w:val="22"/>
                        </w:rPr>
                      </w:r>
                      <w:r w:rsidR="00AC168C">
                        <w:rPr>
                          <w:rFonts w:eastAsia="Calibri"/>
                          <w:sz w:val="22"/>
                          <w:szCs w:val="22"/>
                        </w:rPr>
                        <w:fldChar w:fldCharType="separate"/>
                      </w:r>
                      <w:r>
                        <w:rPr>
                          <w:rFonts w:eastAsia="Calibri"/>
                          <w:sz w:val="22"/>
                          <w:szCs w:val="22"/>
                        </w:rPr>
                        <w:fldChar w:fldCharType="end"/>
                      </w:r>
                      <w:r>
                        <w:rPr>
                          <w:b/>
                          <w:bCs/>
                          <w:sz w:val="22"/>
                          <w:szCs w:val="22"/>
                        </w:rPr>
                        <w:t>Neindeksuojama</w:t>
                      </w:r>
                    </w:p>
                  </w:tc>
                </w:tr>
                <w:tr w:rsidR="005F45C2" w14:paraId="11D2B886" w14:textId="77777777">
                  <w:tc>
                    <w:tcPr>
                      <w:tcW w:w="2889" w:type="dxa"/>
                    </w:tcPr>
                    <w:p w14:paraId="368D7444" w14:textId="77777777" w:rsidR="005F45C2" w:rsidRDefault="003C5AF8">
                      <w:pPr>
                        <w:jc w:val="center"/>
                        <w:rPr>
                          <w:b/>
                          <w:bCs/>
                          <w:sz w:val="22"/>
                          <w:szCs w:val="22"/>
                        </w:rPr>
                      </w:pPr>
                      <w:r>
                        <w:rPr>
                          <w:b/>
                          <w:bCs/>
                          <w:sz w:val="22"/>
                          <w:szCs w:val="22"/>
                        </w:rPr>
                        <w:t>Veiklos ir (ar) išlaidos, kurioms taikomi supaprastintai apmokamų išlaidų dydžiai</w:t>
                      </w:r>
                    </w:p>
                  </w:tc>
                  <w:tc>
                    <w:tcPr>
                      <w:tcW w:w="2521" w:type="dxa"/>
                    </w:tcPr>
                    <w:p w14:paraId="6BB21DFB" w14:textId="77777777" w:rsidR="005F45C2" w:rsidRDefault="003C5AF8">
                      <w:pPr>
                        <w:jc w:val="center"/>
                        <w:rPr>
                          <w:b/>
                          <w:bCs/>
                          <w:sz w:val="22"/>
                          <w:szCs w:val="22"/>
                        </w:rPr>
                      </w:pPr>
                      <w:r>
                        <w:rPr>
                          <w:b/>
                          <w:bCs/>
                          <w:sz w:val="22"/>
                          <w:szCs w:val="22"/>
                        </w:rPr>
                        <w:t>Supaprastintai apmokamų išlaidų dydžio kodas</w:t>
                      </w:r>
                    </w:p>
                  </w:tc>
                  <w:tc>
                    <w:tcPr>
                      <w:tcW w:w="2409" w:type="dxa"/>
                    </w:tcPr>
                    <w:p w14:paraId="2B3518C0" w14:textId="77777777" w:rsidR="005F45C2" w:rsidRDefault="003C5AF8">
                      <w:pPr>
                        <w:jc w:val="center"/>
                        <w:rPr>
                          <w:b/>
                          <w:bCs/>
                          <w:i/>
                          <w:iCs/>
                          <w:color w:val="808080"/>
                          <w:sz w:val="22"/>
                          <w:szCs w:val="22"/>
                        </w:rPr>
                      </w:pPr>
                      <w:r>
                        <w:rPr>
                          <w:b/>
                          <w:bCs/>
                          <w:sz w:val="22"/>
                          <w:szCs w:val="22"/>
                        </w:rPr>
                        <w:t>Supaprastintai apmokamų išlaidų dydžio versija</w:t>
                      </w:r>
                    </w:p>
                  </w:tc>
                  <w:tc>
                    <w:tcPr>
                      <w:tcW w:w="3740" w:type="dxa"/>
                    </w:tcPr>
                    <w:p w14:paraId="2F034D40" w14:textId="77777777" w:rsidR="005F45C2" w:rsidRDefault="003C5AF8">
                      <w:pPr>
                        <w:jc w:val="center"/>
                        <w:rPr>
                          <w:b/>
                          <w:bCs/>
                          <w:sz w:val="22"/>
                          <w:szCs w:val="22"/>
                        </w:rPr>
                      </w:pPr>
                      <w:r>
                        <w:rPr>
                          <w:b/>
                          <w:bCs/>
                          <w:sz w:val="22"/>
                          <w:szCs w:val="22"/>
                        </w:rPr>
                        <w:t>Supaprastintai apmokamų išlaidų dydžio pavadinimas</w:t>
                      </w:r>
                    </w:p>
                  </w:tc>
                  <w:tc>
                    <w:tcPr>
                      <w:tcW w:w="2890" w:type="dxa"/>
                    </w:tcPr>
                    <w:p w14:paraId="2CB75F60" w14:textId="77777777" w:rsidR="005F45C2" w:rsidRDefault="003C5AF8">
                      <w:pPr>
                        <w:jc w:val="center"/>
                        <w:rPr>
                          <w:b/>
                          <w:bCs/>
                          <w:sz w:val="22"/>
                          <w:szCs w:val="22"/>
                        </w:rPr>
                      </w:pPr>
                      <w:r>
                        <w:rPr>
                          <w:b/>
                          <w:bCs/>
                          <w:sz w:val="22"/>
                          <w:szCs w:val="22"/>
                        </w:rPr>
                        <w:t>Papildoma informacija</w:t>
                      </w:r>
                    </w:p>
                  </w:tc>
                </w:tr>
                <w:tr w:rsidR="005F45C2" w14:paraId="246E247D" w14:textId="77777777">
                  <w:trPr>
                    <w:trHeight w:val="1082"/>
                  </w:trPr>
                  <w:tc>
                    <w:tcPr>
                      <w:tcW w:w="2889" w:type="dxa"/>
                    </w:tcPr>
                    <w:p w14:paraId="2A01F82F" w14:textId="581726EE" w:rsidR="005F45C2" w:rsidRDefault="003C5AF8">
                      <w:pP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tc>
                  <w:tc>
                    <w:tcPr>
                      <w:tcW w:w="2521" w:type="dxa"/>
                    </w:tcPr>
                    <w:p w14:paraId="289AF892" w14:textId="7DFDF900" w:rsidR="005F45C2" w:rsidRDefault="003C5AF8">
                      <w:pPr>
                        <w:jc w:val="center"/>
                        <w:rPr>
                          <w:sz w:val="22"/>
                          <w:szCs w:val="22"/>
                        </w:rPr>
                      </w:pPr>
                      <w:r>
                        <w:rPr>
                          <w:color w:val="000000"/>
                          <w:sz w:val="22"/>
                          <w:szCs w:val="22"/>
                        </w:rPr>
                        <w:t>FN-05-02</w:t>
                      </w:r>
                    </w:p>
                  </w:tc>
                  <w:tc>
                    <w:tcPr>
                      <w:tcW w:w="2409" w:type="dxa"/>
                    </w:tcPr>
                    <w:p w14:paraId="5C3EB62E" w14:textId="2BB85041" w:rsidR="005F45C2" w:rsidRDefault="003C5AF8">
                      <w:pPr>
                        <w:jc w:val="center"/>
                        <w:rPr>
                          <w:sz w:val="22"/>
                          <w:szCs w:val="22"/>
                        </w:rPr>
                      </w:pPr>
                      <w:r>
                        <w:rPr>
                          <w:sz w:val="22"/>
                          <w:szCs w:val="22"/>
                        </w:rPr>
                        <w:t>01</w:t>
                      </w:r>
                    </w:p>
                  </w:tc>
                  <w:tc>
                    <w:tcPr>
                      <w:tcW w:w="3740" w:type="dxa"/>
                    </w:tcPr>
                    <w:p w14:paraId="6CDFE4F1" w14:textId="485AD159" w:rsidR="005F45C2" w:rsidRDefault="003C5AF8">
                      <w:pPr>
                        <w:rPr>
                          <w:sz w:val="22"/>
                          <w:szCs w:val="22"/>
                        </w:rPr>
                      </w:pPr>
                      <w:r>
                        <w:rPr>
                          <w:sz w:val="22"/>
                          <w:szCs w:val="22"/>
                        </w:rPr>
                        <w:t>Fiksuotoji norma, taikoma, kai priklauso nuo 21 iki 25 d. d. (jeigu dirbama 5 d. d. per savaitę) arba nuo 25 iki 30 d. d. (jeigu dirbama 6 d. d. per savaitę) kasmetinių atostogų</w:t>
                      </w:r>
                    </w:p>
                  </w:tc>
                  <w:tc>
                    <w:tcPr>
                      <w:tcW w:w="2890" w:type="dxa"/>
                    </w:tcPr>
                    <w:p w14:paraId="645ED068" w14:textId="77777777" w:rsidR="005F45C2" w:rsidRDefault="005F45C2">
                      <w:pPr>
                        <w:rPr>
                          <w:i/>
                          <w:iCs/>
                          <w:sz w:val="22"/>
                          <w:szCs w:val="22"/>
                        </w:rPr>
                      </w:pPr>
                    </w:p>
                  </w:tc>
                </w:tr>
                <w:tr w:rsidR="005F45C2" w14:paraId="7022BA48" w14:textId="77777777">
                  <w:trPr>
                    <w:trHeight w:val="1082"/>
                  </w:trPr>
                  <w:tc>
                    <w:tcPr>
                      <w:tcW w:w="2889" w:type="dxa"/>
                    </w:tcPr>
                    <w:p w14:paraId="78C4EF61" w14:textId="06AD81BF" w:rsidR="005F45C2" w:rsidRDefault="003C5AF8">
                      <w:pPr>
                        <w:rPr>
                          <w:sz w:val="22"/>
                          <w:szCs w:val="22"/>
                        </w:rPr>
                      </w:pPr>
                      <w:r>
                        <w:rPr>
                          <w:sz w:val="22"/>
                          <w:szCs w:val="22"/>
                        </w:rPr>
                        <w:t>Išlaidos, skirtos privalomoms projektų matomumo ir informavimo apie projektus priemonėms</w:t>
                      </w:r>
                    </w:p>
                  </w:tc>
                  <w:tc>
                    <w:tcPr>
                      <w:tcW w:w="2521" w:type="dxa"/>
                    </w:tcPr>
                    <w:p w14:paraId="36205181" w14:textId="086D2670" w:rsidR="005F45C2" w:rsidRDefault="003C5AF8">
                      <w:pPr>
                        <w:jc w:val="center"/>
                        <w:rPr>
                          <w:sz w:val="22"/>
                          <w:szCs w:val="22"/>
                        </w:rPr>
                      </w:pPr>
                      <w:r>
                        <w:rPr>
                          <w:sz w:val="22"/>
                          <w:szCs w:val="22"/>
                        </w:rPr>
                        <w:t>FS-01-02</w:t>
                      </w:r>
                    </w:p>
                  </w:tc>
                  <w:tc>
                    <w:tcPr>
                      <w:tcW w:w="2409" w:type="dxa"/>
                    </w:tcPr>
                    <w:p w14:paraId="10E37FAF" w14:textId="643019CE" w:rsidR="005F45C2" w:rsidRDefault="003C5AF8">
                      <w:pPr>
                        <w:jc w:val="center"/>
                        <w:rPr>
                          <w:sz w:val="22"/>
                          <w:szCs w:val="22"/>
                        </w:rPr>
                      </w:pPr>
                      <w:r>
                        <w:rPr>
                          <w:sz w:val="22"/>
                          <w:szCs w:val="22"/>
                        </w:rPr>
                        <w:t>-</w:t>
                      </w:r>
                    </w:p>
                  </w:tc>
                  <w:tc>
                    <w:tcPr>
                      <w:tcW w:w="3740" w:type="dxa"/>
                    </w:tcPr>
                    <w:p w14:paraId="02A60A6F" w14:textId="07CA6170" w:rsidR="005F45C2" w:rsidRDefault="003C5AF8">
                      <w:pPr>
                        <w:rPr>
                          <w:sz w:val="22"/>
                          <w:szCs w:val="22"/>
                        </w:rPr>
                      </w:pPr>
                      <w:r>
                        <w:rPr>
                          <w:sz w:val="22"/>
                          <w:szCs w:val="22"/>
                        </w:rPr>
                        <w:t>Įgyvendintų privalomų matomumo ir informavimo priemonių apie ES fondų investicijų veiklas fiksuotoji suma, pirmojo rinkinio FS su PVM</w:t>
                      </w:r>
                    </w:p>
                  </w:tc>
                  <w:tc>
                    <w:tcPr>
                      <w:tcW w:w="2890" w:type="dxa"/>
                    </w:tcPr>
                    <w:p w14:paraId="36EAFE18" w14:textId="77777777" w:rsidR="005F45C2" w:rsidRDefault="005F45C2">
                      <w:pPr>
                        <w:rPr>
                          <w:i/>
                          <w:iCs/>
                          <w:sz w:val="22"/>
                          <w:szCs w:val="22"/>
                        </w:rPr>
                      </w:pPr>
                    </w:p>
                  </w:tc>
                </w:tr>
                <w:tr w:rsidR="005F45C2" w14:paraId="6B776270" w14:textId="77777777">
                  <w:trPr>
                    <w:trHeight w:val="1082"/>
                  </w:trPr>
                  <w:tc>
                    <w:tcPr>
                      <w:tcW w:w="2889" w:type="dxa"/>
                    </w:tcPr>
                    <w:p w14:paraId="5BFDAD91" w14:textId="77777777" w:rsidR="005F45C2" w:rsidRDefault="003C5AF8">
                      <w:pPr>
                        <w:rPr>
                          <w:sz w:val="22"/>
                          <w:szCs w:val="22"/>
                        </w:rPr>
                      </w:pPr>
                      <w:r>
                        <w:rPr>
                          <w:sz w:val="22"/>
                          <w:szCs w:val="22"/>
                        </w:rPr>
                        <w:t>Išlaidos, skirtos privalomoms projektų matomumo ir informavimo apie projektus priemonėms</w:t>
                      </w:r>
                    </w:p>
                  </w:tc>
                  <w:tc>
                    <w:tcPr>
                      <w:tcW w:w="2521" w:type="dxa"/>
                    </w:tcPr>
                    <w:p w14:paraId="2DF8790E" w14:textId="77777777" w:rsidR="005F45C2" w:rsidRDefault="003C5AF8">
                      <w:pPr>
                        <w:jc w:val="center"/>
                        <w:rPr>
                          <w:sz w:val="22"/>
                          <w:szCs w:val="22"/>
                          <w:highlight w:val="yellow"/>
                        </w:rPr>
                      </w:pPr>
                      <w:r>
                        <w:rPr>
                          <w:sz w:val="22"/>
                          <w:szCs w:val="22"/>
                        </w:rPr>
                        <w:t>FS-01-01</w:t>
                      </w:r>
                    </w:p>
                  </w:tc>
                  <w:tc>
                    <w:tcPr>
                      <w:tcW w:w="2409" w:type="dxa"/>
                    </w:tcPr>
                    <w:p w14:paraId="3048DEB6" w14:textId="77777777" w:rsidR="005F45C2" w:rsidRDefault="003C5AF8">
                      <w:pPr>
                        <w:jc w:val="center"/>
                        <w:rPr>
                          <w:sz w:val="22"/>
                          <w:szCs w:val="22"/>
                        </w:rPr>
                      </w:pPr>
                      <w:r>
                        <w:rPr>
                          <w:sz w:val="22"/>
                          <w:szCs w:val="22"/>
                        </w:rPr>
                        <w:t>-</w:t>
                      </w:r>
                    </w:p>
                  </w:tc>
                  <w:tc>
                    <w:tcPr>
                      <w:tcW w:w="3740" w:type="dxa"/>
                    </w:tcPr>
                    <w:p w14:paraId="7694B0AC" w14:textId="7C1F3A4B" w:rsidR="005F45C2" w:rsidRDefault="003C5AF8">
                      <w:pPr>
                        <w:rPr>
                          <w:sz w:val="22"/>
                          <w:szCs w:val="22"/>
                          <w:highlight w:val="yellow"/>
                        </w:rPr>
                      </w:pPr>
                      <w:r>
                        <w:rPr>
                          <w:sz w:val="22"/>
                          <w:szCs w:val="22"/>
                        </w:rPr>
                        <w:t>Įgyvendintų privalomų matomumo ir informavimo priemonių apie ES fondų investicijų veiklas fiksuotoji suma, pirmojo rinkinio FS be PVM</w:t>
                      </w:r>
                    </w:p>
                  </w:tc>
                  <w:tc>
                    <w:tcPr>
                      <w:tcW w:w="2890" w:type="dxa"/>
                    </w:tcPr>
                    <w:p w14:paraId="414ABE68" w14:textId="77777777" w:rsidR="005F45C2" w:rsidRDefault="005F45C2">
                      <w:pPr>
                        <w:rPr>
                          <w:i/>
                          <w:iCs/>
                          <w:sz w:val="22"/>
                          <w:szCs w:val="22"/>
                        </w:rPr>
                      </w:pPr>
                    </w:p>
                  </w:tc>
                </w:tr>
                <w:tr w:rsidR="005F45C2" w14:paraId="6E5B6DAE" w14:textId="77777777">
                  <w:trPr>
                    <w:trHeight w:val="1082"/>
                  </w:trPr>
                  <w:tc>
                    <w:tcPr>
                      <w:tcW w:w="2889" w:type="dxa"/>
                    </w:tcPr>
                    <w:p w14:paraId="75025D3B" w14:textId="77777777" w:rsidR="005F45C2" w:rsidRDefault="003C5AF8">
                      <w:pPr>
                        <w:rPr>
                          <w:sz w:val="22"/>
                          <w:szCs w:val="22"/>
                        </w:rPr>
                      </w:pPr>
                      <w:r>
                        <w:rPr>
                          <w:sz w:val="22"/>
                          <w:szCs w:val="22"/>
                        </w:rPr>
                        <w:t>Fiksuotąją sumą sudaro visų antrojo privalomų matomumo ir informavimo priemonių rinkinio išlaidos, kai:</w:t>
                      </w:r>
                      <w:r>
                        <w:rPr>
                          <w:sz w:val="22"/>
                          <w:szCs w:val="22"/>
                        </w:rPr>
                        <w:br/>
                        <w:t xml:space="preserve">a) projekto įgyvendinimo pradžioje projekto vykdytojo oficialioje interneto svetainėje, jei tokia yra, ir socialinės žiniasklaidos svetainėse patalpinta </w:t>
                      </w:r>
                      <w:r>
                        <w:rPr>
                          <w:sz w:val="22"/>
                          <w:szCs w:val="22"/>
                        </w:rPr>
                        <w:lastRenderedPageBreak/>
                        <w:t>informacija – trumpas veiksmo, įskaitant jo tikslus ir rezultatus, aprašymas, proporcingas paramos dydžiui, bei informavimas apie iš ES gaunamą finansinę paramą;</w:t>
                      </w:r>
                      <w:r>
                        <w:rPr>
                          <w:sz w:val="22"/>
                          <w:szCs w:val="22"/>
                        </w:rPr>
                        <w:br/>
                        <w:t>b) visuomenei arba dalyviams skirtuose dokumentuose ir komunikacijos medžiagoje, susijusioje su veiksmo įgyvendinimu, gerai matomai pateiktas pareiškimas, kuriame akcentuojama gaunama ES parama;</w:t>
                      </w:r>
                      <w:r>
                        <w:rPr>
                          <w:sz w:val="22"/>
                          <w:szCs w:val="22"/>
                        </w:rPr>
                        <w:br/>
                        <w:t>c) kai tik pradedami fiziškai vykdyti veiksmai, susiję su fizinėmis investicijomis, arba sumontuojama nupirkta įranga, visuomenei gerai matomoje vietoje iškabinamos ilgalaikės lentelės ar informacinės lentos su ES emblema.</w:t>
                      </w:r>
                    </w:p>
                    <w:p w14:paraId="3E53E3DD" w14:textId="77777777" w:rsidR="005F45C2" w:rsidRDefault="005F45C2">
                      <w:pPr>
                        <w:rPr>
                          <w:sz w:val="22"/>
                          <w:szCs w:val="22"/>
                        </w:rPr>
                      </w:pPr>
                    </w:p>
                  </w:tc>
                  <w:tc>
                    <w:tcPr>
                      <w:tcW w:w="2521" w:type="dxa"/>
                    </w:tcPr>
                    <w:p w14:paraId="33596AA1" w14:textId="52D67B7F" w:rsidR="005F45C2" w:rsidRDefault="003C5AF8">
                      <w:pPr>
                        <w:jc w:val="center"/>
                        <w:rPr>
                          <w:sz w:val="22"/>
                          <w:szCs w:val="22"/>
                        </w:rPr>
                      </w:pPr>
                      <w:r>
                        <w:rPr>
                          <w:sz w:val="22"/>
                          <w:szCs w:val="22"/>
                        </w:rPr>
                        <w:lastRenderedPageBreak/>
                        <w:t>FS-01-03</w:t>
                      </w:r>
                    </w:p>
                  </w:tc>
                  <w:tc>
                    <w:tcPr>
                      <w:tcW w:w="2409" w:type="dxa"/>
                    </w:tcPr>
                    <w:p w14:paraId="085C780F" w14:textId="6605CAAB" w:rsidR="005F45C2" w:rsidRDefault="003C5AF8">
                      <w:pPr>
                        <w:jc w:val="center"/>
                        <w:rPr>
                          <w:sz w:val="22"/>
                          <w:szCs w:val="22"/>
                        </w:rPr>
                      </w:pPr>
                      <w:r>
                        <w:rPr>
                          <w:sz w:val="22"/>
                          <w:szCs w:val="22"/>
                        </w:rPr>
                        <w:t>2</w:t>
                      </w:r>
                    </w:p>
                  </w:tc>
                  <w:tc>
                    <w:tcPr>
                      <w:tcW w:w="3740" w:type="dxa"/>
                    </w:tcPr>
                    <w:p w14:paraId="5E769B8F" w14:textId="5C2D87E0" w:rsidR="005F45C2" w:rsidRDefault="003C5AF8">
                      <w:pPr>
                        <w:rPr>
                          <w:sz w:val="22"/>
                          <w:szCs w:val="22"/>
                        </w:rPr>
                      </w:pPr>
                      <w:r>
                        <w:rPr>
                          <w:sz w:val="22"/>
                          <w:szCs w:val="22"/>
                        </w:rPr>
                        <w:t>Įgyvendintų privalomų matomumo ir informavimo priemonių apie ES fondų investicijų veiklas fiksuotoji suma, antrojo rinkinio FS be PVM</w:t>
                      </w:r>
                    </w:p>
                  </w:tc>
                  <w:tc>
                    <w:tcPr>
                      <w:tcW w:w="2890" w:type="dxa"/>
                    </w:tcPr>
                    <w:p w14:paraId="073A9B10" w14:textId="77777777" w:rsidR="005F45C2" w:rsidRDefault="005F45C2">
                      <w:pPr>
                        <w:rPr>
                          <w:i/>
                          <w:iCs/>
                          <w:sz w:val="22"/>
                          <w:szCs w:val="22"/>
                        </w:rPr>
                      </w:pPr>
                    </w:p>
                  </w:tc>
                </w:tr>
                <w:tr w:rsidR="005F45C2" w14:paraId="30D2DE72" w14:textId="77777777">
                  <w:trPr>
                    <w:trHeight w:val="1082"/>
                  </w:trPr>
                  <w:tc>
                    <w:tcPr>
                      <w:tcW w:w="2889" w:type="dxa"/>
                    </w:tcPr>
                    <w:p w14:paraId="2B2A19A2" w14:textId="77777777" w:rsidR="005F45C2" w:rsidRDefault="003C5AF8">
                      <w:pPr>
                        <w:rPr>
                          <w:sz w:val="22"/>
                          <w:szCs w:val="22"/>
                        </w:rPr>
                      </w:pPr>
                      <w:r>
                        <w:rPr>
                          <w:sz w:val="22"/>
                          <w:szCs w:val="22"/>
                        </w:rPr>
                        <w:t>Fiksuotąją sumą sudaro visų antrojo privalomų matomumo ir informavimo priemonių rinkinio išlaidos, kai:</w:t>
                      </w:r>
                    </w:p>
                    <w:p w14:paraId="09263026" w14:textId="77777777" w:rsidR="005F45C2" w:rsidRDefault="003C5AF8">
                      <w:pPr>
                        <w:rPr>
                          <w:sz w:val="22"/>
                          <w:szCs w:val="22"/>
                        </w:rPr>
                      </w:pPr>
                      <w:r>
                        <w:rPr>
                          <w:sz w:val="22"/>
                          <w:szCs w:val="22"/>
                        </w:rPr>
                        <w:t xml:space="preserve">a) projekto įgyvendinimo pradžioje projekto vykdytojo oficialioje interneto svetainėje, jei tokia yra, ir socialinės žiniasklaidos svetainėse patalpinta informacija – trumpas veiksmo, įskaitant jo tikslus ir </w:t>
                      </w:r>
                      <w:r>
                        <w:rPr>
                          <w:sz w:val="22"/>
                          <w:szCs w:val="22"/>
                        </w:rPr>
                        <w:lastRenderedPageBreak/>
                        <w:t>rezultatus, aprašymas, proporcingas paramos dydžiui, bei informavimas apie iš ES gaunamą finansinę paramą;</w:t>
                      </w:r>
                    </w:p>
                    <w:p w14:paraId="1911E28C" w14:textId="77777777" w:rsidR="005F45C2" w:rsidRDefault="003C5AF8">
                      <w:pPr>
                        <w:rPr>
                          <w:sz w:val="22"/>
                          <w:szCs w:val="22"/>
                        </w:rPr>
                      </w:pPr>
                      <w:r>
                        <w:rPr>
                          <w:sz w:val="22"/>
                          <w:szCs w:val="22"/>
                        </w:rPr>
                        <w:t>b) visuomenei arba dalyviams skirtuose dokumentuose ir komunikacijos medžiagoje, susijusioje su veiksmo įgyvendinimu, gerai matomai pateiktas pareiškimas, kuriame akcentuojama gaunama ES parama;</w:t>
                      </w:r>
                    </w:p>
                    <w:p w14:paraId="32641D6A" w14:textId="77777777" w:rsidR="005F45C2" w:rsidRDefault="003C5AF8">
                      <w:pPr>
                        <w:rPr>
                          <w:sz w:val="22"/>
                          <w:szCs w:val="22"/>
                        </w:rPr>
                      </w:pPr>
                      <w:r>
                        <w:rPr>
                          <w:sz w:val="22"/>
                          <w:szCs w:val="22"/>
                        </w:rPr>
                        <w:t>c) kai tik pradedami fiziškai vykdyti veiksmai, susiję su fizinėmis investicijomis, arba sumontuojama nupirkta įranga, visuomenei gerai matomoje vietoje iškabinamos ilgalaikės lentelės ar informacinės lentos su ES emblema.</w:t>
                      </w:r>
                    </w:p>
                    <w:p w14:paraId="63DA2034" w14:textId="5E2CC5F0" w:rsidR="005F45C2" w:rsidRDefault="005F45C2">
                      <w:pPr>
                        <w:rPr>
                          <w:sz w:val="10"/>
                          <w:szCs w:val="10"/>
                        </w:rPr>
                      </w:pPr>
                    </w:p>
                  </w:tc>
                  <w:tc>
                    <w:tcPr>
                      <w:tcW w:w="2521" w:type="dxa"/>
                    </w:tcPr>
                    <w:p w14:paraId="42125CB5" w14:textId="27665683" w:rsidR="005F45C2" w:rsidRDefault="003C5AF8">
                      <w:pPr>
                        <w:jc w:val="center"/>
                        <w:rPr>
                          <w:sz w:val="22"/>
                          <w:szCs w:val="22"/>
                        </w:rPr>
                      </w:pPr>
                      <w:r>
                        <w:rPr>
                          <w:sz w:val="22"/>
                          <w:szCs w:val="22"/>
                        </w:rPr>
                        <w:lastRenderedPageBreak/>
                        <w:t>FS-01-04</w:t>
                      </w:r>
                    </w:p>
                  </w:tc>
                  <w:tc>
                    <w:tcPr>
                      <w:tcW w:w="2409" w:type="dxa"/>
                    </w:tcPr>
                    <w:p w14:paraId="557B6238" w14:textId="2E668995" w:rsidR="005F45C2" w:rsidRDefault="003C5AF8">
                      <w:pPr>
                        <w:jc w:val="center"/>
                        <w:rPr>
                          <w:sz w:val="22"/>
                          <w:szCs w:val="22"/>
                        </w:rPr>
                      </w:pPr>
                      <w:r>
                        <w:rPr>
                          <w:sz w:val="22"/>
                          <w:szCs w:val="22"/>
                        </w:rPr>
                        <w:t>2</w:t>
                      </w:r>
                    </w:p>
                  </w:tc>
                  <w:tc>
                    <w:tcPr>
                      <w:tcW w:w="3740" w:type="dxa"/>
                    </w:tcPr>
                    <w:p w14:paraId="7973EFB5" w14:textId="17656D16" w:rsidR="005F45C2" w:rsidRDefault="003C5AF8">
                      <w:pPr>
                        <w:rPr>
                          <w:sz w:val="22"/>
                          <w:szCs w:val="22"/>
                        </w:rPr>
                      </w:pPr>
                      <w:r>
                        <w:rPr>
                          <w:sz w:val="22"/>
                          <w:szCs w:val="22"/>
                        </w:rPr>
                        <w:t>Įgyvendintų privalomų matomumo ir informavimo priemonių apie ES fondų investicijų veiklas fiksuotoji suma, antrojo rinkinio FS su PVM</w:t>
                      </w:r>
                    </w:p>
                  </w:tc>
                  <w:tc>
                    <w:tcPr>
                      <w:tcW w:w="2890" w:type="dxa"/>
                    </w:tcPr>
                    <w:p w14:paraId="6FBFEC23" w14:textId="77777777" w:rsidR="005F45C2" w:rsidRDefault="005F45C2">
                      <w:pPr>
                        <w:rPr>
                          <w:i/>
                          <w:iCs/>
                          <w:sz w:val="22"/>
                          <w:szCs w:val="22"/>
                        </w:rPr>
                      </w:pPr>
                    </w:p>
                  </w:tc>
                </w:tr>
                <w:tr w:rsidR="005F45C2" w14:paraId="5EB80FC0" w14:textId="77777777">
                  <w:tc>
                    <w:tcPr>
                      <w:tcW w:w="2889" w:type="dxa"/>
                    </w:tcPr>
                    <w:p w14:paraId="5E08478A" w14:textId="77777777" w:rsidR="005F45C2" w:rsidRDefault="003C5AF8">
                      <w:pPr>
                        <w:rPr>
                          <w:sz w:val="22"/>
                          <w:szCs w:val="22"/>
                        </w:rPr>
                      </w:pPr>
                      <w:r>
                        <w:rPr>
                          <w:sz w:val="22"/>
                          <w:szCs w:val="22"/>
                        </w:rPr>
                        <w:t>Netiesioginės išlaidos</w:t>
                      </w:r>
                    </w:p>
                  </w:tc>
                  <w:tc>
                    <w:tcPr>
                      <w:tcW w:w="2521" w:type="dxa"/>
                    </w:tcPr>
                    <w:p w14:paraId="7EAD65DA" w14:textId="77777777" w:rsidR="005F45C2" w:rsidRDefault="003C5AF8">
                      <w:pPr>
                        <w:jc w:val="center"/>
                        <w:rPr>
                          <w:sz w:val="22"/>
                          <w:szCs w:val="22"/>
                        </w:rPr>
                      </w:pPr>
                      <w:r>
                        <w:rPr>
                          <w:sz w:val="22"/>
                          <w:szCs w:val="22"/>
                        </w:rPr>
                        <w:t>FN-01</w:t>
                      </w:r>
                    </w:p>
                  </w:tc>
                  <w:tc>
                    <w:tcPr>
                      <w:tcW w:w="2409" w:type="dxa"/>
                    </w:tcPr>
                    <w:p w14:paraId="5D294B8A" w14:textId="77777777" w:rsidR="005F45C2" w:rsidRDefault="003C5AF8">
                      <w:pPr>
                        <w:jc w:val="center"/>
                        <w:rPr>
                          <w:sz w:val="22"/>
                          <w:szCs w:val="22"/>
                        </w:rPr>
                      </w:pPr>
                      <w:r>
                        <w:rPr>
                          <w:sz w:val="22"/>
                          <w:szCs w:val="22"/>
                        </w:rPr>
                        <w:t>01</w:t>
                      </w:r>
                    </w:p>
                  </w:tc>
                  <w:tc>
                    <w:tcPr>
                      <w:tcW w:w="3740" w:type="dxa"/>
                    </w:tcPr>
                    <w:p w14:paraId="1443C3FA" w14:textId="550C476E" w:rsidR="005F45C2" w:rsidRDefault="003C5AF8">
                      <w:pPr>
                        <w:rPr>
                          <w:sz w:val="22"/>
                          <w:szCs w:val="22"/>
                        </w:rPr>
                      </w:pPr>
                      <w:r>
                        <w:rPr>
                          <w:sz w:val="22"/>
                          <w:szCs w:val="22"/>
                        </w:rPr>
                        <w:t>7 proc. netiesioginių išlaidų fiksuotoji norma</w:t>
                      </w:r>
                    </w:p>
                  </w:tc>
                  <w:tc>
                    <w:tcPr>
                      <w:tcW w:w="2890" w:type="dxa"/>
                    </w:tcPr>
                    <w:p w14:paraId="06C2154E" w14:textId="574649F2" w:rsidR="005F45C2" w:rsidRDefault="003C5AF8">
                      <w:pPr>
                        <w:rPr>
                          <w:i/>
                          <w:iCs/>
                          <w:sz w:val="22"/>
                          <w:szCs w:val="22"/>
                        </w:rPr>
                      </w:pPr>
                      <w:r>
                        <w:rPr>
                          <w:sz w:val="22"/>
                          <w:szCs w:val="22"/>
                        </w:rPr>
                        <w:t xml:space="preserve">Iš fiksuotosios projekto išlaidų normos dengiamos projekto vykdytojo (ir partnerio) netiesioginės išlaidos.   </w:t>
                      </w:r>
                    </w:p>
                  </w:tc>
                </w:tr>
              </w:tbl>
              <w:p w14:paraId="56411E5A" w14:textId="77777777" w:rsidR="005F45C2" w:rsidRDefault="005F45C2">
                <w:pPr>
                  <w:jc w:val="both"/>
                  <w:rPr>
                    <w:i/>
                    <w:iCs/>
                    <w:sz w:val="22"/>
                    <w:szCs w:val="22"/>
                  </w:rPr>
                </w:pPr>
              </w:p>
            </w:tc>
          </w:tr>
        </w:tbl>
        <w:p w14:paraId="483AC062" w14:textId="77777777" w:rsidR="005F45C2" w:rsidRDefault="005F45C2">
          <w:pPr>
            <w:rPr>
              <w:sz w:val="18"/>
              <w:szCs w:val="18"/>
            </w:rPr>
          </w:pPr>
        </w:p>
        <w:sdt>
          <w:sdtPr>
            <w:alias w:val="pabaiga"/>
            <w:tag w:val="part_59bd8e913e614452b41cadc9c51b3c32"/>
            <w:id w:val="1728637233"/>
            <w:lock w:val="sdtLocked"/>
          </w:sdtPr>
          <w:sdtEndPr/>
          <w:sdtContent>
            <w:p w14:paraId="6E4B80EF" w14:textId="24737233" w:rsidR="005F45C2" w:rsidRDefault="003C5AF8">
              <w:pPr>
                <w:spacing w:line="276" w:lineRule="auto"/>
                <w:jc w:val="center"/>
                <w:rPr>
                  <w:rFonts w:eastAsia="Calibri"/>
                  <w:szCs w:val="24"/>
                </w:rPr>
              </w:pPr>
              <w:r>
                <w:rPr>
                  <w:rFonts w:eastAsia="Calibri"/>
                  <w:szCs w:val="24"/>
                </w:rPr>
                <w:t>________________</w:t>
              </w:r>
            </w:p>
          </w:sdtContent>
        </w:sdt>
      </w:sdtContent>
    </w:sdt>
    <w:sectPr w:rsidR="005F45C2">
      <w:headerReference w:type="even" r:id="rId12"/>
      <w:headerReference w:type="default" r:id="rId13"/>
      <w:footerReference w:type="even" r:id="rId14"/>
      <w:footerReference w:type="default" r:id="rId15"/>
      <w:headerReference w:type="first" r:id="rId16"/>
      <w:footerReference w:type="first" r:id="rId17"/>
      <w:pgSz w:w="16838" w:h="11906" w:orient="landscape"/>
      <w:pgMar w:top="1134"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4E51B1" w14:textId="77777777" w:rsidR="005F45C2" w:rsidRDefault="003C5AF8">
      <w:pPr>
        <w:rPr>
          <w:sz w:val="22"/>
          <w:szCs w:val="22"/>
        </w:rPr>
      </w:pPr>
      <w:r>
        <w:rPr>
          <w:sz w:val="22"/>
          <w:szCs w:val="22"/>
        </w:rPr>
        <w:separator/>
      </w:r>
    </w:p>
  </w:endnote>
  <w:endnote w:type="continuationSeparator" w:id="0">
    <w:p w14:paraId="4A8696CE" w14:textId="77777777" w:rsidR="005F45C2" w:rsidRDefault="003C5AF8">
      <w:pPr>
        <w:rPr>
          <w:sz w:val="22"/>
          <w:szCs w:val="22"/>
        </w:rPr>
      </w:pPr>
      <w:r>
        <w:rPr>
          <w:sz w:val="22"/>
          <w:szCs w:val="22"/>
        </w:rPr>
        <w:continuationSeparator/>
      </w:r>
    </w:p>
  </w:endnote>
  <w:endnote w:type="continuationNotice" w:id="1">
    <w:p w14:paraId="443AC011" w14:textId="77777777" w:rsidR="005F45C2" w:rsidRDefault="005F45C2">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091D14" w14:textId="77777777" w:rsidR="005F45C2" w:rsidRDefault="005F45C2">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612AA2" w14:textId="77777777" w:rsidR="005F45C2" w:rsidRDefault="005F45C2">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FE4942" w14:textId="77777777" w:rsidR="005F45C2" w:rsidRDefault="005F45C2">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273E05" w14:textId="77777777" w:rsidR="005F45C2" w:rsidRDefault="003C5AF8">
      <w:pPr>
        <w:rPr>
          <w:sz w:val="22"/>
          <w:szCs w:val="22"/>
        </w:rPr>
      </w:pPr>
      <w:r>
        <w:rPr>
          <w:sz w:val="22"/>
          <w:szCs w:val="22"/>
        </w:rPr>
        <w:separator/>
      </w:r>
    </w:p>
  </w:footnote>
  <w:footnote w:type="continuationSeparator" w:id="0">
    <w:p w14:paraId="410BAE90" w14:textId="77777777" w:rsidR="005F45C2" w:rsidRDefault="003C5AF8">
      <w:pPr>
        <w:rPr>
          <w:sz w:val="22"/>
          <w:szCs w:val="22"/>
        </w:rPr>
      </w:pPr>
      <w:r>
        <w:rPr>
          <w:sz w:val="22"/>
          <w:szCs w:val="22"/>
        </w:rPr>
        <w:continuationSeparator/>
      </w:r>
    </w:p>
  </w:footnote>
  <w:footnote w:type="continuationNotice" w:id="1">
    <w:p w14:paraId="170E77E5" w14:textId="77777777" w:rsidR="005F45C2" w:rsidRDefault="005F45C2">
      <w:pPr>
        <w:rPr>
          <w:sz w:val="22"/>
          <w:szCs w:val="22"/>
        </w:rPr>
      </w:pPr>
    </w:p>
  </w:footnote>
  <w:footnote w:id="2">
    <w:p w14:paraId="031A4893" w14:textId="26F3460A" w:rsidR="005F45C2" w:rsidRDefault="003C5AF8">
      <w:pPr>
        <w:rPr>
          <w:sz w:val="20"/>
        </w:rPr>
      </w:pPr>
      <w:r>
        <w:rPr>
          <w:sz w:val="20"/>
          <w:vertAlign w:val="superscript"/>
        </w:rPr>
        <w:footnoteRef/>
      </w:r>
      <w:r>
        <w:rPr>
          <w:sz w:val="20"/>
        </w:rPr>
        <w:t xml:space="preserve"> </w:t>
      </w:r>
      <w:r>
        <w:rPr>
          <w:color w:val="0563C1"/>
          <w:sz w:val="20"/>
          <w:u w:val="single"/>
        </w:rPr>
        <w:t>https://e-seimas.lrs.lt/portal/legalAct/lt/TAD/fd3d3843f26111ecbfe9c72e552dd5bd/asr.</w:t>
      </w:r>
    </w:p>
  </w:footnote>
  <w:footnote w:id="3">
    <w:p w14:paraId="14192E2B" w14:textId="77777777" w:rsidR="005F45C2" w:rsidRDefault="003C5AF8">
      <w:pPr>
        <w:rPr>
          <w:sz w:val="20"/>
        </w:rPr>
      </w:pPr>
      <w:r>
        <w:rPr>
          <w:sz w:val="20"/>
          <w:vertAlign w:val="superscript"/>
        </w:rPr>
        <w:footnoteRef/>
      </w:r>
      <w:r>
        <w:rPr>
          <w:sz w:val="20"/>
        </w:rPr>
        <w:t xml:space="preserve"> </w:t>
      </w:r>
      <w:r>
        <w:rPr>
          <w:color w:val="0563C1"/>
          <w:sz w:val="20"/>
          <w:u w:val="single"/>
        </w:rPr>
        <w:t>https://e-seimas.lrs.lt/portal/legalAct/lt/TAD/5e3aa191a8e511eb98ccba226c8a14d7/FzwzIeQNIO?jfwid=1acmlegg4k.</w:t>
      </w:r>
      <w:r>
        <w:rPr>
          <w:sz w:val="20"/>
        </w:rPr>
        <w:t xml:space="preserve"> </w:t>
      </w:r>
    </w:p>
  </w:footnote>
  <w:footnote w:id="4">
    <w:p w14:paraId="5598B1D4" w14:textId="77777777" w:rsidR="005F45C2" w:rsidRDefault="003C5AF8">
      <w:pPr>
        <w:rPr>
          <w:sz w:val="20"/>
        </w:rPr>
      </w:pPr>
      <w:r>
        <w:rPr>
          <w:sz w:val="20"/>
          <w:vertAlign w:val="superscript"/>
        </w:rPr>
        <w:footnoteRef/>
      </w:r>
      <w:r>
        <w:rPr>
          <w:sz w:val="20"/>
        </w:rPr>
        <w:t xml:space="preserve"> 2016 m. balandžio 27 d. Europos Parlamento ir Tarybos reglamentas (ES) 2016/679 dėl fizinių asmenų apsaugos tvarkant asmens duomenis ir dėl laisvo tokių duomenų judėjimo ir kuriuo panaikinama Direktyva 95/46/EB (Bendrasis duomenų apsaugos reglamentas) (OL 2016 L 119, p.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0BEFBE" w14:textId="77777777" w:rsidR="005F45C2" w:rsidRDefault="005F45C2">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72844E" w14:textId="5FC663C7" w:rsidR="005F45C2" w:rsidRDefault="003C5AF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AC168C">
      <w:rPr>
        <w:noProof/>
        <w:szCs w:val="22"/>
      </w:rPr>
      <w:t>9</w:t>
    </w:r>
    <w:r>
      <w:rPr>
        <w:szCs w:val="22"/>
      </w:rPr>
      <w:fldChar w:fldCharType="end"/>
    </w:r>
  </w:p>
  <w:p w14:paraId="124A6F31" w14:textId="77777777" w:rsidR="005F45C2" w:rsidRDefault="005F45C2">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CBABB2" w14:textId="77777777" w:rsidR="005F45C2" w:rsidRDefault="005F45C2">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69"/>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3C5AF8"/>
    <w:rsid w:val="005F45C2"/>
    <w:rsid w:val="00A361B0"/>
    <w:rsid w:val="00AC168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CB85651"/>
  <w15:docId w15:val="{FE0F0574-89F0-4935-B82C-830435055F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5853659">
      <w:bodyDiv w:val="1"/>
      <w:marLeft w:val="0"/>
      <w:marRight w:val="0"/>
      <w:marTop w:val="0"/>
      <w:marBottom w:val="0"/>
      <w:divBdr>
        <w:top w:val="none" w:sz="0" w:space="0" w:color="auto"/>
        <w:left w:val="none" w:sz="0" w:space="0" w:color="auto"/>
        <w:bottom w:val="none" w:sz="0" w:space="0" w:color="auto"/>
        <w:right w:val="none" w:sz="0" w:space="0" w:color="auto"/>
      </w:divBdr>
    </w:div>
    <w:div w:id="127865792">
      <w:bodyDiv w:val="1"/>
      <w:marLeft w:val="0"/>
      <w:marRight w:val="0"/>
      <w:marTop w:val="0"/>
      <w:marBottom w:val="0"/>
      <w:divBdr>
        <w:top w:val="none" w:sz="0" w:space="0" w:color="auto"/>
        <w:left w:val="none" w:sz="0" w:space="0" w:color="auto"/>
        <w:bottom w:val="none" w:sz="0" w:space="0" w:color="auto"/>
        <w:right w:val="none" w:sz="0" w:space="0" w:color="auto"/>
      </w:divBdr>
    </w:div>
    <w:div w:id="174926472">
      <w:bodyDiv w:val="1"/>
      <w:marLeft w:val="0"/>
      <w:marRight w:val="0"/>
      <w:marTop w:val="0"/>
      <w:marBottom w:val="0"/>
      <w:divBdr>
        <w:top w:val="none" w:sz="0" w:space="0" w:color="auto"/>
        <w:left w:val="none" w:sz="0" w:space="0" w:color="auto"/>
        <w:bottom w:val="none" w:sz="0" w:space="0" w:color="auto"/>
        <w:right w:val="none" w:sz="0" w:space="0" w:color="auto"/>
      </w:divBdr>
    </w:div>
    <w:div w:id="649946776">
      <w:bodyDiv w:val="1"/>
      <w:marLeft w:val="0"/>
      <w:marRight w:val="0"/>
      <w:marTop w:val="0"/>
      <w:marBottom w:val="0"/>
      <w:divBdr>
        <w:top w:val="none" w:sz="0" w:space="0" w:color="auto"/>
        <w:left w:val="none" w:sz="0" w:space="0" w:color="auto"/>
        <w:bottom w:val="none" w:sz="0" w:space="0" w:color="auto"/>
        <w:right w:val="none" w:sz="0" w:space="0" w:color="auto"/>
      </w:divBdr>
    </w:div>
    <w:div w:id="751780257">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65162359">
      <w:bodyDiv w:val="1"/>
      <w:marLeft w:val="0"/>
      <w:marRight w:val="0"/>
      <w:marTop w:val="0"/>
      <w:marBottom w:val="0"/>
      <w:divBdr>
        <w:top w:val="none" w:sz="0" w:space="0" w:color="auto"/>
        <w:left w:val="none" w:sz="0" w:space="0" w:color="auto"/>
        <w:bottom w:val="none" w:sz="0" w:space="0" w:color="auto"/>
        <w:right w:val="none" w:sz="0" w:space="0" w:color="auto"/>
      </w:divBdr>
    </w:div>
    <w:div w:id="1017074507">
      <w:bodyDiv w:val="1"/>
      <w:marLeft w:val="0"/>
      <w:marRight w:val="0"/>
      <w:marTop w:val="0"/>
      <w:marBottom w:val="0"/>
      <w:divBdr>
        <w:top w:val="none" w:sz="0" w:space="0" w:color="auto"/>
        <w:left w:val="none" w:sz="0" w:space="0" w:color="auto"/>
        <w:bottom w:val="none" w:sz="0" w:space="0" w:color="auto"/>
        <w:right w:val="none" w:sz="0" w:space="0" w:color="auto"/>
      </w:divBdr>
    </w:div>
    <w:div w:id="1068115709">
      <w:bodyDiv w:val="1"/>
      <w:marLeft w:val="0"/>
      <w:marRight w:val="0"/>
      <w:marTop w:val="0"/>
      <w:marBottom w:val="0"/>
      <w:divBdr>
        <w:top w:val="none" w:sz="0" w:space="0" w:color="auto"/>
        <w:left w:val="none" w:sz="0" w:space="0" w:color="auto"/>
        <w:bottom w:val="none" w:sz="0" w:space="0" w:color="auto"/>
        <w:right w:val="none" w:sz="0" w:space="0" w:color="auto"/>
      </w:divBdr>
    </w:div>
    <w:div w:id="1071580707">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146892352">
      <w:bodyDiv w:val="1"/>
      <w:marLeft w:val="0"/>
      <w:marRight w:val="0"/>
      <w:marTop w:val="0"/>
      <w:marBottom w:val="0"/>
      <w:divBdr>
        <w:top w:val="none" w:sz="0" w:space="0" w:color="auto"/>
        <w:left w:val="none" w:sz="0" w:space="0" w:color="auto"/>
        <w:bottom w:val="none" w:sz="0" w:space="0" w:color="auto"/>
        <w:right w:val="none" w:sz="0" w:space="0" w:color="auto"/>
      </w:divBdr>
    </w:div>
    <w:div w:id="1205218296">
      <w:bodyDiv w:val="1"/>
      <w:marLeft w:val="0"/>
      <w:marRight w:val="0"/>
      <w:marTop w:val="0"/>
      <w:marBottom w:val="0"/>
      <w:divBdr>
        <w:top w:val="none" w:sz="0" w:space="0" w:color="auto"/>
        <w:left w:val="none" w:sz="0" w:space="0" w:color="auto"/>
        <w:bottom w:val="none" w:sz="0" w:space="0" w:color="auto"/>
        <w:right w:val="none" w:sz="0" w:space="0" w:color="auto"/>
      </w:divBdr>
    </w:div>
    <w:div w:id="1463036829">
      <w:bodyDiv w:val="1"/>
      <w:marLeft w:val="0"/>
      <w:marRight w:val="0"/>
      <w:marTop w:val="0"/>
      <w:marBottom w:val="0"/>
      <w:divBdr>
        <w:top w:val="none" w:sz="0" w:space="0" w:color="auto"/>
        <w:left w:val="none" w:sz="0" w:space="0" w:color="auto"/>
        <w:bottom w:val="none" w:sz="0" w:space="0" w:color="auto"/>
        <w:right w:val="none" w:sz="0" w:space="0" w:color="auto"/>
      </w:divBdr>
    </w:div>
    <w:div w:id="152463637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7138419">
      <w:bodyDiv w:val="1"/>
      <w:marLeft w:val="0"/>
      <w:marRight w:val="0"/>
      <w:marTop w:val="0"/>
      <w:marBottom w:val="0"/>
      <w:divBdr>
        <w:top w:val="none" w:sz="0" w:space="0" w:color="auto"/>
        <w:left w:val="none" w:sz="0" w:space="0" w:color="auto"/>
        <w:bottom w:val="none" w:sz="0" w:space="0" w:color="auto"/>
        <w:right w:val="none" w:sz="0" w:space="0" w:color="auto"/>
      </w:divBdr>
    </w:div>
    <w:div w:id="1904563787">
      <w:bodyDiv w:val="1"/>
      <w:marLeft w:val="0"/>
      <w:marRight w:val="0"/>
      <w:marTop w:val="0"/>
      <w:marBottom w:val="0"/>
      <w:divBdr>
        <w:top w:val="none" w:sz="0" w:space="0" w:color="auto"/>
        <w:left w:val="none" w:sz="0" w:space="0" w:color="auto"/>
        <w:bottom w:val="none" w:sz="0" w:space="0" w:color="auto"/>
        <w:right w:val="none" w:sz="0" w:space="0" w:color="auto"/>
      </w:divBdr>
    </w:div>
    <w:div w:id="1913587532">
      <w:bodyDiv w:val="1"/>
      <w:marLeft w:val="0"/>
      <w:marRight w:val="0"/>
      <w:marTop w:val="0"/>
      <w:marBottom w:val="0"/>
      <w:divBdr>
        <w:top w:val="none" w:sz="0" w:space="0" w:color="auto"/>
        <w:left w:val="none" w:sz="0" w:space="0" w:color="auto"/>
        <w:bottom w:val="none" w:sz="0" w:space="0" w:color="auto"/>
        <w:right w:val="none" w:sz="0" w:space="0" w:color="auto"/>
      </w:divBdr>
    </w:div>
    <w:div w:id="1964263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4.xml><?xml version="1.0" encoding="utf-8"?>
<Parts xmlns="http://lrs.lt/TAIS/DocParts">
  <Part Type="priedas" Nr="7" Abbr="7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7" DocPartId="457c9b77f4384bc7bde5ddd85f6f8d12" PartId="e236761195be4e86b46e14cd52c240f5">
    <Part Type="pabaiga" DocPartId="0fd593fdeb92431ea4e7b8838f2562c4" PartId="59bd8e913e614452b41cadc9c51b3c32"/>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F012A8E6-3CB7-4706-A0A4-E87E35C83A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7E5569-D793-4217-B232-E816039AF86D}">
  <ds:schemaRefs>
    <ds:schemaRef ds:uri="f5ebda27-b626-448f-a7d1-d1cf5ad133fa"/>
    <ds:schemaRef ds:uri="http://purl.org/dc/terms/"/>
    <ds:schemaRef ds:uri="http://schemas.microsoft.com/office/2006/documentManagement/types"/>
    <ds:schemaRef ds:uri="a843bbba-5665-4b5f-aacc-cdcb1c804839"/>
    <ds:schemaRef ds:uri="http://schemas.openxmlformats.org/package/2006/metadata/core-properties"/>
    <ds:schemaRef ds:uri="http://purl.org/dc/elements/1.1/"/>
    <ds:schemaRef ds:uri="http://schemas.microsoft.com/office/infopath/2007/PartnerControls"/>
    <ds:schemaRef ds:uri="028236e2-f653-4d19-ab67-4d06a9145e0c"/>
    <ds:schemaRef ds:uri="4b2e9d09-07c5-42d4-ad0a-92e216c40b99"/>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12CE7117-6A2F-4DF0-88AE-4638F6CD5E17}">
  <ds:schemaRefs>
    <ds:schemaRef ds:uri="http://lrs.lt/TAIS/DocParts"/>
  </ds:schemaRefs>
</ds:datastoreItem>
</file>

<file path=customXml/itemProps5.xml><?xml version="1.0" encoding="utf-8"?>
<ds:datastoreItem xmlns:ds="http://schemas.openxmlformats.org/officeDocument/2006/customXml" ds:itemID="{0A4FB3FD-8A21-481F-A753-5C8A88FEC67E}">
  <ds:schemaRefs>
    <ds:schemaRef ds:uri="http://schemas.openxmlformats.org/officeDocument/2006/bibliography"/>
  </ds:schemaRefs>
</ds:datastoreItem>
</file>

<file path=customXml/itemProps6.xml><?xml version="1.0" encoding="utf-8"?>
<ds:datastoreItem xmlns:ds="http://schemas.openxmlformats.org/officeDocument/2006/customXml" ds:itemID="{B15A575E-5214-44F7-8CFA-89D8881D2B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3955</Words>
  <Characters>28815</Characters>
  <Application>Microsoft Office Word</Application>
  <DocSecurity>0</DocSecurity>
  <Lines>240</Lines>
  <Paragraphs>65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f2e8793d-b153-40ec-8b5f-749266fdb316</vt:lpstr>
      <vt:lpstr>f2e8793d-b153-40ec-8b5f-749266fdb316</vt:lpstr>
    </vt:vector>
  </TitlesOfParts>
  <Company>HP Inc.</Company>
  <LinksUpToDate>false</LinksUpToDate>
  <CharactersWithSpaces>32705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f2e8793d-b153-40ec-8b5f-749266fdb316</dc:title>
  <dc:creator>Virginija Levinskienė</dc:creator>
  <cp:lastModifiedBy>DZIKAITĖ Jolanta</cp:lastModifiedBy>
  <cp:revision>2</cp:revision>
  <cp:lastPrinted>2023-10-09T12:32:00Z</cp:lastPrinted>
  <dcterms:created xsi:type="dcterms:W3CDTF">2024-06-04T08:05:00Z</dcterms:created>
  <dcterms:modified xsi:type="dcterms:W3CDTF">2024-06-04T08:05:00Z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GrammarlyDocumentId">
    <vt:lpwstr>54a2b5edb622161b1c523bc21fcc8ecdb07a3a2f0b3b9adcbf10dc0251da180c</vt:lpwstr>
  </property>
  <property fmtid="{D5CDD505-2E9C-101B-9397-08002B2CF9AE}" pid="4" name="DmsPermissionsFlags">
    <vt:lpwstr>,SECTRUE,</vt:lpwstr>
  </property>
  <property fmtid="{D5CDD505-2E9C-101B-9397-08002B2CF9AE}" pid="5" name="DmsPermissionsDivisions">
    <vt:lpwstr>71;#Švietimo projektų skyrius|4d6950ba-bddb-4d59-b4f2-90fff673db9b;#3308;#Procesų valdymo skyrius|1d2453fc-c175-46b4-b9fe-6151c1a059d8;#62;#Finansų skyrius|7d9d544b-d496-4126-a894-fd0e68da2d8e</vt:lpwstr>
  </property>
  <property fmtid="{D5CDD505-2E9C-101B-9397-08002B2CF9AE}" pid="6" name="ContentTypeId">
    <vt:lpwstr>0x010100D76F90AF19434866994CD715ED8FEE4200712820E1B0DE314FBCE77D75ADAD206D</vt:lpwstr>
  </property>
  <property fmtid="{D5CDD505-2E9C-101B-9397-08002B2CF9AE}" pid="7" name="DmsPermissionsUsers">
    <vt:lpwstr>109;#Giedrius Lapėnas;#120;#Ričardas Šokaitis;#63;#Eglė Vizbarė;#1119;#Mantas Bernotas;#166;#Margarita Kairienė</vt:lpwstr>
  </property>
  <property fmtid="{D5CDD505-2E9C-101B-9397-08002B2CF9AE}" pid="8" name="DmsDocPrepDocSendRegReal">
    <vt:bool>false</vt:bool>
  </property>
  <property fmtid="{D5CDD505-2E9C-101B-9397-08002B2CF9AE}" pid="9" name="DmsWaitingForSign">
    <vt:bool>true</vt:bool>
  </property>
</Properties>
</file>