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6 pr."/>
        <w:tag w:val="part_4ce082f6db6e4a9d927917f2b99bb883"/>
        <w:id w:val="-107359384"/>
        <w:lock w:val="sdtLocked"/>
      </w:sdtPr>
      <w:sdtEndPr/>
      <w:sdtContent>
        <w:p w:rsidR="000B526A" w:rsidRDefault="000B526A">
          <w:pPr>
            <w:tabs>
              <w:tab w:val="center" w:pos="4986"/>
              <w:tab w:val="right" w:pos="9972"/>
            </w:tabs>
          </w:pPr>
        </w:p>
        <w:p w:rsidR="000B526A" w:rsidRDefault="000B526A">
          <w:pPr>
            <w:tabs>
              <w:tab w:val="center" w:pos="4986"/>
              <w:tab w:val="right" w:pos="9972"/>
            </w:tabs>
            <w:jc w:val="both"/>
          </w:pPr>
        </w:p>
        <w:p w:rsidR="000B526A" w:rsidRDefault="00A43C09">
          <w:pPr>
            <w:ind w:left="10206"/>
            <w:jc w:val="both"/>
            <w:rPr>
              <w:szCs w:val="24"/>
            </w:rPr>
          </w:pPr>
          <w:r>
            <w:rPr>
              <w:szCs w:val="24"/>
            </w:rPr>
            <w:t xml:space="preserve">2021–2030 m. plėtros programos valdytojos Lietuvos Respublikos švietimo, mokslo ir sporto ministerijos švietimo plėtros programos pažangos priemonės Nr. 12-003-03-04-03 „Sukurti rinkos poreikius atliepiančią profesinio ugdymo sistemą“ aprašo </w:t>
          </w:r>
        </w:p>
        <w:p w:rsidR="000B526A" w:rsidRDefault="00A43C09">
          <w:pPr>
            <w:ind w:left="10206"/>
            <w:jc w:val="both"/>
            <w:rPr>
              <w:szCs w:val="24"/>
            </w:rPr>
          </w:pPr>
          <w:sdt>
            <w:sdtPr>
              <w:alias w:val="Numeris"/>
              <w:tag w:val="nr_4ce082f6db6e4a9d927917f2b99bb883"/>
              <w:id w:val="2139374656"/>
              <w:lock w:val="sdtLocked"/>
            </w:sdtPr>
            <w:sdtEndPr/>
            <w:sdtContent>
              <w:r>
                <w:rPr>
                  <w:szCs w:val="24"/>
                </w:rPr>
                <w:t>6</w:t>
              </w:r>
            </w:sdtContent>
          </w:sdt>
          <w:r>
            <w:rPr>
              <w:szCs w:val="24"/>
            </w:rPr>
            <w:t xml:space="preserve"> priedas</w:t>
          </w:r>
        </w:p>
        <w:p w:rsidR="000B526A" w:rsidRDefault="000B526A">
          <w:pPr>
            <w:ind w:firstLine="9639"/>
            <w:rPr>
              <w:bCs/>
              <w:szCs w:val="24"/>
            </w:rPr>
          </w:pPr>
        </w:p>
        <w:p w:rsidR="000B526A" w:rsidRDefault="000B526A">
          <w:pPr>
            <w:jc w:val="both"/>
            <w:rPr>
              <w:bCs/>
              <w:szCs w:val="24"/>
            </w:rPr>
          </w:pPr>
        </w:p>
        <w:p w:rsidR="000B526A" w:rsidRDefault="000B526A"/>
        <w:sdt>
          <w:sdtPr>
            <w:alias w:val="Pavadinimas"/>
            <w:tag w:val="title_4ce082f6db6e4a9d927917f2b99bb883"/>
            <w:id w:val="-1696452416"/>
            <w:lock w:val="sdtLocked"/>
          </w:sdtPr>
          <w:sdtEndPr/>
          <w:sdtContent>
            <w:p w:rsidR="000B526A" w:rsidRDefault="00A43C09">
              <w:pPr>
                <w:jc w:val="center"/>
                <w:rPr>
                  <w:b/>
                  <w:bCs/>
                </w:rPr>
              </w:pPr>
              <w:r>
                <w:rPr>
                  <w:b/>
                  <w:bCs/>
                </w:rPr>
                <w:t xml:space="preserve">2021–2030 M. PLĖTROS PROGRAMOS VALDYTOJOS LIETUVOS RESPUBLIKOS ŠVIETIMO, MOKSLO IR SPORTO MINISTERIJOS ŠVIETIMO PLĖTROS PROGRAMOS PAŽANGOS PRIEMONĖS </w:t>
              </w:r>
            </w:p>
            <w:p w:rsidR="000B526A" w:rsidRDefault="00A43C09">
              <w:pPr>
                <w:jc w:val="center"/>
                <w:rPr>
                  <w:b/>
                  <w:bCs/>
                </w:rPr>
              </w:pPr>
              <w:r>
                <w:rPr>
                  <w:b/>
                  <w:bCs/>
                </w:rPr>
                <w:t xml:space="preserve">NR. 12-003-03-04-03 „SUKURTI RINKOS POREIKIUS ATLIEPIANČIĄ PROFESINIO UGDYMO SISTEMĄ“ </w:t>
              </w:r>
            </w:p>
            <w:p w:rsidR="000B526A" w:rsidRDefault="00A43C09">
              <w:pPr>
                <w:jc w:val="center"/>
                <w:rPr>
                  <w:b/>
                  <w:bCs/>
                </w:rPr>
              </w:pPr>
              <w:r>
                <w:rPr>
                  <w:b/>
                  <w:bCs/>
                </w:rPr>
                <w:t>PROJEKTŲ FINANSAV</w:t>
              </w:r>
              <w:r>
                <w:rPr>
                  <w:b/>
                  <w:bCs/>
                </w:rPr>
                <w:t>IMO SĄLYGŲ APRAŠAS NR. 6</w:t>
              </w:r>
            </w:p>
          </w:sdtContent>
        </w:sdt>
        <w:p w:rsidR="000B526A" w:rsidRDefault="000B526A">
          <w:pPr>
            <w:spacing w:line="259" w:lineRule="auto"/>
            <w:jc w:val="center"/>
            <w:rPr>
              <w:b/>
              <w:bCs/>
              <w:sz w:val="22"/>
              <w:szCs w:val="22"/>
            </w:rPr>
          </w:pPr>
        </w:p>
        <w:p w:rsidR="000B526A" w:rsidRDefault="000B526A">
          <w:pPr>
            <w:rPr>
              <w:sz w:val="14"/>
              <w:szCs w:val="14"/>
            </w:rPr>
          </w:pPr>
        </w:p>
        <w:tbl>
          <w:tblPr>
            <w:tblW w:w="150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271"/>
            <w:gridCol w:w="1276"/>
            <w:gridCol w:w="1417"/>
            <w:gridCol w:w="1276"/>
            <w:gridCol w:w="1276"/>
            <w:gridCol w:w="1276"/>
            <w:gridCol w:w="1275"/>
            <w:gridCol w:w="993"/>
            <w:gridCol w:w="1417"/>
            <w:gridCol w:w="1276"/>
            <w:gridCol w:w="1134"/>
            <w:gridCol w:w="1110"/>
            <w:gridCol w:w="11"/>
          </w:tblGrid>
          <w:tr w:rsidR="000B526A">
            <w:tc>
              <w:tcPr>
                <w:tcW w:w="15008" w:type="dxa"/>
                <w:gridSpan w:val="13"/>
                <w:vAlign w:val="center"/>
              </w:tcPr>
              <w:p w:rsidR="000B526A" w:rsidRDefault="00A43C09">
                <w:pPr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VEIKLOS AR POVEIKLĖS, KURIOMS NUSTATOMOS PROJEKTŲ FINANSAVIMO SĄLYGOS</w:t>
                </w:r>
              </w:p>
            </w:tc>
          </w:tr>
          <w:tr w:rsidR="000B526A">
            <w:trPr>
              <w:gridAfter w:val="1"/>
              <w:wAfter w:w="11" w:type="dxa"/>
            </w:trPr>
            <w:tc>
              <w:tcPr>
                <w:tcW w:w="1271" w:type="dxa"/>
                <w:vAlign w:val="center"/>
              </w:tcPr>
              <w:p w:rsidR="000B526A" w:rsidRDefault="00A43C09">
                <w:pPr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Veiklos ar poveiklėspavadini-mas</w:t>
                </w:r>
              </w:p>
            </w:tc>
            <w:tc>
              <w:tcPr>
                <w:tcW w:w="1276" w:type="dxa"/>
                <w:vAlign w:val="center"/>
              </w:tcPr>
              <w:p w:rsidR="000B526A" w:rsidRDefault="00A43C09">
                <w:pPr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Finansavimo šaltinis</w:t>
                </w:r>
              </w:p>
            </w:tc>
            <w:tc>
              <w:tcPr>
                <w:tcW w:w="1417" w:type="dxa"/>
                <w:vAlign w:val="center"/>
              </w:tcPr>
              <w:p w:rsidR="000B526A" w:rsidRDefault="00A43C09">
                <w:pPr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Prioritetas ar komponen-tas</w:t>
                </w:r>
              </w:p>
            </w:tc>
            <w:tc>
              <w:tcPr>
                <w:tcW w:w="1276" w:type="dxa"/>
                <w:vAlign w:val="center"/>
              </w:tcPr>
              <w:p w:rsidR="000B526A" w:rsidRDefault="00A43C09">
                <w:pPr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Uždavinys ar priemonė</w:t>
                </w:r>
              </w:p>
            </w:tc>
            <w:tc>
              <w:tcPr>
                <w:tcW w:w="1276" w:type="dxa"/>
                <w:vAlign w:val="center"/>
              </w:tcPr>
              <w:p w:rsidR="000B526A" w:rsidRDefault="00A43C09">
                <w:pPr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Veikla ar poveiklė</w:t>
                </w:r>
              </w:p>
            </w:tc>
            <w:tc>
              <w:tcPr>
                <w:tcW w:w="1276" w:type="dxa"/>
                <w:vAlign w:val="center"/>
              </w:tcPr>
              <w:p w:rsidR="000B526A" w:rsidRDefault="00A43C09">
                <w:pPr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Intervenci-nės priemonės kodas</w:t>
                </w:r>
              </w:p>
            </w:tc>
            <w:tc>
              <w:tcPr>
                <w:tcW w:w="1275" w:type="dxa"/>
                <w:vAlign w:val="center"/>
              </w:tcPr>
              <w:p w:rsidR="000B526A" w:rsidRDefault="00A43C09">
                <w:pPr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Regionas, kuriam priskiria-ma veikla ar poveiklė</w:t>
                </w:r>
              </w:p>
            </w:tc>
            <w:tc>
              <w:tcPr>
                <w:tcW w:w="993" w:type="dxa"/>
                <w:vAlign w:val="center"/>
              </w:tcPr>
              <w:p w:rsidR="000B526A" w:rsidRDefault="00A43C09">
                <w:pPr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Para-mos formos kodas</w:t>
                </w:r>
              </w:p>
            </w:tc>
            <w:tc>
              <w:tcPr>
                <w:tcW w:w="1417" w:type="dxa"/>
                <w:vAlign w:val="center"/>
              </w:tcPr>
              <w:p w:rsidR="000B526A" w:rsidRDefault="00A43C09">
                <w:pPr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Pagrindinės teritorinės srities kodas (-ai)</w:t>
                </w:r>
              </w:p>
            </w:tc>
            <w:tc>
              <w:tcPr>
                <w:tcW w:w="1276" w:type="dxa"/>
                <w:vAlign w:val="center"/>
              </w:tcPr>
              <w:p w:rsidR="000B526A" w:rsidRDefault="00A43C09">
                <w:pPr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Ekonomi-nės veiklos kodas (-ai)</w:t>
                </w:r>
              </w:p>
            </w:tc>
            <w:tc>
              <w:tcPr>
                <w:tcW w:w="1134" w:type="dxa"/>
                <w:vAlign w:val="center"/>
              </w:tcPr>
              <w:p w:rsidR="000B526A" w:rsidRDefault="00A43C09">
                <w:pPr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„Europos socialinio fondo +“ antrinių temų kodai</w:t>
                </w:r>
              </w:p>
            </w:tc>
            <w:tc>
              <w:tcPr>
                <w:tcW w:w="1110" w:type="dxa"/>
                <w:vAlign w:val="center"/>
              </w:tcPr>
              <w:p w:rsidR="000B526A" w:rsidRDefault="00A43C09">
                <w:pPr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Lyčių lygybės matmens kodas</w:t>
                </w:r>
              </w:p>
            </w:tc>
          </w:tr>
          <w:tr w:rsidR="000B526A">
            <w:trPr>
              <w:gridAfter w:val="1"/>
              <w:wAfter w:w="11" w:type="dxa"/>
              <w:trHeight w:val="278"/>
            </w:trPr>
            <w:tc>
              <w:tcPr>
                <w:tcW w:w="1271" w:type="dxa"/>
                <w:tcMar>
                  <w:left w:w="28" w:type="dxa"/>
                  <w:right w:w="28" w:type="dxa"/>
                </w:tcMar>
              </w:tcPr>
              <w:p w:rsidR="000B526A" w:rsidRDefault="000B526A">
                <w:pPr>
                  <w:rPr>
                    <w:bCs/>
                    <w:sz w:val="22"/>
                    <w:szCs w:val="22"/>
                  </w:rPr>
                </w:pPr>
              </w:p>
            </w:tc>
            <w:tc>
              <w:tcPr>
                <w:tcW w:w="1276" w:type="dxa"/>
                <w:tcMar>
                  <w:left w:w="28" w:type="dxa"/>
                  <w:right w:w="28" w:type="dxa"/>
                </w:tcMar>
              </w:tcPr>
              <w:p w:rsidR="000B526A" w:rsidRDefault="000B526A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17" w:type="dxa"/>
                <w:tcMar>
                  <w:left w:w="28" w:type="dxa"/>
                  <w:right w:w="28" w:type="dxa"/>
                </w:tcMar>
              </w:tcPr>
              <w:p w:rsidR="000B526A" w:rsidRDefault="000B526A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276" w:type="dxa"/>
                <w:tcMar>
                  <w:left w:w="28" w:type="dxa"/>
                  <w:right w:w="28" w:type="dxa"/>
                </w:tcMar>
              </w:tcPr>
              <w:p w:rsidR="000B526A" w:rsidRDefault="000B526A">
                <w:pPr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1276" w:type="dxa"/>
                <w:tcMar>
                  <w:left w:w="28" w:type="dxa"/>
                  <w:right w:w="28" w:type="dxa"/>
                </w:tcMar>
              </w:tcPr>
              <w:p w:rsidR="000B526A" w:rsidRDefault="000B526A">
                <w:pPr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1276" w:type="dxa"/>
                <w:tcMar>
                  <w:left w:w="28" w:type="dxa"/>
                  <w:right w:w="28" w:type="dxa"/>
                </w:tcMar>
              </w:tcPr>
              <w:p w:rsidR="000B526A" w:rsidRDefault="000B526A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275" w:type="dxa"/>
                <w:tcMar>
                  <w:left w:w="28" w:type="dxa"/>
                  <w:right w:w="28" w:type="dxa"/>
                </w:tcMar>
              </w:tcPr>
              <w:p w:rsidR="000B526A" w:rsidRDefault="000B526A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993" w:type="dxa"/>
                <w:tcMar>
                  <w:left w:w="28" w:type="dxa"/>
                  <w:right w:w="28" w:type="dxa"/>
                </w:tcMar>
              </w:tcPr>
              <w:p w:rsidR="000B526A" w:rsidRDefault="000B526A">
                <w:pPr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1417" w:type="dxa"/>
                <w:tcMar>
                  <w:left w:w="28" w:type="dxa"/>
                  <w:right w:w="28" w:type="dxa"/>
                </w:tcMar>
              </w:tcPr>
              <w:p w:rsidR="000B526A" w:rsidRDefault="000B526A">
                <w:pPr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1276" w:type="dxa"/>
                <w:tcMar>
                  <w:left w:w="28" w:type="dxa"/>
                  <w:right w:w="28" w:type="dxa"/>
                </w:tcMar>
              </w:tcPr>
              <w:p w:rsidR="000B526A" w:rsidRDefault="000B526A">
                <w:pPr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Mar>
                  <w:left w:w="28" w:type="dxa"/>
                  <w:right w:w="28" w:type="dxa"/>
                </w:tcMar>
              </w:tcPr>
              <w:p w:rsidR="000B526A" w:rsidRDefault="000B526A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10" w:type="dxa"/>
                <w:tcMar>
                  <w:left w:w="28" w:type="dxa"/>
                  <w:right w:w="28" w:type="dxa"/>
                </w:tcMar>
              </w:tcPr>
              <w:p w:rsidR="000B526A" w:rsidRDefault="000B526A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0B526A">
            <w:trPr>
              <w:gridAfter w:val="1"/>
              <w:wAfter w:w="11" w:type="dxa"/>
              <w:trHeight w:val="278"/>
            </w:trPr>
            <w:tc>
              <w:tcPr>
                <w:tcW w:w="1271" w:type="dxa"/>
                <w:tcMar>
                  <w:left w:w="28" w:type="dxa"/>
                  <w:right w:w="28" w:type="dxa"/>
                </w:tcMar>
              </w:tcPr>
              <w:p w:rsidR="000B526A" w:rsidRDefault="00A43C0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8.  Profesinio mokymo, organizuoja-mo pameistrystės mokymo forma, veiklos viešinimo priemonių sukūrimas ir </w:t>
                </w:r>
                <w:r>
                  <w:rPr>
                    <w:sz w:val="22"/>
                    <w:szCs w:val="22"/>
                  </w:rPr>
                  <w:lastRenderedPageBreak/>
                  <w:t>įgyvendini-mas</w:t>
                </w:r>
              </w:p>
              <w:p w:rsidR="000B526A" w:rsidRDefault="000B526A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276" w:type="dxa"/>
                <w:tcMar>
                  <w:left w:w="28" w:type="dxa"/>
                  <w:right w:w="28" w:type="dxa"/>
                </w:tcMar>
              </w:tcPr>
              <w:p w:rsidR="000B526A" w:rsidRDefault="00A43C0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Ekonomikos gaivinimo ir atsparumo didinimo priemonės lėšos (toliau – EGADP)</w:t>
                </w:r>
              </w:p>
            </w:tc>
            <w:tc>
              <w:tcPr>
                <w:tcW w:w="1417" w:type="dxa"/>
                <w:tcMar>
                  <w:left w:w="28" w:type="dxa"/>
                  <w:right w:w="28" w:type="dxa"/>
                </w:tcMar>
              </w:tcPr>
              <w:p w:rsidR="000B526A" w:rsidRDefault="00A43C0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4 komponent-as. </w:t>
                </w:r>
              </w:p>
              <w:p w:rsidR="000B526A" w:rsidRDefault="00A43C0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Kokybiškas ir prieinamas švietimas visą </w:t>
                </w:r>
                <w:r>
                  <w:rPr>
                    <w:sz w:val="22"/>
                    <w:szCs w:val="22"/>
                  </w:rPr>
                  <w:t>gyvenimą kiekvienam gyventojui</w:t>
                </w:r>
              </w:p>
            </w:tc>
            <w:tc>
              <w:tcPr>
                <w:tcW w:w="1276" w:type="dxa"/>
                <w:tcMar>
                  <w:left w:w="28" w:type="dxa"/>
                  <w:right w:w="28" w:type="dxa"/>
                </w:tcMar>
              </w:tcPr>
              <w:p w:rsidR="000B526A" w:rsidRDefault="00A43C09">
                <w:pPr>
                  <w:textAlignment w:val="baseline"/>
                  <w:rPr>
                    <w:rFonts w:ascii="Segoe UI" w:hAnsi="Segoe UI" w:cs="Segoe UI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D.1.4. Kompetenci-jos žaliajai ir  </w:t>
                </w:r>
              </w:p>
              <w:p w:rsidR="000B526A" w:rsidRDefault="00A43C09">
                <w:pPr>
                  <w:textAlignment w:val="baseline"/>
                  <w:rPr>
                    <w:rFonts w:ascii="Segoe UI" w:hAnsi="Segoe UI" w:cs="Segoe UI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skaitmeninei transformaci-jai įgyjamos  </w:t>
                </w:r>
              </w:p>
              <w:p w:rsidR="000B526A" w:rsidRDefault="00A43C09">
                <w:pPr>
                  <w:textAlignment w:val="baseline"/>
                  <w:rPr>
                    <w:rFonts w:ascii="Segoe UI" w:hAnsi="Segoe UI" w:cs="Segoe UI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profesinio  </w:t>
                </w:r>
              </w:p>
              <w:p w:rsidR="000B526A" w:rsidRDefault="00A43C09">
                <w:pPr>
                  <w:textAlignment w:val="baseline"/>
                  <w:rPr>
                    <w:rFonts w:ascii="Segoe UI" w:hAnsi="Segoe UI" w:cs="Segoe UI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mokymo  </w:t>
                </w:r>
              </w:p>
              <w:p w:rsidR="000B526A" w:rsidRDefault="00A43C09">
                <w:pPr>
                  <w:textAlignment w:val="baseline"/>
                  <w:rPr>
                    <w:rFonts w:ascii="Segoe UI" w:hAnsi="Segoe UI" w:cs="Segoe UI"/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sistemoje </w:t>
                </w:r>
              </w:p>
              <w:p w:rsidR="000B526A" w:rsidRDefault="000B526A">
                <w:pPr>
                  <w:textAlignment w:val="baseline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276" w:type="dxa"/>
                <w:tcMar>
                  <w:left w:w="28" w:type="dxa"/>
                  <w:right w:w="28" w:type="dxa"/>
                </w:tcMar>
              </w:tcPr>
              <w:p w:rsidR="000B526A" w:rsidRDefault="00A43C0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D.1.4.3. </w:t>
                </w:r>
              </w:p>
              <w:p w:rsidR="000B526A" w:rsidRDefault="00A43C0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 priemonė.  Pameistrystė ir mokymasis darbo vietoje</w:t>
                </w:r>
              </w:p>
            </w:tc>
            <w:tc>
              <w:tcPr>
                <w:tcW w:w="1276" w:type="dxa"/>
                <w:tcMar>
                  <w:left w:w="28" w:type="dxa"/>
                  <w:right w:w="28" w:type="dxa"/>
                </w:tcMar>
              </w:tcPr>
              <w:p w:rsidR="000B526A" w:rsidRDefault="00A43C09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103. Parama darbo rinkos poreikių tenkinimui ir </w:t>
                </w:r>
                <w:r>
                  <w:rPr>
                    <w:sz w:val="22"/>
                    <w:szCs w:val="22"/>
                  </w:rPr>
                  <w:t>pokyčiams</w:t>
                </w:r>
              </w:p>
              <w:p w:rsidR="000B526A" w:rsidRDefault="000B526A">
                <w:pPr>
                  <w:ind w:firstLine="57"/>
                  <w:rPr>
                    <w:sz w:val="22"/>
                    <w:szCs w:val="22"/>
                    <w:highlight w:val="yellow"/>
                  </w:rPr>
                </w:pPr>
              </w:p>
              <w:p w:rsidR="000B526A" w:rsidRDefault="000B526A">
                <w:pPr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1275" w:type="dxa"/>
                <w:tcMar>
                  <w:left w:w="28" w:type="dxa"/>
                  <w:right w:w="28" w:type="dxa"/>
                </w:tcMar>
              </w:tcPr>
              <w:p w:rsidR="000B526A" w:rsidRDefault="00A43C0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-</w:t>
                </w:r>
              </w:p>
            </w:tc>
            <w:tc>
              <w:tcPr>
                <w:tcW w:w="993" w:type="dxa"/>
                <w:tcMar>
                  <w:left w:w="28" w:type="dxa"/>
                  <w:right w:w="28" w:type="dxa"/>
                </w:tcMar>
              </w:tcPr>
              <w:p w:rsidR="000B526A" w:rsidRDefault="00A43C0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-</w:t>
                </w:r>
              </w:p>
            </w:tc>
            <w:tc>
              <w:tcPr>
                <w:tcW w:w="1417" w:type="dxa"/>
                <w:tcMar>
                  <w:left w:w="28" w:type="dxa"/>
                  <w:right w:w="28" w:type="dxa"/>
                </w:tcMar>
              </w:tcPr>
              <w:p w:rsidR="000B526A" w:rsidRDefault="00A43C09">
                <w:pPr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-</w:t>
                </w:r>
              </w:p>
            </w:tc>
            <w:tc>
              <w:tcPr>
                <w:tcW w:w="1276" w:type="dxa"/>
                <w:tcMar>
                  <w:left w:w="28" w:type="dxa"/>
                  <w:right w:w="28" w:type="dxa"/>
                </w:tcMar>
              </w:tcPr>
              <w:p w:rsidR="000B526A" w:rsidRDefault="00A43C0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-</w:t>
                </w:r>
              </w:p>
            </w:tc>
            <w:tc>
              <w:tcPr>
                <w:tcW w:w="1134" w:type="dxa"/>
                <w:tcMar>
                  <w:left w:w="28" w:type="dxa"/>
                  <w:right w:w="28" w:type="dxa"/>
                </w:tcMar>
              </w:tcPr>
              <w:p w:rsidR="000B526A" w:rsidRDefault="00A43C0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-</w:t>
                </w:r>
              </w:p>
              <w:p w:rsidR="000B526A" w:rsidRDefault="000B526A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110" w:type="dxa"/>
                <w:tcMar>
                  <w:left w:w="28" w:type="dxa"/>
                  <w:right w:w="28" w:type="dxa"/>
                </w:tcMar>
              </w:tcPr>
              <w:p w:rsidR="000B526A" w:rsidRDefault="00A43C09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-</w:t>
                </w:r>
              </w:p>
              <w:p w:rsidR="000B526A" w:rsidRDefault="000B526A">
                <w:pPr>
                  <w:jc w:val="center"/>
                  <w:rPr>
                    <w:sz w:val="22"/>
                    <w:szCs w:val="22"/>
                  </w:rPr>
                </w:pPr>
              </w:p>
              <w:p w:rsidR="000B526A" w:rsidRDefault="000B526A">
                <w:pPr>
                  <w:jc w:val="center"/>
                  <w:rPr>
                    <w:sz w:val="22"/>
                    <w:szCs w:val="22"/>
                  </w:rPr>
                </w:pPr>
              </w:p>
              <w:p w:rsidR="000B526A" w:rsidRDefault="000B526A">
                <w:pPr>
                  <w:jc w:val="center"/>
                  <w:rPr>
                    <w:sz w:val="22"/>
                    <w:szCs w:val="22"/>
                  </w:rPr>
                </w:pPr>
              </w:p>
              <w:p w:rsidR="000B526A" w:rsidRDefault="000B526A">
                <w:pPr>
                  <w:jc w:val="center"/>
                  <w:rPr>
                    <w:sz w:val="22"/>
                    <w:szCs w:val="22"/>
                  </w:rPr>
                </w:pPr>
              </w:p>
              <w:p w:rsidR="000B526A" w:rsidRDefault="000B526A">
                <w:pPr>
                  <w:jc w:val="center"/>
                  <w:rPr>
                    <w:sz w:val="22"/>
                    <w:szCs w:val="22"/>
                  </w:rPr>
                </w:pPr>
              </w:p>
              <w:p w:rsidR="000B526A" w:rsidRDefault="000B526A">
                <w:pPr>
                  <w:jc w:val="center"/>
                  <w:rPr>
                    <w:sz w:val="22"/>
                    <w:szCs w:val="22"/>
                  </w:rPr>
                </w:pPr>
              </w:p>
              <w:p w:rsidR="000B526A" w:rsidRDefault="000B526A">
                <w:pPr>
                  <w:jc w:val="center"/>
                  <w:rPr>
                    <w:sz w:val="22"/>
                    <w:szCs w:val="22"/>
                  </w:rPr>
                </w:pPr>
              </w:p>
              <w:p w:rsidR="000B526A" w:rsidRDefault="000B526A">
                <w:pPr>
                  <w:jc w:val="center"/>
                  <w:rPr>
                    <w:sz w:val="22"/>
                    <w:szCs w:val="22"/>
                  </w:rPr>
                </w:pPr>
              </w:p>
              <w:p w:rsidR="000B526A" w:rsidRDefault="000B526A">
                <w:pPr>
                  <w:jc w:val="center"/>
                  <w:rPr>
                    <w:sz w:val="22"/>
                    <w:szCs w:val="22"/>
                  </w:rPr>
                </w:pPr>
              </w:p>
              <w:p w:rsidR="000B526A" w:rsidRDefault="000B526A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</w:tbl>
        <w:p w:rsidR="000B526A" w:rsidRDefault="000B526A">
          <w:pPr>
            <w:ind w:firstLine="567"/>
            <w:jc w:val="both"/>
            <w:rPr>
              <w:szCs w:val="24"/>
            </w:rPr>
          </w:pPr>
        </w:p>
        <w:tbl>
          <w:tblPr>
            <w:tblW w:w="150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3688"/>
            <w:gridCol w:w="3688"/>
            <w:gridCol w:w="3688"/>
            <w:gridCol w:w="3957"/>
          </w:tblGrid>
          <w:tr w:rsidR="000B526A">
            <w:trPr>
              <w:trHeight w:val="405"/>
            </w:trPr>
            <w:tc>
              <w:tcPr>
                <w:tcW w:w="3688" w:type="dxa"/>
                <w:shd w:val="clear" w:color="auto" w:fill="auto"/>
                <w:vAlign w:val="center"/>
              </w:tcPr>
              <w:p w:rsidR="000B526A" w:rsidRDefault="00A43C0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Rodiklio pavadinimas</w:t>
                </w:r>
              </w:p>
            </w:tc>
            <w:tc>
              <w:tcPr>
                <w:tcW w:w="3688" w:type="dxa"/>
                <w:shd w:val="clear" w:color="auto" w:fill="auto"/>
                <w:vAlign w:val="center"/>
              </w:tcPr>
              <w:p w:rsidR="000B526A" w:rsidRDefault="00A43C0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Rodiklio kodas</w:t>
                </w:r>
              </w:p>
            </w:tc>
            <w:tc>
              <w:tcPr>
                <w:tcW w:w="3688" w:type="dxa"/>
                <w:shd w:val="clear" w:color="auto" w:fill="auto"/>
                <w:vAlign w:val="center"/>
              </w:tcPr>
              <w:p w:rsidR="000B526A" w:rsidRDefault="00A43C0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Matavimo vienetai</w:t>
                </w:r>
              </w:p>
            </w:tc>
            <w:tc>
              <w:tcPr>
                <w:tcW w:w="3957" w:type="dxa"/>
                <w:shd w:val="clear" w:color="auto" w:fill="auto"/>
                <w:vAlign w:val="center"/>
              </w:tcPr>
              <w:p w:rsidR="000B526A" w:rsidRDefault="00A43C0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Siektina reikšmė</w:t>
                </w:r>
              </w:p>
            </w:tc>
          </w:tr>
          <w:tr w:rsidR="000B526A">
            <w:trPr>
              <w:trHeight w:val="725"/>
            </w:trPr>
            <w:tc>
              <w:tcPr>
                <w:tcW w:w="3688" w:type="dxa"/>
              </w:tcPr>
              <w:p w:rsidR="000B526A" w:rsidRDefault="00A43C09"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Profesinio mokymo įstaigų, organizuojančių profesinio mokymo programas pameistrystės forma, dalis</w:t>
                </w:r>
              </w:p>
            </w:tc>
            <w:tc>
              <w:tcPr>
                <w:tcW w:w="3688" w:type="dxa"/>
              </w:tcPr>
              <w:p w:rsidR="000B526A" w:rsidRDefault="00A43C0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R-12-003-03-04-03-02</w:t>
                </w:r>
              </w:p>
              <w:p w:rsidR="000B526A" w:rsidRDefault="000B526A">
                <w:pPr>
                  <w:jc w:val="center"/>
                  <w:rPr>
                    <w:i/>
                    <w:iCs/>
                    <w:szCs w:val="24"/>
                  </w:rPr>
                </w:pPr>
              </w:p>
            </w:tc>
            <w:tc>
              <w:tcPr>
                <w:tcW w:w="3688" w:type="dxa"/>
              </w:tcPr>
              <w:p w:rsidR="000B526A" w:rsidRDefault="00A43C0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Procentai</w:t>
                </w:r>
              </w:p>
            </w:tc>
            <w:tc>
              <w:tcPr>
                <w:tcW w:w="3957" w:type="dxa"/>
              </w:tcPr>
              <w:p w:rsidR="000B526A" w:rsidRDefault="00A43C09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100</w:t>
                </w:r>
              </w:p>
            </w:tc>
          </w:tr>
        </w:tbl>
        <w:p w:rsidR="000B526A" w:rsidRDefault="000B526A">
          <w:pPr>
            <w:jc w:val="both"/>
            <w:rPr>
              <w:iCs/>
              <w:color w:val="0070C0"/>
              <w:sz w:val="8"/>
              <w:szCs w:val="8"/>
            </w:rPr>
          </w:pPr>
        </w:p>
        <w:p w:rsidR="000B526A" w:rsidRDefault="00A43C09">
          <w:pPr>
            <w:jc w:val="both"/>
            <w:rPr>
              <w:iCs/>
              <w:sz w:val="22"/>
              <w:szCs w:val="22"/>
            </w:rPr>
          </w:pPr>
          <w:r>
            <w:rPr>
              <w:iCs/>
              <w:sz w:val="22"/>
              <w:szCs w:val="22"/>
            </w:rPr>
            <w:t>Rodiklių skaičiavimo metodika pateikta 2021–2030 m. plėtros programos valdytojos Lietuvos Respublikos švietimo, mokslo ir sporto ministerijos švietimo plėtros programos pažangos priemonės Nr. 12-003-03-04-03 „Sukurti rinkos poreikius atliepiančią profesini</w:t>
          </w:r>
          <w:r>
            <w:rPr>
              <w:iCs/>
              <w:sz w:val="22"/>
              <w:szCs w:val="22"/>
            </w:rPr>
            <w:t xml:space="preserve">o ugdymo sistemą“ stebėsenos rodiklių aprašymo kortelėse tinklalapyje </w:t>
          </w:r>
          <w:r>
            <w:rPr>
              <w:iCs/>
              <w:sz w:val="22"/>
              <w:szCs w:val="22"/>
              <w:u w:val="single"/>
            </w:rPr>
            <w:t>https://smsm.lrv.lt/svpp-priemones</w:t>
          </w:r>
          <w:r>
            <w:rPr>
              <w:iCs/>
              <w:sz w:val="22"/>
              <w:szCs w:val="22"/>
            </w:rPr>
            <w:t>.</w:t>
          </w:r>
        </w:p>
        <w:p w:rsidR="000B526A" w:rsidRDefault="000B526A">
          <w:pPr>
            <w:jc w:val="both"/>
            <w:rPr>
              <w:i/>
              <w:iCs/>
              <w:szCs w:val="24"/>
            </w:rPr>
          </w:pPr>
        </w:p>
        <w:p w:rsidR="000B526A" w:rsidRDefault="000B526A">
          <w:pPr>
            <w:jc w:val="both"/>
            <w:rPr>
              <w:szCs w:val="24"/>
            </w:rPr>
          </w:pPr>
        </w:p>
        <w:tbl>
          <w:tblPr>
            <w:tblW w:w="150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5021"/>
          </w:tblGrid>
          <w:tr w:rsidR="000B526A">
            <w:tc>
              <w:tcPr>
                <w:tcW w:w="15021" w:type="dxa"/>
              </w:tcPr>
              <w:p w:rsidR="000B526A" w:rsidRDefault="00A43C09">
                <w:pPr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SPECIALIEJI FINANSAVIMO REIKALAVIMAI</w:t>
                </w:r>
              </w:p>
            </w:tc>
          </w:tr>
          <w:tr w:rsidR="000B526A">
            <w:tc>
              <w:tcPr>
                <w:tcW w:w="15021" w:type="dxa"/>
              </w:tcPr>
              <w:p w:rsidR="000B526A" w:rsidRDefault="00A43C09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bCs/>
                    <w:szCs w:val="24"/>
                  </w:rPr>
                  <w:t>1. Taikomi teisės aktai</w:t>
                </w:r>
              </w:p>
            </w:tc>
          </w:tr>
          <w:tr w:rsidR="000B526A">
            <w:tc>
              <w:tcPr>
                <w:tcW w:w="15021" w:type="dxa"/>
              </w:tcPr>
              <w:p w:rsidR="000B526A" w:rsidRDefault="00A43C09">
                <w:pPr>
                  <w:tabs>
                    <w:tab w:val="left" w:pos="22"/>
                    <w:tab w:val="left" w:pos="465"/>
                  </w:tabs>
                  <w:ind w:left="22"/>
                  <w:jc w:val="both"/>
                  <w:rPr>
                    <w:szCs w:val="24"/>
                  </w:rPr>
                </w:pPr>
                <w:r>
                  <w:rPr>
                    <w:iCs/>
                    <w:szCs w:val="24"/>
                  </w:rPr>
                  <w:t>2021–2030 m. plėtros programos valdytojos Lietuvos Respublikos švietimo, mokslo ir sp</w:t>
                </w:r>
                <w:r>
                  <w:rPr>
                    <w:iCs/>
                    <w:szCs w:val="24"/>
                  </w:rPr>
                  <w:t>orto ministerijos švietimo plėtros programos pažangos priemonės Nr. 12-003-03-04-03 „Sukurti rinkos poreikius atliepiančią profesinio ugdymo sistemą“ projektų finansavimo sąlygų aprašas Nr. 6 (toliau – Aprašas Nr. 6) parengtas atsižvelgiant į:</w:t>
                </w:r>
              </w:p>
              <w:p w:rsidR="000B526A" w:rsidRDefault="000B526A">
                <w:pPr>
                  <w:rPr>
                    <w:sz w:val="6"/>
                    <w:szCs w:val="6"/>
                  </w:rPr>
                </w:pPr>
              </w:p>
              <w:p w:rsidR="000B526A" w:rsidRDefault="00A43C09">
                <w:pPr>
                  <w:ind w:left="360" w:hanging="36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1.1.Bendruo</w:t>
                </w:r>
                <w:r>
                  <w:rPr>
                    <w:szCs w:val="24"/>
                  </w:rPr>
                  <w:t>sius teisės aktus:</w:t>
                </w:r>
              </w:p>
              <w:p w:rsidR="000B526A" w:rsidRDefault="00A43C09">
                <w:pPr>
                  <w:ind w:left="22" w:hanging="22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1.1.1. 2021 m. vasario 12 d. Europos Parlamento ir Tarybos reglamentą </w:t>
                </w:r>
                <w:r>
                  <w:rPr>
                    <w:szCs w:val="24"/>
                    <w:u w:val="single"/>
                  </w:rPr>
                  <w:t>(ES) 2021/241</w:t>
                </w:r>
                <w:r>
                  <w:rPr>
                    <w:szCs w:val="24"/>
                    <w:vertAlign w:val="superscript"/>
                  </w:rPr>
                  <w:footnoteReference w:id="2"/>
                </w:r>
                <w:r>
                  <w:rPr>
                    <w:szCs w:val="24"/>
                  </w:rPr>
                  <w:t>, kuriuo nustatoma ekonomikos gaivinimo ir atsparumo didinimo priemonė;</w:t>
                </w:r>
              </w:p>
              <w:p w:rsidR="000B526A" w:rsidRDefault="00A43C09">
                <w:pPr>
                  <w:ind w:left="22" w:hanging="22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1.1.2. 2021 m. liepos 28 d. Tarybos įgyvendinimo sprendimo Nr. CM 4171/21 dėl Lie</w:t>
                </w:r>
                <w:r>
                  <w:rPr>
                    <w:szCs w:val="24"/>
                  </w:rPr>
                  <w:t>tuvos ekonomikos gaivinimo ir atsparumo didinimo plano įvertinimo patvirtinimo priedą</w:t>
                </w:r>
                <w:r>
                  <w:rPr>
                    <w:szCs w:val="24"/>
                    <w:vertAlign w:val="superscript"/>
                  </w:rPr>
                  <w:footnoteReference w:id="3"/>
                </w:r>
                <w:r>
                  <w:rPr>
                    <w:szCs w:val="24"/>
                  </w:rPr>
                  <w:t>;</w:t>
                </w:r>
              </w:p>
              <w:p w:rsidR="000B526A" w:rsidRDefault="00A43C09">
                <w:pPr>
                  <w:ind w:left="22" w:hanging="22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1.1.3. 2021–2027 metų Europos Sąjungos fondų investicijų programos ir Ekonomikos gaivinimo ir atsparumo didinimo plano „Naujos kartos Lietuva“ administravimo taisykles,</w:t>
                </w:r>
                <w:r>
                  <w:rPr>
                    <w:szCs w:val="24"/>
                  </w:rPr>
                  <w:t xml:space="preserve"> patvirtintas Lietuvos Respublikos finansų ministro 2022 m. birželio 22 d. įsakymu Nr. 1K-237 „Dėl 2021–2027 metų Europos Sąjungos fondų investicijų programos ir Ekonomikos gaivinimo ir atsparumo didinimo plano „Naujos kartos Lietuva“ įgyvendinimo“ (toliau</w:t>
                </w:r>
                <w:r>
                  <w:rPr>
                    <w:szCs w:val="24"/>
                  </w:rPr>
                  <w:t xml:space="preserve"> – Taisyklės); </w:t>
                </w:r>
              </w:p>
              <w:p w:rsidR="000B526A" w:rsidRDefault="00A43C09">
                <w:pPr>
                  <w:ind w:left="22" w:hanging="22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1.1.4. Projektų administravimo ir finansavimo taisykles, patvirtintas Lietuvos Respublikos finansų ministro 2022 m. birželio 22 d. įsakymu Nr. 1K-237 „Dėl 2021–2027 metų Europos Sąjungos fondų investicijų programos ir Ekonomikos gaivinimo </w:t>
                </w:r>
                <w:r>
                  <w:rPr>
                    <w:szCs w:val="24"/>
                  </w:rPr>
                  <w:t>ir atsparumo didinimo plano „Naujos kartos Lietuva“ įgyvendinimo“</w:t>
                </w:r>
                <w:r>
                  <w:rPr>
                    <w:szCs w:val="24"/>
                    <w:vertAlign w:val="superscript"/>
                  </w:rPr>
                  <w:footnoteReference w:id="4"/>
                </w:r>
                <w:r>
                  <w:rPr>
                    <w:szCs w:val="24"/>
                  </w:rPr>
                  <w:t xml:space="preserve"> (toliau – Projektų administravimo ir finansavimo taisyklės);</w:t>
                </w:r>
              </w:p>
              <w:p w:rsidR="000B526A" w:rsidRDefault="00A43C09">
                <w:pPr>
                  <w:ind w:left="22" w:hanging="22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lastRenderedPageBreak/>
                  <w:t xml:space="preserve">1.1.5. Strateginio valdymo metodiką, patvirtintą Lietuvos Respublikos Vyriausybės 2021 m. balandžio 28 d. nutarimu Nr. 292 „Dėl </w:t>
                </w:r>
                <w:r>
                  <w:rPr>
                    <w:szCs w:val="24"/>
                  </w:rPr>
                  <w:t>Strateginio valdymo metodikos patvirtinimo“ (toliau – Strateginio valdymo metodika)</w:t>
                </w:r>
                <w:r>
                  <w:rPr>
                    <w:szCs w:val="24"/>
                    <w:vertAlign w:val="superscript"/>
                  </w:rPr>
                  <w:footnoteReference w:id="5"/>
                </w:r>
                <w:r>
                  <w:rPr>
                    <w:szCs w:val="24"/>
                  </w:rPr>
                  <w:t>;</w:t>
                </w:r>
              </w:p>
              <w:p w:rsidR="000B526A" w:rsidRDefault="00A43C09">
                <w:pPr>
                  <w:ind w:left="22" w:hanging="22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1.1.6. 2021–2030 metų nacionalinį pažangos planą, patvirtintą Lietuvos Respublikos Vyriausybės 2020 m. rugsėjo 9 d. nutarimu Nr. 998 „Dėl 2021–2030 metų nacionalinio paža</w:t>
                </w:r>
                <w:r>
                  <w:rPr>
                    <w:szCs w:val="24"/>
                  </w:rPr>
                  <w:t>ngos plano patvirtinimo“;</w:t>
                </w:r>
              </w:p>
              <w:p w:rsidR="000B526A" w:rsidRDefault="00A43C09">
                <w:pPr>
                  <w:ind w:left="22" w:hanging="22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1.1.7. 2021–2030 m. plėtros programos valdytojos Lietuvos Respublikos švietimo, mokslo ir sporto ministerijos švietimo plėtros programą, patvirtintą Lietuvos Respublikos Vyriausybės 2021 m. gruodžio 1 d. nutarimu Nr. 1016 „Dėl </w:t>
                </w:r>
                <w:r>
                  <w:rPr>
                    <w:szCs w:val="24"/>
                    <w:shd w:val="clear" w:color="auto" w:fill="FFFFFF"/>
                  </w:rPr>
                  <w:t>202</w:t>
                </w:r>
                <w:r>
                  <w:rPr>
                    <w:szCs w:val="24"/>
                    <w:shd w:val="clear" w:color="auto" w:fill="FFFFFF"/>
                  </w:rPr>
                  <w:t>1–2030 m. plėtros programos valdytojos Lietuvos Respublikos švietimo, mokslo ir sporto ministerijos</w:t>
                </w:r>
                <w:r>
                  <w:rPr>
                    <w:szCs w:val="24"/>
                  </w:rPr>
                  <w:t xml:space="preserve"> švietimo plėtros programos patvirtinimo“;</w:t>
                </w:r>
              </w:p>
              <w:p w:rsidR="000B526A" w:rsidRDefault="00A43C09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  <w:shd w:val="clear" w:color="auto" w:fill="FFFFFF"/>
                  </w:rPr>
                  <w:t>1.1.8. 2021–2030 m. plėtros programos valdytojos Lietuvos Respublikos švietimo, mokslo ir sporto ministerijos švie</w:t>
                </w:r>
                <w:r>
                  <w:rPr>
                    <w:szCs w:val="24"/>
                    <w:shd w:val="clear" w:color="auto" w:fill="FFFFFF"/>
                  </w:rPr>
                  <w:t>timo plėtros programos pažangos priemonės Nr. 12-003-03-04-03 „Sukurti rinkos poreikius atliepiančią profesinio ugdymo sistemą“ aprašą, patvirtintą Lietuvos Respublikos švietimo, mokslo ir sporto ministro 2022 m. birželio 9 d. įsakymu Nr. V-952 „Dėl 2021–2</w:t>
                </w:r>
                <w:r>
                  <w:rPr>
                    <w:szCs w:val="24"/>
                    <w:shd w:val="clear" w:color="auto" w:fill="FFFFFF"/>
                  </w:rPr>
                  <w:t>030 m. plėtros programos valdytojos Lietuvos Respublikos švietimo, mokslo ir sporto ministerijos švietimo plėtros programos pažangos priemonės Nr. 12-003-03-04-03 „Sukurti rinkos poreikius atliepiančią profesinio ugdymo sistemą“ aprašo patvirtinimo“ (tolia</w:t>
                </w:r>
                <w:r>
                  <w:rPr>
                    <w:szCs w:val="24"/>
                    <w:shd w:val="clear" w:color="auto" w:fill="FFFFFF"/>
                  </w:rPr>
                  <w:t>u - Pažangos priemonės Nr. 12-003-03-04-03 aprašas).</w:t>
                </w:r>
              </w:p>
              <w:p w:rsidR="000B526A" w:rsidRDefault="00A43C09">
                <w:pPr>
                  <w:tabs>
                    <w:tab w:val="left" w:pos="447"/>
                  </w:tabs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1.2.</w:t>
                </w:r>
                <w:r>
                  <w:rPr>
                    <w:szCs w:val="24"/>
                  </w:rPr>
                  <w:tab/>
                  <w:t>Specialiuosius teisės aktus:</w:t>
                </w:r>
              </w:p>
              <w:p w:rsidR="000B526A" w:rsidRDefault="00A43C09">
                <w:pPr>
                  <w:tabs>
                    <w:tab w:val="left" w:pos="447"/>
                  </w:tabs>
                  <w:ind w:left="360" w:hanging="36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1.2.1. </w:t>
                </w:r>
                <w:r>
                  <w:rPr>
                    <w:szCs w:val="24"/>
                    <w:lang w:eastAsia="lt-LT"/>
                  </w:rPr>
                  <w:t>Lietuvos Respublikos švietimo įstatymą;</w:t>
                </w:r>
              </w:p>
              <w:p w:rsidR="000B526A" w:rsidRDefault="00A43C09">
                <w:pPr>
                  <w:tabs>
                    <w:tab w:val="left" w:pos="447"/>
                  </w:tabs>
                  <w:ind w:left="360" w:hanging="360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1.2.2. Lietuvos Respublikos profesinio mokymo įstatymą; </w:t>
                </w:r>
              </w:p>
              <w:p w:rsidR="000B526A" w:rsidRDefault="00A43C09">
                <w:pPr>
                  <w:tabs>
                    <w:tab w:val="left" w:pos="32"/>
                  </w:tabs>
                  <w:ind w:left="32" w:hanging="32"/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1.2.3. Profesinio mokymo organizavimo pameistrystės forma tvarkos</w:t>
                </w:r>
                <w:r>
                  <w:rPr>
                    <w:szCs w:val="24"/>
                  </w:rPr>
                  <w:t xml:space="preserve"> aprašą, patvirtintą Lietuvos Respublikos Vyriausybės 2019 m. spalio 23 d. nutarimu Nr. 1065 „Dėl Profesinio mokymo organizavimo pameistrystės forma tvarkos aprašo patvirtinimo“ (toliau – Profesinio mokymo organizavimo pameistrystės forma tvarkos aprašas).</w:t>
                </w:r>
              </w:p>
              <w:p w:rsidR="000B526A" w:rsidRDefault="00A43C09">
                <w:pPr>
                  <w:ind w:left="22" w:hanging="4"/>
                  <w:jc w:val="both"/>
                  <w:rPr>
                    <w:color w:val="0070C0"/>
                    <w:szCs w:val="24"/>
                  </w:rPr>
                </w:pPr>
                <w:r>
                  <w:t>1.3. Apraše Nr. 6 vartojamos sąvokos suprantamos taip, kaip jos apibrėžtos Strateginio valdymo metodikoje, Taisyklėse, Projektų administravimo ir finansavimo taisyklėse, Lietuvos Respublikos švietimo įstatyme ir kituose anksčiau paminėtuose teisės aktuose</w:t>
                </w:r>
                <w:r>
                  <w:t>.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</w:p>
            </w:tc>
          </w:tr>
          <w:tr w:rsidR="000B526A">
            <w:tc>
              <w:tcPr>
                <w:tcW w:w="15021" w:type="dxa"/>
              </w:tcPr>
              <w:p w:rsidR="000B526A" w:rsidRDefault="00A43C09">
                <w:pPr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lastRenderedPageBreak/>
                  <w:t>2. Reikalavimai projektams</w:t>
                </w:r>
              </w:p>
            </w:tc>
          </w:tr>
          <w:tr w:rsidR="000B526A">
            <w:tc>
              <w:tcPr>
                <w:tcW w:w="15021" w:type="dxa"/>
              </w:tcPr>
              <w:p w:rsidR="000B526A" w:rsidRDefault="00A43C09">
                <w:pPr>
                  <w:jc w:val="both"/>
                </w:pPr>
                <w:r>
                  <w:t>2.1. Pagal Aprašą Nr. 6 įgyvendinama Pažangos priemonės Nr. 12-003-03-04-03 aprašo III skyriaus 8 veikla „Profesinio mokymo, organizuojamo pameistrystės mokymo forma, veiklos viešinimo priemonių sukūrimas ir įgyvendinimas“.</w:t>
                </w:r>
              </w:p>
              <w:p w:rsidR="000B526A" w:rsidRDefault="00A43C09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2.2. Pagal Aprašą Nr. 6 remiamai veiklai numatomas projektų atrankos būdas – valstybės projektų planavimas.</w:t>
                </w:r>
              </w:p>
              <w:p w:rsidR="000B526A" w:rsidRDefault="00A43C09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2.3. Pagal Aprašą Nr. 6 numatoma skelbti 1 kvietimą teikti projekto įgyvendinimo planą (toliau – PĮP).</w:t>
                </w:r>
              </w:p>
              <w:p w:rsidR="000B526A" w:rsidRDefault="00A43C09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2.4. Galimas projekto pareiškėjas – Europos s</w:t>
                </w:r>
                <w:r>
                  <w:rPr>
                    <w:szCs w:val="24"/>
                  </w:rPr>
                  <w:t xml:space="preserve">ocialinio fondo agentūra. Galimas partneris – Kvalifikacijų ir profesinio mokymo plėtros centras. </w:t>
                </w:r>
              </w:p>
              <w:p w:rsidR="000B526A" w:rsidRDefault="00A43C09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2.5. Pagal Aprašą Nr. 6 </w:t>
                </w:r>
                <w:r>
                  <w:rPr>
                    <w:b/>
                    <w:bCs/>
                    <w:szCs w:val="24"/>
                  </w:rPr>
                  <w:t>finansuojama veikla</w:t>
                </w:r>
                <w:r>
                  <w:rPr>
                    <w:szCs w:val="24"/>
                  </w:rPr>
                  <w:t xml:space="preserve"> – Pameistrystės Lietuvoje viešinimo ir populiarinimo priemonių sukūrimas ir įgyvendinimas.</w:t>
                </w:r>
              </w:p>
              <w:p w:rsidR="000B526A" w:rsidRDefault="00A43C09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2.6. Tinkama projekto </w:t>
                </w:r>
                <w:r>
                  <w:rPr>
                    <w:b/>
                    <w:bCs/>
                    <w:szCs w:val="24"/>
                  </w:rPr>
                  <w:t>tikslinė grupė</w:t>
                </w:r>
                <w:r>
                  <w:rPr>
                    <w:szCs w:val="24"/>
                  </w:rPr>
                  <w:t xml:space="preserve"> – </w:t>
                </w:r>
                <w:r>
                  <w:t>mokiniai, mokinių tėvai, mokyklų bendruomenės, darbdaviai, darbdavių atstovai ir darbdavių susivienijimai, visuomenė.</w:t>
                </w:r>
              </w:p>
              <w:p w:rsidR="000B526A" w:rsidRDefault="00A43C09">
                <w:pPr>
                  <w:jc w:val="both"/>
                  <w:rPr>
                    <w:szCs w:val="24"/>
                  </w:rPr>
                </w:pPr>
                <w:r>
                  <w:t>2.7. P</w:t>
                </w:r>
                <w:r>
                  <w:rPr>
                    <w:szCs w:val="24"/>
                  </w:rPr>
                  <w:t xml:space="preserve">rojekto vykdytojas privalo, įgyvendindamas projektą, pasiekti numatytus rezultatus, kurie nurodyti Apraše Nr. 6. </w:t>
                </w:r>
              </w:p>
              <w:p w:rsidR="000B526A" w:rsidRDefault="00A43C09">
                <w:pPr>
                  <w:jc w:val="both"/>
                </w:pPr>
                <w:r>
                  <w:rPr>
                    <w:szCs w:val="24"/>
                  </w:rPr>
                  <w:t>2</w:t>
                </w:r>
                <w:r>
                  <w:rPr>
                    <w:szCs w:val="24"/>
                  </w:rPr>
                  <w:t>.8. Projektų veiklos turi būti vykdomos Lietuvos Respublikoje.</w:t>
                </w:r>
              </w:p>
              <w:p w:rsidR="000B526A" w:rsidRDefault="00A43C09">
                <w:pPr>
                  <w:jc w:val="both"/>
                  <w:rPr>
                    <w:highlight w:val="yellow"/>
                  </w:rPr>
                </w:pPr>
                <w:r>
                  <w:t xml:space="preserve">2.9. Projektų veiklos turi būti baigtos ne vėliau, nei 2026 m. balandžio 30 d.  </w:t>
                </w:r>
              </w:p>
              <w:p w:rsidR="000B526A" w:rsidRDefault="00A43C09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2.10. Projektas turi atitikti bendruosius projektų atrankos kriterijus, nurodytus Projektų administravimo ir fin</w:t>
                </w:r>
                <w:r>
                  <w:rPr>
                    <w:szCs w:val="24"/>
                  </w:rPr>
                  <w:t>ansavimo taisyklių 2 priede.</w:t>
                </w:r>
              </w:p>
              <w:p w:rsidR="000B526A" w:rsidRDefault="00A43C09">
                <w:pPr>
                  <w:jc w:val="both"/>
                </w:pPr>
                <w:r>
                  <w:lastRenderedPageBreak/>
                  <w:t xml:space="preserve">2.11. Privalomi komunikacijos ir informavimo (viešinimo) veiksmai atliekami vadovaujantis Projektų administravimo ir finansavimo taisyklių VIII skyriaus pirmuoju skirsniu „Informavimas apie projektą ir komunikacija“. </w:t>
                </w:r>
              </w:p>
              <w:p w:rsidR="000B526A" w:rsidRDefault="00A43C09">
                <w:pPr>
                  <w:jc w:val="both"/>
                </w:pPr>
                <w:r>
                  <w:rPr>
                    <w:szCs w:val="24"/>
                  </w:rPr>
                  <w:t xml:space="preserve">2.12. </w:t>
                </w:r>
                <w:r>
                  <w:t>Iki</w:t>
                </w:r>
                <w:r>
                  <w:t xml:space="preserve"> PĮP pateikimo VšĮ Centrinei projektų valdymo agentūrai (toliau – CPVA) pareiškėjas turi pateikti Lietuvos Respublikos švietimo, mokslo ir sporto ministerijai (toliau – Ministerija) užpildytą projektinio pasiūlymo formą pagal Aprašo Nr. 6 2 priedą (toliau </w:t>
                </w:r>
                <w:r>
                  <w:t xml:space="preserve">– projektinis pasiūlymas). </w:t>
                </w:r>
              </w:p>
              <w:p w:rsidR="000B526A" w:rsidRDefault="00A43C09">
                <w:pPr>
                  <w:jc w:val="both"/>
                </w:pPr>
                <w:r>
                  <w:t>2.13. Projektinis pasiūlymas turi būti atsiųstas elektroniniu paštu Ministerijos Informacinių sistemų ir asmenų aptarnavimo skyriui ir už veiklą „Profesinio mokymo, organizuojamo pameistrystės mokymo forma, veiklos viešinimo pri</w:t>
                </w:r>
                <w:r>
                  <w:t>emonių sukūrimas ir įgyvendinimas“ atsakingam darbuotojui, kurio kontaktiniai duomenys bus nurodyti Ministerijos rašte pareiškėjui. Už projektinio pasiūlymo pristatymą laiku atsako pareiškėjas. Pareiškėjui praleidus rašte nurodytą pateikimo terminą, sprend</w:t>
                </w:r>
                <w:r>
                  <w:t>imą dėl projektinio pasiūlymo priėmimo, atsižvelgdama į termino praleidimo priežastis, gali priimti Ministerija.</w:t>
                </w:r>
              </w:p>
              <w:p w:rsidR="000B526A" w:rsidRDefault="00A43C09">
                <w:pPr>
                  <w:jc w:val="both"/>
                  <w:rPr>
                    <w:rFonts w:eastAsia="Segoe UI"/>
                  </w:rPr>
                </w:pPr>
                <w:r>
                  <w:t>2.14. Pareiškėjo pateiktą projektinį pasiūlymą įvertina</w:t>
                </w:r>
                <w:r>
                  <w:rPr>
                    <w:rFonts w:eastAsia="Segoe UI"/>
                  </w:rPr>
                  <w:t xml:space="preserve"> </w:t>
                </w:r>
                <w:r>
                  <w:t xml:space="preserve">Ministerijos mokymosi visą gyvenimą </w:t>
                </w:r>
                <w:r>
                  <w:rPr>
                    <w:rFonts w:eastAsia="Segoe UI"/>
                  </w:rPr>
                  <w:t>departamentas</w:t>
                </w:r>
                <w:r>
                  <w:t xml:space="preserve"> ir elektroniniu paštu informuoja pare</w:t>
                </w:r>
                <w:r>
                  <w:t>iškėją apie priimtą sprendimą dėl PĮP teikimo CPVA vertinti.</w:t>
                </w:r>
              </w:p>
              <w:p w:rsidR="000B526A" w:rsidRDefault="00A43C09">
                <w:pPr>
                  <w:jc w:val="both"/>
                </w:pPr>
                <w:r>
                  <w:t xml:space="preserve">2.15. Pareiškėjas, gavęs iš Ministerijos informaciją apie priimtą sprendimą, gali teikti CPVA PĮP kartu pateikdamas </w:t>
                </w:r>
                <w:r>
                  <w:rPr>
                    <w:bCs/>
                  </w:rPr>
                  <w:t xml:space="preserve">gautą informaciją apie priimtą sprendimą ir projektinį pasiūlymą. </w:t>
                </w:r>
              </w:p>
              <w:p w:rsidR="000B526A" w:rsidRDefault="00A43C09">
                <w:pPr>
                  <w:tabs>
                    <w:tab w:val="left" w:pos="22"/>
                    <w:tab w:val="left" w:pos="589"/>
                  </w:tabs>
                  <w:jc w:val="both"/>
                </w:pPr>
                <w:r>
                  <w:t xml:space="preserve">2.16. Kartu su PĮP turi būti pateikta: </w:t>
                </w:r>
              </w:p>
              <w:p w:rsidR="000B526A" w:rsidRDefault="00A43C09">
                <w:pPr>
                  <w:tabs>
                    <w:tab w:val="left" w:pos="825"/>
                  </w:tabs>
                  <w:ind w:firstLine="316"/>
                  <w:jc w:val="both"/>
                </w:pPr>
                <w:r>
                  <w:rPr>
                    <w:rFonts w:ascii="Symbol" w:hAnsi="Symbol"/>
                  </w:rPr>
                  <w:t></w:t>
                </w:r>
                <w:r>
                  <w:rPr>
                    <w:rFonts w:ascii="Symbol" w:hAnsi="Symbol"/>
                  </w:rPr>
                  <w:t></w:t>
                </w:r>
                <w:r>
                  <w:rPr>
                    <w:rFonts w:ascii="Symbol" w:hAnsi="Symbol"/>
                  </w:rPr>
                  <w:t></w:t>
                </w:r>
                <w:r>
                  <w:rPr>
                    <w:rFonts w:ascii="Symbol" w:hAnsi="Symbol"/>
                  </w:rPr>
                  <w:t></w:t>
                </w:r>
                <w:r>
                  <w:rPr>
                    <w:rFonts w:ascii="Symbol" w:hAnsi="Symbol"/>
                  </w:rPr>
                  <w:t></w:t>
                </w:r>
                <w:r>
                  <w:rPr>
                    <w:rFonts w:ascii="Symbol" w:hAnsi="Symbol"/>
                  </w:rPr>
                  <w:t></w:t>
                </w:r>
                <w:r>
                  <w:rPr>
                    <w:rFonts w:ascii="Symbol" w:hAnsi="Symbol"/>
                  </w:rPr>
                  <w:t></w:t>
                </w:r>
                <w:r>
                  <w:rPr>
                    <w:rFonts w:ascii="Symbol" w:hAnsi="Symbol"/>
                  </w:rPr>
                  <w:t></w:t>
                </w:r>
                <w:r>
                  <w:t xml:space="preserve">informacija apie Ministerijos priimtą sprendimą dėl PĮP teikimo CPVA vertinimui; </w:t>
                </w:r>
              </w:p>
              <w:p w:rsidR="000B526A" w:rsidRDefault="00A43C09">
                <w:pPr>
                  <w:tabs>
                    <w:tab w:val="left" w:pos="825"/>
                  </w:tabs>
                  <w:ind w:firstLine="316"/>
                  <w:jc w:val="both"/>
                </w:pPr>
                <w:r>
                  <w:t xml:space="preserve">2.16.2. projektinis pasiūlymas, kuriam pritarė Ministerija; </w:t>
                </w:r>
              </w:p>
              <w:p w:rsidR="000B526A" w:rsidRDefault="00A43C09">
                <w:pPr>
                  <w:tabs>
                    <w:tab w:val="left" w:pos="825"/>
                  </w:tabs>
                  <w:ind w:firstLine="316"/>
                  <w:jc w:val="both"/>
                </w:pPr>
                <w:r>
                  <w:t>2.16.3. partnerio deklaracija pagal Projektų administravimo ir fi</w:t>
                </w:r>
                <w:r>
                  <w:t xml:space="preserve">nansavimo taisyklių 1 priedo 1 priedą (kai projektas įgyvendinamas su partneriais); </w:t>
                </w:r>
              </w:p>
              <w:p w:rsidR="000B526A" w:rsidRDefault="00A43C09">
                <w:pPr>
                  <w:tabs>
                    <w:tab w:val="left" w:pos="825"/>
                  </w:tabs>
                  <w:ind w:firstLine="316"/>
                  <w:jc w:val="both"/>
                  <w:rPr>
                    <w:color w:val="000000"/>
                  </w:rPr>
                </w:pPr>
                <w:r>
                  <w:t>2.16.4. informacija apie projekto biudžeto paskirstymą pagal pareiškėjus ir partnerius pagal Projektų administravimo ir finansavimo taisyklių 1 priedo 2 priedą (jei taikom</w:t>
                </w:r>
                <w:r>
                  <w:t xml:space="preserve">a). </w:t>
                </w:r>
              </w:p>
            </w:tc>
          </w:tr>
          <w:tr w:rsidR="000B526A">
            <w:tc>
              <w:tcPr>
                <w:tcW w:w="15021" w:type="dxa"/>
              </w:tcPr>
              <w:p w:rsidR="000B526A" w:rsidRDefault="00A43C09">
                <w:pPr>
                  <w:jc w:val="both"/>
                  <w:rPr>
                    <w:iCs/>
                    <w:szCs w:val="24"/>
                  </w:rPr>
                </w:pPr>
                <w:r>
                  <w:rPr>
                    <w:b/>
                    <w:szCs w:val="24"/>
                  </w:rPr>
                  <w:lastRenderedPageBreak/>
                  <w:t>2.1. Reikalavimai jungtinio projekto projektams</w:t>
                </w:r>
              </w:p>
            </w:tc>
          </w:tr>
          <w:tr w:rsidR="000B526A">
            <w:trPr>
              <w:trHeight w:val="203"/>
            </w:trPr>
            <w:tc>
              <w:tcPr>
                <w:tcW w:w="15021" w:type="dxa"/>
              </w:tcPr>
              <w:p w:rsidR="000B526A" w:rsidRDefault="00A43C09">
                <w:pPr>
                  <w:jc w:val="both"/>
                  <w:rPr>
                    <w:iCs/>
                    <w:szCs w:val="24"/>
                  </w:rPr>
                </w:pPr>
                <w:r>
                  <w:rPr>
                    <w:iCs/>
                    <w:szCs w:val="24"/>
                  </w:rPr>
                  <w:t>Netaikoma.</w:t>
                </w:r>
              </w:p>
            </w:tc>
          </w:tr>
          <w:tr w:rsidR="000B526A">
            <w:trPr>
              <w:trHeight w:val="285"/>
            </w:trPr>
            <w:tc>
              <w:tcPr>
                <w:tcW w:w="15021" w:type="dxa"/>
              </w:tcPr>
              <w:p w:rsidR="000B526A" w:rsidRDefault="00A43C09">
                <w:pPr>
                  <w:rPr>
                    <w:sz w:val="22"/>
                    <w:szCs w:val="22"/>
                  </w:rPr>
                </w:pPr>
                <w:r>
                  <w:rPr>
                    <w:b/>
                    <w:szCs w:val="24"/>
                  </w:rPr>
                  <w:t>3. Horizontaliųjų principų (toliau – HP) reikalavimai</w:t>
                </w:r>
              </w:p>
            </w:tc>
          </w:tr>
          <w:tr w:rsidR="000B526A">
            <w:tc>
              <w:tcPr>
                <w:tcW w:w="15021" w:type="dxa"/>
              </w:tcPr>
              <w:p w:rsidR="000B526A" w:rsidRDefault="00A43C09">
                <w:pPr>
                  <w:tabs>
                    <w:tab w:val="left" w:pos="459"/>
                  </w:tabs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3.1.</w:t>
                </w:r>
                <w:r>
                  <w:rPr>
                    <w:szCs w:val="24"/>
                  </w:rPr>
                  <w:tab/>
                  <w:t>P</w:t>
                </w:r>
                <w:r>
                  <w:rPr>
                    <w:szCs w:val="24"/>
                    <w:lang w:eastAsia="lt-LT"/>
                  </w:rPr>
                  <w:t xml:space="preserve">rojektuose negali būti numatyti apribojimai, kurie turėtų neigiamą poveikį moterų ir vyrų lygybės ir nediskriminavimo dėl </w:t>
                </w:r>
                <w:r>
                  <w:rPr>
                    <w:szCs w:val="24"/>
                    <w:lang w:eastAsia="lt-LT"/>
                  </w:rPr>
                  <w:t>lyties, rasės, tautybės, kalbos, kilmės, socialinės padėties, tikėjimo, įsitikinimų ar pažiūrų, amžiaus, negalios, lytinės orientacijos, etninės priklausomybės, religijos principams įgyvendinti.</w:t>
                </w:r>
              </w:p>
              <w:p w:rsidR="000B526A" w:rsidRDefault="00A43C09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 xml:space="preserve">3.2. </w:t>
                </w:r>
                <w:r>
                  <w:rPr>
                    <w:szCs w:val="24"/>
                    <w:lang w:eastAsia="lt-LT"/>
                  </w:rPr>
                  <w:t xml:space="preserve">Projektuose neturi būti numatyti veiksmai, kurie turėtų </w:t>
                </w:r>
                <w:r>
                  <w:rPr>
                    <w:szCs w:val="24"/>
                    <w:lang w:eastAsia="lt-LT"/>
                  </w:rPr>
                  <w:t>neigiamą poveikį darnaus vystymosi principui įgyvendinti.</w:t>
                </w:r>
              </w:p>
              <w:p w:rsidR="000B526A" w:rsidRDefault="00A43C09">
                <w:pPr>
                  <w:tabs>
                    <w:tab w:val="left" w:pos="459"/>
                  </w:tabs>
                  <w:jc w:val="both"/>
                </w:pPr>
                <w:r>
                  <w:t>3.3.</w:t>
                </w:r>
                <w:r>
                  <w:tab/>
                  <w:t>Projektai turi atitikti reikšmingos žalos nedarymo principą, t. y. turi būti tvarūs aplinkos atžvilgiu ir vykdomi visapusiškai atsižvelgiant į Europos Sąjungos klimato ir aplinkos apsaugos stan</w:t>
                </w:r>
                <w:r>
                  <w:t xml:space="preserve">dartus ir prioritetus, kaip tai suprantama pagal 2020 m. birželio 18 d. Europos Parlamento ir Tarybos reglamentą </w:t>
                </w:r>
                <w:r>
                  <w:rPr>
                    <w:u w:val="single"/>
                  </w:rPr>
                  <w:t>(ES) Nr. 2020/852</w:t>
                </w:r>
                <w:r>
                  <w:t xml:space="preserve"> dėl sistemos tvariam investavimui palengvinti sukūrimo, kuriuo iš dalies keičiamas Reglamentas </w:t>
                </w:r>
                <w:r>
                  <w:rPr>
                    <w:u w:val="single"/>
                  </w:rPr>
                  <w:t>(ES) 2019/2088</w:t>
                </w:r>
                <w:r>
                  <w:t>. Projektų (įska</w:t>
                </w:r>
                <w:r>
                  <w:t>itant jungtinį projektą) atitikties reikšmingos žalos nedarymo HP vertinimo reikalavimai pateikiami Aprašo Nr. 6 priede „Projekto (įskaitant jungtinį projektą) atitikties reikšmingos žalos nedarymo horizontaliajam principui vertinimo reikalavimų aprašas“.</w:t>
                </w:r>
              </w:p>
            </w:tc>
          </w:tr>
          <w:tr w:rsidR="000B526A">
            <w:tc>
              <w:tcPr>
                <w:tcW w:w="15021" w:type="dxa"/>
              </w:tcPr>
              <w:p w:rsidR="000B526A" w:rsidRDefault="00A43C09">
                <w:pPr>
                  <w:spacing w:line="259" w:lineRule="auto"/>
                  <w:jc w:val="both"/>
                  <w:rPr>
                    <w:b/>
                    <w:bCs/>
                  </w:rPr>
                </w:pPr>
                <w:r>
                  <w:rPr>
                    <w:b/>
                    <w:bCs/>
                  </w:rPr>
                  <w:t>3.1. Europos Sąjungos pagrindinių teisių chartijos (toliau – Chartija) reikalavimai</w:t>
                </w:r>
              </w:p>
            </w:tc>
          </w:tr>
          <w:tr w:rsidR="000B526A">
            <w:tc>
              <w:tcPr>
                <w:tcW w:w="15021" w:type="dxa"/>
              </w:tcPr>
              <w:p w:rsidR="000B526A" w:rsidRDefault="00A43C09">
                <w:pPr>
                  <w:jc w:val="both"/>
                  <w:rPr>
                    <w:iCs/>
                    <w:szCs w:val="24"/>
                  </w:rPr>
                </w:pPr>
                <w:r>
                  <w:rPr>
                    <w:iCs/>
                    <w:szCs w:val="24"/>
                  </w:rPr>
                  <w:t>Projektuose neturi būti numatyti veiksmai, kurie galėtų riboti ar pažeisti Chartijoje numatytas pagrindines teises.</w:t>
                </w:r>
              </w:p>
            </w:tc>
          </w:tr>
          <w:tr w:rsidR="000B526A">
            <w:tc>
              <w:tcPr>
                <w:tcW w:w="15021" w:type="dxa"/>
              </w:tcPr>
              <w:p w:rsidR="000B526A" w:rsidRDefault="00A43C09">
                <w:pPr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4. Apskritis, kurioje gali būti įgyvendinami </w:t>
                </w:r>
                <w:r>
                  <w:rPr>
                    <w:b/>
                    <w:szCs w:val="24"/>
                  </w:rPr>
                  <w:t>projektai</w:t>
                </w:r>
              </w:p>
            </w:tc>
          </w:tr>
          <w:tr w:rsidR="000B526A">
            <w:tc>
              <w:tcPr>
                <w:tcW w:w="15021" w:type="dxa"/>
              </w:tcPr>
              <w:p w:rsidR="000B526A" w:rsidRDefault="00A43C09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Netaikoma.</w:t>
                </w:r>
              </w:p>
            </w:tc>
          </w:tr>
          <w:tr w:rsidR="000B526A">
            <w:tc>
              <w:tcPr>
                <w:tcW w:w="15021" w:type="dxa"/>
              </w:tcPr>
              <w:p w:rsidR="000B526A" w:rsidRDefault="00A43C09"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5. Reikalavimai valstybės pagalbai </w:t>
                </w:r>
              </w:p>
            </w:tc>
          </w:tr>
          <w:tr w:rsidR="000B526A">
            <w:tc>
              <w:tcPr>
                <w:tcW w:w="15021" w:type="dxa"/>
              </w:tcPr>
              <w:p w:rsidR="000B526A" w:rsidRDefault="00A43C09">
                <w:pPr>
                  <w:jc w:val="both"/>
                  <w:rPr>
                    <w:i/>
                    <w:iCs/>
                  </w:rPr>
                </w:pPr>
                <w:r>
                  <w:t xml:space="preserve">Pagal Aprašą Nr. 6 valstybės pagalba, kaip ji apibrėžta Sutarties dėl Europos Sąjungos veikimo 107 straipsnyje, ir </w:t>
                </w:r>
                <w:r>
                  <w:rPr>
                    <w:i/>
                  </w:rPr>
                  <w:t>de minimis</w:t>
                </w:r>
                <w:r>
                  <w:t xml:space="preserve"> pagalba, kuri atitinka 2013 m. gruodžio 18 d. Komisijos reglamento </w:t>
                </w:r>
                <w:r>
                  <w:rPr>
                    <w:u w:val="single"/>
                  </w:rPr>
                  <w:t>(ES</w:t>
                </w:r>
                <w:r>
                  <w:rPr>
                    <w:u w:val="single"/>
                  </w:rPr>
                  <w:t>) Nr. 1407/2013</w:t>
                </w:r>
                <w:r>
                  <w:t xml:space="preserve"> dėl Sutarties dėl Europos Sąjungos veikimo 107 ir 108 straipsnių taikymo </w:t>
                </w:r>
                <w:r>
                  <w:rPr>
                    <w:i/>
                  </w:rPr>
                  <w:t>de</w:t>
                </w:r>
                <w:r>
                  <w:t xml:space="preserve"> </w:t>
                </w:r>
                <w:r>
                  <w:rPr>
                    <w:i/>
                  </w:rPr>
                  <w:t>minimis</w:t>
                </w:r>
                <w:r>
                  <w:t xml:space="preserve"> pagalbai nuostatas, neteikiama.</w:t>
                </w:r>
              </w:p>
            </w:tc>
          </w:tr>
          <w:tr w:rsidR="000B526A">
            <w:tc>
              <w:tcPr>
                <w:tcW w:w="15021" w:type="dxa"/>
              </w:tcPr>
              <w:p w:rsidR="000B526A" w:rsidRDefault="00A43C09">
                <w:pPr>
                  <w:ind w:left="426" w:hanging="426"/>
                  <w:jc w:val="both"/>
                  <w:rPr>
                    <w:i/>
                    <w:szCs w:val="24"/>
                  </w:rPr>
                </w:pPr>
                <w:r>
                  <w:rPr>
                    <w:b/>
                    <w:szCs w:val="24"/>
                  </w:rPr>
                  <w:t>6. Projektų atrankos kriterijai</w:t>
                </w:r>
              </w:p>
            </w:tc>
          </w:tr>
          <w:tr w:rsidR="000B526A">
            <w:trPr>
              <w:trHeight w:val="281"/>
            </w:trPr>
            <w:tc>
              <w:tcPr>
                <w:tcW w:w="15021" w:type="dxa"/>
              </w:tcPr>
              <w:p w:rsidR="000B526A" w:rsidRDefault="00A43C09">
                <w:pPr>
                  <w:jc w:val="both"/>
                  <w:rPr>
                    <w:iCs/>
                    <w:szCs w:val="24"/>
                  </w:rPr>
                </w:pPr>
                <w:r>
                  <w:rPr>
                    <w:iCs/>
                    <w:szCs w:val="24"/>
                  </w:rPr>
                  <w:t>Projekto prioritetiniai ir specialieji atrankos kriterijai nėra nustatomi.</w:t>
                </w:r>
              </w:p>
            </w:tc>
          </w:tr>
          <w:tr w:rsidR="000B526A">
            <w:trPr>
              <w:trHeight w:val="309"/>
            </w:trPr>
            <w:tc>
              <w:tcPr>
                <w:tcW w:w="15021" w:type="dxa"/>
              </w:tcPr>
              <w:p w:rsidR="000B526A" w:rsidRDefault="00A43C09">
                <w:pPr>
                  <w:jc w:val="both"/>
                  <w:rPr>
                    <w:i/>
                    <w:sz w:val="22"/>
                    <w:szCs w:val="22"/>
                  </w:rPr>
                </w:pPr>
                <w:r>
                  <w:rPr>
                    <w:b/>
                    <w:szCs w:val="22"/>
                  </w:rPr>
                  <w:t xml:space="preserve">6.1. Jungtinio projekto projektų atrankos kriterijai </w:t>
                </w:r>
                <w:r>
                  <w:rPr>
                    <w:szCs w:val="22"/>
                  </w:rPr>
                  <w:t>(</w:t>
                </w:r>
                <w:r>
                  <w:rPr>
                    <w:i/>
                    <w:szCs w:val="22"/>
                  </w:rPr>
                  <w:t>pildoma tik jungtiniam projektui)</w:t>
                </w:r>
              </w:p>
            </w:tc>
          </w:tr>
          <w:tr w:rsidR="000B526A">
            <w:trPr>
              <w:trHeight w:val="236"/>
            </w:trPr>
            <w:tc>
              <w:tcPr>
                <w:tcW w:w="15021" w:type="dxa"/>
              </w:tcPr>
              <w:p w:rsidR="000B526A" w:rsidRDefault="00A43C09">
                <w:pPr>
                  <w:jc w:val="both"/>
                  <w:rPr>
                    <w:iCs/>
                    <w:szCs w:val="24"/>
                  </w:rPr>
                </w:pPr>
                <w:r>
                  <w:rPr>
                    <w:iCs/>
                    <w:szCs w:val="24"/>
                  </w:rPr>
                  <w:t>Netaikoma.</w:t>
                </w:r>
              </w:p>
            </w:tc>
          </w:tr>
          <w:tr w:rsidR="000B526A">
            <w:tc>
              <w:tcPr>
                <w:tcW w:w="15021" w:type="dxa"/>
              </w:tcPr>
              <w:p w:rsidR="000B526A" w:rsidRDefault="00A43C09">
                <w:pPr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7. Reikalavimai įgyvendinus projektų veiklas </w:t>
                </w:r>
              </w:p>
            </w:tc>
          </w:tr>
          <w:tr w:rsidR="000B526A">
            <w:tc>
              <w:tcPr>
                <w:tcW w:w="15021" w:type="dxa"/>
              </w:tcPr>
              <w:p w:rsidR="000B526A" w:rsidRDefault="00A43C09">
                <w:pPr>
                  <w:rPr>
                    <w:iCs/>
                    <w:szCs w:val="24"/>
                  </w:rPr>
                </w:pPr>
                <w:r>
                  <w:rPr>
                    <w:iCs/>
                    <w:szCs w:val="24"/>
                  </w:rPr>
                  <w:t>Papildomi reikalavimai įgyvendinus projekto veiklas, kurie nenumatyti Projektų administravimo ir finansavimo</w:t>
                </w:r>
                <w:r>
                  <w:rPr>
                    <w:iCs/>
                    <w:szCs w:val="24"/>
                  </w:rPr>
                  <w:t xml:space="preserve"> taisyklėse, nėra taikomi.</w:t>
                </w:r>
              </w:p>
            </w:tc>
          </w:tr>
          <w:tr w:rsidR="000B526A">
            <w:tc>
              <w:tcPr>
                <w:tcW w:w="15021" w:type="dxa"/>
              </w:tcPr>
              <w:p w:rsidR="000B526A" w:rsidRDefault="00A43C09">
                <w:pPr>
                  <w:rPr>
                    <w:szCs w:val="24"/>
                  </w:rPr>
                </w:pPr>
                <w:r>
                  <w:rPr>
                    <w:b/>
                    <w:szCs w:val="24"/>
                  </w:rPr>
                  <w:t>8. Kiti reikalavimai</w:t>
                </w:r>
              </w:p>
            </w:tc>
          </w:tr>
          <w:tr w:rsidR="000B526A">
            <w:tc>
              <w:tcPr>
                <w:tcW w:w="15021" w:type="dxa"/>
              </w:tcPr>
              <w:p w:rsidR="000B526A" w:rsidRDefault="00A43C09">
                <w:pPr>
                  <w:tabs>
                    <w:tab w:val="left" w:pos="1134"/>
                  </w:tabs>
                  <w:jc w:val="both"/>
                </w:pPr>
                <w:r>
                  <w:t xml:space="preserve">Kiti reikalavimai, kurie nenumatyti Projektų administravimo ir finansavimo taisyklėse, nėra taikomi.  </w:t>
                </w:r>
              </w:p>
            </w:tc>
          </w:tr>
          <w:tr w:rsidR="000B526A">
            <w:tc>
              <w:tcPr>
                <w:tcW w:w="15021" w:type="dxa"/>
              </w:tcPr>
              <w:p w:rsidR="000B526A" w:rsidRDefault="00A43C09">
                <w:pPr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IŠLAIDŲ TINKAMUMO FINANSUOTI REIKALAVIMAI</w:t>
                </w:r>
              </w:p>
            </w:tc>
          </w:tr>
          <w:tr w:rsidR="000B526A">
            <w:tc>
              <w:tcPr>
                <w:tcW w:w="15021" w:type="dxa"/>
              </w:tcPr>
              <w:p w:rsidR="000B526A" w:rsidRDefault="00A43C09">
                <w:pPr>
                  <w:jc w:val="both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9. Išlaidų tinkamumo finansuoti reikalavimai</w:t>
                </w:r>
              </w:p>
            </w:tc>
          </w:tr>
          <w:tr w:rsidR="000B526A">
            <w:tc>
              <w:tcPr>
                <w:tcW w:w="15021" w:type="dxa"/>
              </w:tcPr>
              <w:p w:rsidR="000B526A" w:rsidRDefault="00A43C09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9.1. Projektų</w:t>
                </w:r>
                <w:r>
                  <w:rPr>
                    <w:bCs/>
                    <w:szCs w:val="24"/>
                  </w:rPr>
                  <w:t xml:space="preserve"> išlaidos turi atitikti Projektų administravimo ir finansavimo taisyklių VII skyriuje „Projektų išlaidų reikalavimai“ išdėstytus projektų išlaidoms taikomus reikalavimus.</w:t>
                </w:r>
              </w:p>
              <w:p w:rsidR="000B526A" w:rsidRDefault="00A43C09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9.2. Pagal Aprašą Nr. 6 tinkamų finansuoti išlaidų rūšys yra šios:</w:t>
                </w:r>
              </w:p>
              <w:p w:rsidR="000B526A" w:rsidRDefault="000B526A">
                <w:pPr>
                  <w:jc w:val="both"/>
                  <w:rPr>
                    <w:bCs/>
                    <w:sz w:val="10"/>
                    <w:szCs w:val="10"/>
                  </w:rPr>
                </w:pPr>
              </w:p>
              <w:tbl>
                <w:tblPr>
                  <w:tblW w:w="0" w:type="auto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ayout w:type="fixed"/>
                  <w:tblLook w:val="04A0" w:firstRow="1" w:lastRow="0" w:firstColumn="1" w:lastColumn="0" w:noHBand="0" w:noVBand="1"/>
                </w:tblPr>
                <w:tblGrid>
                  <w:gridCol w:w="584"/>
                  <w:gridCol w:w="3969"/>
                  <w:gridCol w:w="10206"/>
                </w:tblGrid>
                <w:tr w:rsidR="000B526A">
                  <w:tc>
                    <w:tcPr>
                      <w:tcW w:w="584" w:type="dxa"/>
                    </w:tcPr>
                    <w:p w:rsidR="000B526A" w:rsidRDefault="00A43C09">
                      <w:pPr>
                        <w:jc w:val="center"/>
                        <w:rPr>
                          <w:b/>
                          <w:szCs w:val="24"/>
                        </w:rPr>
                      </w:pPr>
                      <w:r>
                        <w:rPr>
                          <w:b/>
                          <w:szCs w:val="24"/>
                        </w:rPr>
                        <w:t>Eil. Nr.</w:t>
                      </w:r>
                    </w:p>
                  </w:tc>
                  <w:tc>
                    <w:tcPr>
                      <w:tcW w:w="3969" w:type="dxa"/>
                    </w:tcPr>
                    <w:p w:rsidR="000B526A" w:rsidRDefault="00A43C09">
                      <w:pPr>
                        <w:jc w:val="center"/>
                        <w:rPr>
                          <w:b/>
                          <w:szCs w:val="24"/>
                        </w:rPr>
                      </w:pPr>
                      <w:r>
                        <w:rPr>
                          <w:b/>
                          <w:szCs w:val="24"/>
                        </w:rPr>
                        <w:t xml:space="preserve">Išlaidų </w:t>
                      </w:r>
                      <w:r>
                        <w:rPr>
                          <w:b/>
                          <w:szCs w:val="24"/>
                        </w:rPr>
                        <w:t>rūšis</w:t>
                      </w:r>
                    </w:p>
                  </w:tc>
                  <w:tc>
                    <w:tcPr>
                      <w:tcW w:w="10206" w:type="dxa"/>
                    </w:tcPr>
                    <w:p w:rsidR="000B526A" w:rsidRDefault="00A43C09">
                      <w:pPr>
                        <w:jc w:val="center"/>
                        <w:rPr>
                          <w:b/>
                          <w:szCs w:val="24"/>
                        </w:rPr>
                      </w:pPr>
                      <w:r>
                        <w:rPr>
                          <w:b/>
                          <w:szCs w:val="24"/>
                        </w:rPr>
                        <w:t>Reikalavimai ir paaiškinimai</w:t>
                      </w:r>
                    </w:p>
                  </w:tc>
                </w:tr>
                <w:tr w:rsidR="000B526A">
                  <w:tc>
                    <w:tcPr>
                      <w:tcW w:w="584" w:type="dxa"/>
                    </w:tcPr>
                    <w:p w:rsidR="000B526A" w:rsidRDefault="00A43C09">
                      <w:pPr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1.</w:t>
                      </w:r>
                    </w:p>
                  </w:tc>
                  <w:tc>
                    <w:tcPr>
                      <w:tcW w:w="3969" w:type="dxa"/>
                    </w:tcPr>
                    <w:p w:rsidR="000B526A" w:rsidRDefault="00A43C09">
                      <w:pPr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Žemė</w:t>
                      </w:r>
                    </w:p>
                  </w:tc>
                  <w:tc>
                    <w:tcPr>
                      <w:tcW w:w="10206" w:type="dxa"/>
                    </w:tcPr>
                    <w:p w:rsidR="000B526A" w:rsidRDefault="00A43C09">
                      <w:pPr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Netinkama finansuoti.</w:t>
                      </w:r>
                    </w:p>
                  </w:tc>
                </w:tr>
                <w:tr w:rsidR="000B526A">
                  <w:tc>
                    <w:tcPr>
                      <w:tcW w:w="584" w:type="dxa"/>
                    </w:tcPr>
                    <w:p w:rsidR="000B526A" w:rsidRDefault="00A43C09">
                      <w:pPr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2.</w:t>
                      </w:r>
                    </w:p>
                  </w:tc>
                  <w:tc>
                    <w:tcPr>
                      <w:tcW w:w="3969" w:type="dxa"/>
                    </w:tcPr>
                    <w:p w:rsidR="000B526A" w:rsidRDefault="00A43C09">
                      <w:pPr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Nekilnojamasis turtas</w:t>
                      </w:r>
                    </w:p>
                  </w:tc>
                  <w:tc>
                    <w:tcPr>
                      <w:tcW w:w="10206" w:type="dxa"/>
                    </w:tcPr>
                    <w:p w:rsidR="000B526A" w:rsidRDefault="00A43C09">
                      <w:pPr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Netinkama finansuoti.</w:t>
                      </w:r>
                    </w:p>
                  </w:tc>
                </w:tr>
                <w:tr w:rsidR="000B526A">
                  <w:tc>
                    <w:tcPr>
                      <w:tcW w:w="584" w:type="dxa"/>
                    </w:tcPr>
                    <w:p w:rsidR="000B526A" w:rsidRDefault="00A43C09">
                      <w:pPr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3.</w:t>
                      </w:r>
                    </w:p>
                  </w:tc>
                  <w:tc>
                    <w:tcPr>
                      <w:tcW w:w="3969" w:type="dxa"/>
                    </w:tcPr>
                    <w:p w:rsidR="000B526A" w:rsidRDefault="00A43C09">
                      <w:pPr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Statyba, rekonstravimas, remontas ir kiti darbai</w:t>
                      </w:r>
                    </w:p>
                  </w:tc>
                  <w:tc>
                    <w:tcPr>
                      <w:tcW w:w="10206" w:type="dxa"/>
                    </w:tcPr>
                    <w:p w:rsidR="000B526A" w:rsidRDefault="00A43C09">
                      <w:pPr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Netinkama finansuoti.</w:t>
                      </w:r>
                    </w:p>
                  </w:tc>
                </w:tr>
                <w:tr w:rsidR="000B526A">
                  <w:tc>
                    <w:tcPr>
                      <w:tcW w:w="584" w:type="dxa"/>
                    </w:tcPr>
                    <w:p w:rsidR="000B526A" w:rsidRDefault="00A43C09">
                      <w:pPr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4.</w:t>
                      </w:r>
                    </w:p>
                  </w:tc>
                  <w:tc>
                    <w:tcPr>
                      <w:tcW w:w="3969" w:type="dxa"/>
                    </w:tcPr>
                    <w:p w:rsidR="000B526A" w:rsidRDefault="00A43C09">
                      <w:pPr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Įranga, įrenginiai ir kitas turtas</w:t>
                      </w:r>
                    </w:p>
                  </w:tc>
                  <w:tc>
                    <w:tcPr>
                      <w:tcW w:w="10206" w:type="dxa"/>
                    </w:tcPr>
                    <w:p w:rsidR="000B526A" w:rsidRDefault="00A43C09">
                      <w:pPr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Tinkamos finansuoti išlaidos (ne daugiau, kaip 1 proc. nuo projekto vertės) pagal Aprašą Nr. 6 remiamai veiklai vykdyti. Kompiuterinės, programinės įrangos, mobiliųjų telefonų ir kt.  pan. išlaidos.</w:t>
                      </w:r>
                    </w:p>
                  </w:tc>
                </w:tr>
                <w:tr w:rsidR="000B526A">
                  <w:tc>
                    <w:tcPr>
                      <w:tcW w:w="584" w:type="dxa"/>
                    </w:tcPr>
                    <w:p w:rsidR="000B526A" w:rsidRDefault="00A43C09">
                      <w:pPr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5.</w:t>
                      </w:r>
                    </w:p>
                  </w:tc>
                  <w:tc>
                    <w:tcPr>
                      <w:tcW w:w="3969" w:type="dxa"/>
                    </w:tcPr>
                    <w:p w:rsidR="000B526A" w:rsidRDefault="00A43C09">
                      <w:pPr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 xml:space="preserve">Projekto vykdymas </w:t>
                      </w:r>
                    </w:p>
                  </w:tc>
                  <w:tc>
                    <w:tcPr>
                      <w:tcW w:w="10206" w:type="dxa"/>
                    </w:tcPr>
                    <w:p w:rsidR="000B526A" w:rsidRDefault="00A43C09">
                      <w:pPr>
                        <w:jc w:val="both"/>
                        <w:rPr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Tinkamos finansuoti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bCs/>
                          <w:szCs w:val="24"/>
                        </w:rPr>
                        <w:t xml:space="preserve">išlaidos, </w:t>
                      </w:r>
                      <w:r>
                        <w:rPr>
                          <w:bCs/>
                          <w:szCs w:val="24"/>
                        </w:rPr>
                        <w:t>skirtos</w:t>
                      </w:r>
                      <w:r>
                        <w:rPr>
                          <w:szCs w:val="24"/>
                        </w:rPr>
                        <w:t xml:space="preserve"> profesinio mokymo, organizuojamo pameistrystės mokymo forma, veiklai viešinti.</w:t>
                      </w:r>
                    </w:p>
                  </w:tc>
                </w:tr>
                <w:tr w:rsidR="000B526A">
                  <w:tc>
                    <w:tcPr>
                      <w:tcW w:w="584" w:type="dxa"/>
                    </w:tcPr>
                    <w:p w:rsidR="000B526A" w:rsidRDefault="00A43C09">
                      <w:pPr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6.</w:t>
                      </w:r>
                    </w:p>
                  </w:tc>
                  <w:tc>
                    <w:tcPr>
                      <w:tcW w:w="3969" w:type="dxa"/>
                    </w:tcPr>
                    <w:p w:rsidR="000B526A" w:rsidRDefault="00A43C09">
                      <w:pPr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Informavimas apie projektą</w:t>
                      </w:r>
                    </w:p>
                  </w:tc>
                  <w:tc>
                    <w:tcPr>
                      <w:tcW w:w="10206" w:type="dxa"/>
                    </w:tcPr>
                    <w:p w:rsidR="000B526A" w:rsidRDefault="00A43C09">
                      <w:pPr>
                        <w:tabs>
                          <w:tab w:val="left" w:pos="322"/>
                        </w:tabs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Tinkamos finansuoti išlaidos, skirtos </w:t>
                      </w:r>
                      <w:r>
                        <w:rPr>
                          <w:szCs w:val="24"/>
                        </w:rPr>
                        <w:t>p</w:t>
                      </w:r>
                      <w:r>
                        <w:rPr>
                          <w:bCs/>
                          <w:szCs w:val="24"/>
                        </w:rPr>
                        <w:t>rivalomoms projektų matomumo ir informavimo apie projektus priemonėms, nurodytoms Projektų administ</w:t>
                      </w:r>
                      <w:r>
                        <w:rPr>
                          <w:bCs/>
                          <w:szCs w:val="24"/>
                        </w:rPr>
                        <w:t>ravimo ir finansavimo taisyklių 341 punkte. Išlaidos apmokamos pagal Įgyvendintų privalomų matomumo ir informavimo priemonių apie ES fondų investicijų veiklas išlaidų fiksuotųjų sumų nustatymo tyrimą.</w:t>
                      </w:r>
                    </w:p>
                  </w:tc>
                </w:tr>
                <w:tr w:rsidR="000B526A">
                  <w:tc>
                    <w:tcPr>
                      <w:tcW w:w="584" w:type="dxa"/>
                    </w:tcPr>
                    <w:p w:rsidR="000B526A" w:rsidRDefault="00A43C09">
                      <w:pPr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7.</w:t>
                      </w:r>
                    </w:p>
                  </w:tc>
                  <w:tc>
                    <w:tcPr>
                      <w:tcW w:w="3969" w:type="dxa"/>
                    </w:tcPr>
                    <w:p w:rsidR="000B526A" w:rsidRDefault="00A43C09">
                      <w:pPr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 xml:space="preserve">Netiesioginės išlaidos ir kitos išlaidos pagal </w:t>
                      </w:r>
                      <w:r>
                        <w:rPr>
                          <w:szCs w:val="24"/>
                          <w:lang w:eastAsia="lt-LT"/>
                        </w:rPr>
                        <w:t>fiksuotąją projekto išlaidų normą</w:t>
                      </w:r>
                    </w:p>
                  </w:tc>
                  <w:tc>
                    <w:tcPr>
                      <w:tcW w:w="10206" w:type="dxa"/>
                    </w:tcPr>
                    <w:p w:rsidR="000B526A" w:rsidRDefault="00A43C09">
                      <w:pPr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 xml:space="preserve">Tinkama finansuoti. </w:t>
                      </w:r>
                    </w:p>
                    <w:p w:rsidR="000B526A" w:rsidRDefault="00A43C09">
                      <w:pPr>
                        <w:jc w:val="both"/>
                        <w:rPr>
                          <w:b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Išlaidos aptartos Aprašo Nr. 6 10.6 papunktyje.</w:t>
                      </w:r>
                    </w:p>
                  </w:tc>
                </w:tr>
              </w:tbl>
              <w:p w:rsidR="000B526A" w:rsidRDefault="000B526A">
                <w:pPr>
                  <w:jc w:val="both"/>
                  <w:rPr>
                    <w:bCs/>
                    <w:sz w:val="22"/>
                    <w:szCs w:val="22"/>
                  </w:rPr>
                </w:pPr>
              </w:p>
              <w:p w:rsidR="000B526A" w:rsidRDefault="00A43C09">
                <w:pPr>
                  <w:jc w:val="both"/>
                </w:pPr>
                <w:r>
                  <w:t>9.3. Pagal Aprašą Nr. 6 teikiamo finansavimo forma – dotacija.</w:t>
                </w:r>
              </w:p>
              <w:p w:rsidR="000B526A" w:rsidRDefault="00A43C09">
                <w:pPr>
                  <w:jc w:val="both"/>
                  <w:rPr>
                    <w:szCs w:val="24"/>
                  </w:rPr>
                </w:pPr>
                <w:r>
                  <w:t>9.4. Pagal Aprašą Nr. 6 projektui įgyvendinti skiriama iki 1 000 000 EUR (vieno milijono</w:t>
                </w:r>
                <w:r>
                  <w:t xml:space="preserve"> eurų) EGADP lėšų ir ne daugiau kaip 210 000 EUR (du šimtai dešimt tūkstančių eurų) Lietuvos Respublikos valstybės biudžeto lėšų pridėtinės vertės mokesčiui (toliau – PVM) kompensuoti.</w:t>
                </w:r>
              </w:p>
              <w:p w:rsidR="000B526A" w:rsidRDefault="00A43C09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9.5. Didžiausia galima projektų finansuojamoji dalis sudaro 100 proc. v</w:t>
                </w:r>
                <w:r>
                  <w:rPr>
                    <w:bCs/>
                    <w:szCs w:val="24"/>
                  </w:rPr>
                  <w:t>isų tinkamų finansuoti projekto išlaidų. Nuosavu įnašu prisidėti nereikalaujama. Projekto pareiškėjas savo ir (arba) kitų šaltinių lėšomis gali prisidėti prie projekto įgyvendinimo.</w:t>
                </w:r>
              </w:p>
              <w:p w:rsidR="000B526A" w:rsidRDefault="00A43C09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9.6. Projektui gali būti mokamas avansas, vadovaujantis  Projektų administravimo ir finansavimo taisyklių 153–159 punktais.</w:t>
                </w:r>
              </w:p>
              <w:p w:rsidR="000B526A" w:rsidRDefault="00A43C09">
                <w:pPr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9.7. Projekto tinkamų finansuoti išlaidų dalis, kurios nepadengia projektui skiriamo finansavimo lėšos, turi būti finansuojama iš pr</w:t>
                </w:r>
                <w:r>
                  <w:rPr>
                    <w:bCs/>
                    <w:szCs w:val="24"/>
                  </w:rPr>
                  <w:t>ojekto vykdytojo lėšų.</w:t>
                </w:r>
              </w:p>
              <w:p w:rsidR="000B526A" w:rsidRDefault="00A43C09">
                <w:pPr>
                  <w:tabs>
                    <w:tab w:val="left" w:pos="645"/>
                  </w:tabs>
                  <w:ind w:left="22" w:hanging="22"/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9.8. Kryžminis finansavimas netaikomas.</w:t>
                </w:r>
              </w:p>
              <w:p w:rsidR="000B526A" w:rsidRDefault="00A43C09">
                <w:pPr>
                  <w:tabs>
                    <w:tab w:val="left" w:pos="645"/>
                  </w:tabs>
                  <w:ind w:left="22" w:hanging="22"/>
                  <w:jc w:val="both"/>
                  <w:rPr>
                    <w:bCs/>
                    <w:szCs w:val="24"/>
                  </w:rPr>
                </w:pPr>
                <w:r>
                  <w:rPr>
                    <w:bCs/>
                    <w:szCs w:val="24"/>
                  </w:rPr>
                  <w:t>9.9. PĮP parengimo išlaidos nėra tinkamos finansuoti.</w:t>
                </w:r>
              </w:p>
              <w:p w:rsidR="000B526A" w:rsidRDefault="00A43C09">
                <w:pPr>
                  <w:tabs>
                    <w:tab w:val="left" w:pos="645"/>
                  </w:tabs>
                  <w:ind w:left="22" w:hanging="22"/>
                  <w:jc w:val="both"/>
                  <w:rPr>
                    <w:color w:val="002060"/>
                    <w:sz w:val="6"/>
                    <w:szCs w:val="6"/>
                  </w:rPr>
                </w:pPr>
                <w:r>
                  <w:rPr>
                    <w:szCs w:val="24"/>
                  </w:rPr>
                  <w:t>9.10. PVM nėra tinkamas finansuoti EGADP lėšomis. PVM gali būti finansuojamas Projektų administravimo ir finansavimo taisyklių VII skyriaus</w:t>
                </w:r>
                <w:r>
                  <w:rPr>
                    <w:szCs w:val="24"/>
                  </w:rPr>
                  <w:t xml:space="preserve"> „Projektų išlaidų reikalavimai“  ketvirtajame skirsnyje „PVM“ nustatyta tvarka.</w:t>
                </w:r>
              </w:p>
            </w:tc>
          </w:tr>
          <w:tr w:rsidR="000B526A">
            <w:trPr>
              <w:trHeight w:val="349"/>
            </w:trPr>
            <w:tc>
              <w:tcPr>
                <w:tcW w:w="15021" w:type="dxa"/>
              </w:tcPr>
              <w:p w:rsidR="000B526A" w:rsidRDefault="00A43C09">
                <w:pPr>
                  <w:jc w:val="both"/>
                  <w:rPr>
                    <w:szCs w:val="24"/>
                  </w:rPr>
                </w:pPr>
                <w:r>
                  <w:rPr>
                    <w:b/>
                    <w:szCs w:val="24"/>
                  </w:rPr>
                  <w:t>10. Projektų veiklų ir jungtinio projekto projektų įgyvendinimui taikomi supaprastintai apmokamų išlaidų dydžiai</w:t>
                </w:r>
              </w:p>
            </w:tc>
          </w:tr>
          <w:tr w:rsidR="000B526A">
            <w:tc>
              <w:tcPr>
                <w:tcW w:w="15021" w:type="dxa"/>
              </w:tcPr>
              <w:p w:rsidR="000B526A" w:rsidRDefault="00A43C09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10.1. Projekto vykdytojas supaprastintai apmokamų išlaidų fi</w:t>
                </w:r>
                <w:r>
                  <w:rPr>
                    <w:szCs w:val="24"/>
                  </w:rPr>
                  <w:t>nansinę apskaitą tvarko vadovaudamiesi ES ir Lietuvos Respublikos teisės aktais, tačiau veiklos ataskaitoje, deklaruodami išlaidas, nurodomą tinkamų finansuoti išlaidų sumą apskaičiuoja pagal projekto sutartyje nustatytus supaprastintai apmokamų išlaidų dy</w:t>
                </w:r>
                <w:r>
                  <w:rPr>
                    <w:szCs w:val="24"/>
                  </w:rPr>
                  <w:t>džius.</w:t>
                </w:r>
              </w:p>
              <w:p w:rsidR="000B526A" w:rsidRDefault="00A43C09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10.2. Jeigu projekto vykdytojo faktiškai patirtos išlaidos (įsigytos prekės ar paslaugos, apskaičiuotas darbo užmokestis, išmokos ir pan.) yra didesnės už apskaičiuotas taikant nustatytus supaprastintai apmokamų išlaidų dydžius, skirtumas apmokamas </w:t>
                </w:r>
                <w:r>
                  <w:rPr>
                    <w:szCs w:val="24"/>
                  </w:rPr>
                  <w:t>iš projekto vykdytojo nuosavų lėšų.</w:t>
                </w:r>
              </w:p>
              <w:p w:rsidR="000B526A" w:rsidRDefault="00A43C09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10.3. Kai išlaidos apmokamos supaprastintai, o informacija apie patirtas išlaidas reikalinga rengiant ar atnaujinant supaprastintai apmokamų išlaidų nustatymo aprašus, projekto vykdytojas projekto įgyvendinimo metu ir po</w:t>
                </w:r>
                <w:r>
                  <w:rPr>
                    <w:szCs w:val="24"/>
                  </w:rPr>
                  <w:t xml:space="preserve"> projekto finansavimo pabaigos per projekto sutartyje nurodytą projekto dokumentų saugojimo laikotarpį ministerijos, vadovaujančiosios ar administruojančiosios institucijų prašymu, privalo pateikti šią informaciją.</w:t>
                </w:r>
              </w:p>
              <w:p w:rsidR="000B526A" w:rsidRDefault="00A43C09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10.4. Išlaidos pagal fiksuotuosius </w:t>
                </w:r>
                <w:r>
                  <w:rPr>
                    <w:szCs w:val="24"/>
                  </w:rPr>
                  <w:t>įkainius pripažįstamos tinkamomis finansuoti, kai yra pasiekti tam tikri rezultatai, už kurių pasiekimą nustatyti konkretūs fiksuotieji įkainiai.</w:t>
                </w:r>
              </w:p>
              <w:p w:rsidR="000B526A" w:rsidRDefault="00A43C09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10.5. Išlaidos pagal fiksuotąją sumą yra tinkamos finansuoti tik tuo atveju, jei yra įvykdytos numatytos fiksu</w:t>
                </w:r>
                <w:r>
                  <w:rPr>
                    <w:szCs w:val="24"/>
                  </w:rPr>
                  <w:t>otosios sumos sąlygos. Jei numatytos fiksuotosios sumos sąlygos nėra įvykdytos, visos išlaidos pagal fiksuotąją sumą nėra tinkamos finansuoti.</w:t>
                </w:r>
              </w:p>
              <w:p w:rsidR="000B526A" w:rsidRDefault="00A43C09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10.6. Netiesioginės išlaidos apmokamos taikant fiksuotąją normą pagal Projektų administravimo ir finansavimo tais</w:t>
                </w:r>
                <w:r>
                  <w:rPr>
                    <w:szCs w:val="24"/>
                  </w:rPr>
                  <w:t xml:space="preserve">yklių 332.1 papunktį – 7 proc. netiesioginių išlaidų fiksuotoji norma.  </w:t>
                </w:r>
              </w:p>
              <w:p w:rsidR="000B526A" w:rsidRDefault="00A43C09"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10.7. Projekto sutartyje nustatyta netiesioginių išlaidų fiksuotoji norma projekto įgyvendinimo metu negali būti keičiama.</w:t>
                </w:r>
              </w:p>
              <w:p w:rsidR="000B526A" w:rsidRDefault="000B526A">
                <w:pPr>
                  <w:jc w:val="both"/>
                  <w:rPr>
                    <w:sz w:val="14"/>
                    <w:szCs w:val="14"/>
                  </w:rPr>
                </w:pPr>
              </w:p>
              <w:tbl>
                <w:tblPr>
                  <w:tblW w:w="0" w:type="auto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ayout w:type="fixed"/>
                  <w:tblLook w:val="04A0" w:firstRow="1" w:lastRow="0" w:firstColumn="1" w:lastColumn="0" w:noHBand="0" w:noVBand="1"/>
                </w:tblPr>
                <w:tblGrid>
                  <w:gridCol w:w="3426"/>
                  <w:gridCol w:w="2126"/>
                  <w:gridCol w:w="2268"/>
                  <w:gridCol w:w="3739"/>
                  <w:gridCol w:w="3207"/>
                </w:tblGrid>
                <w:tr w:rsidR="000B526A">
                  <w:tc>
                    <w:tcPr>
                      <w:tcW w:w="14766" w:type="dxa"/>
                      <w:gridSpan w:val="5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ind w:firstLine="57"/>
                        <w:jc w:val="both"/>
                        <w:rPr>
                          <w:b/>
                          <w:bCs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fldChar w:fldCharType="begin" w:fldLock="1">
                          <w:ffData>
                            <w:name w:val="Tikrinti2"/>
                            <w:enabled/>
                            <w:calcOnExit w:val="0"/>
                            <w:checkBox>
                              <w:sizeAuto/>
                              <w:default w:val="1"/>
                            </w:checkBox>
                          </w:ffData>
                        </w:fldChar>
                      </w:r>
                      <w:r>
                        <w:rPr>
                          <w:rFonts w:eastAsia="Calibri"/>
                          <w:szCs w:val="24"/>
                        </w:rPr>
                        <w:instrText xml:space="preserve">FORMCHECKBOX </w:instrText>
                      </w:r>
                      <w:r>
                        <w:rPr>
                          <w:rFonts w:eastAsia="Calibri"/>
                          <w:szCs w:val="24"/>
                        </w:rPr>
                      </w:r>
                      <w:r>
                        <w:rPr>
                          <w:rFonts w:eastAsia="Calibri"/>
                          <w:szCs w:val="24"/>
                        </w:rPr>
                        <w:fldChar w:fldCharType="separate"/>
                      </w:r>
                      <w:r>
                        <w:rPr>
                          <w:rFonts w:eastAsia="Calibri"/>
                          <w:szCs w:val="24"/>
                        </w:rPr>
                        <w:fldChar w:fldCharType="end"/>
                      </w:r>
                      <w:r>
                        <w:rPr>
                          <w:b/>
                          <w:bCs/>
                          <w:szCs w:val="24"/>
                        </w:rPr>
                        <w:t>Indeksuojama</w:t>
                      </w:r>
                    </w:p>
                    <w:p w:rsidR="000B526A" w:rsidRDefault="00A43C09">
                      <w:pPr>
                        <w:ind w:firstLine="57"/>
                        <w:jc w:val="both"/>
                        <w:rPr>
                          <w:b/>
                          <w:bCs/>
                          <w:szCs w:val="24"/>
                        </w:rPr>
                      </w:pPr>
                      <w:r>
                        <w:rPr>
                          <w:rFonts w:eastAsia="Calibri"/>
                          <w:szCs w:val="24"/>
                        </w:rPr>
                        <w:fldChar w:fldCharType="begin" w:fldLock="1">
                          <w:ffData>
                            <w:name w:val=""/>
                            <w:enabled/>
                            <w:calcOnExit w:val="0"/>
                            <w:checkBox>
                              <w:sizeAuto/>
                              <w:default w:val="0"/>
                            </w:checkBox>
                          </w:ffData>
                        </w:fldChar>
                      </w:r>
                      <w:r>
                        <w:rPr>
                          <w:rFonts w:eastAsia="Calibri"/>
                          <w:szCs w:val="24"/>
                        </w:rPr>
                        <w:instrText xml:space="preserve"> FORMCHECKBOX </w:instrText>
                      </w:r>
                      <w:r>
                        <w:rPr>
                          <w:rFonts w:eastAsia="Calibri"/>
                          <w:szCs w:val="24"/>
                        </w:rPr>
                      </w:r>
                      <w:r>
                        <w:rPr>
                          <w:rFonts w:eastAsia="Calibri"/>
                          <w:szCs w:val="24"/>
                        </w:rPr>
                        <w:fldChar w:fldCharType="separate"/>
                      </w:r>
                      <w:r>
                        <w:rPr>
                          <w:rFonts w:eastAsia="Calibri"/>
                          <w:szCs w:val="24"/>
                        </w:rPr>
                        <w:fldChar w:fldCharType="end"/>
                      </w:r>
                      <w:r>
                        <w:rPr>
                          <w:b/>
                          <w:bCs/>
                          <w:szCs w:val="24"/>
                        </w:rPr>
                        <w:t>Neindeksuojama</w:t>
                      </w:r>
                    </w:p>
                  </w:tc>
                </w:tr>
                <w:tr w:rsidR="000B526A">
                  <w:tc>
                    <w:tcPr>
                      <w:tcW w:w="3426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  <w:vAlign w:val="center"/>
                    </w:tcPr>
                    <w:p w:rsidR="000B526A" w:rsidRDefault="00A43C09">
                      <w:pPr>
                        <w:jc w:val="center"/>
                        <w:rPr>
                          <w:b/>
                          <w:bCs/>
                          <w:szCs w:val="24"/>
                        </w:rPr>
                      </w:pPr>
                      <w:r>
                        <w:rPr>
                          <w:b/>
                          <w:bCs/>
                          <w:szCs w:val="24"/>
                        </w:rPr>
                        <w:t>Veiklos ir (ar) išlaidos, kurioms taikomi supaprastintai apmokamų išlaidų dydžiai</w:t>
                      </w:r>
                    </w:p>
                  </w:tc>
                  <w:tc>
                    <w:tcPr>
                      <w:tcW w:w="2126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  <w:vAlign w:val="center"/>
                    </w:tcPr>
                    <w:p w:rsidR="000B526A" w:rsidRDefault="00A43C09">
                      <w:pPr>
                        <w:jc w:val="center"/>
                        <w:rPr>
                          <w:b/>
                          <w:bCs/>
                          <w:szCs w:val="24"/>
                        </w:rPr>
                      </w:pPr>
                      <w:r>
                        <w:rPr>
                          <w:b/>
                          <w:bCs/>
                          <w:szCs w:val="24"/>
                        </w:rPr>
                        <w:t>Supaprastintai apmokamų išlaidų dydžio kodas</w:t>
                      </w:r>
                    </w:p>
                  </w:tc>
                  <w:tc>
                    <w:tcPr>
                      <w:tcW w:w="2268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  <w:vAlign w:val="center"/>
                    </w:tcPr>
                    <w:p w:rsidR="000B526A" w:rsidRDefault="00A43C09">
                      <w:pPr>
                        <w:jc w:val="center"/>
                        <w:rPr>
                          <w:b/>
                          <w:bCs/>
                          <w:i/>
                          <w:iCs/>
                          <w:color w:val="808080"/>
                          <w:szCs w:val="24"/>
                        </w:rPr>
                      </w:pPr>
                      <w:r>
                        <w:rPr>
                          <w:b/>
                          <w:bCs/>
                          <w:szCs w:val="24"/>
                        </w:rPr>
                        <w:t>Supaprastintai apmokamų išlaidų dydžio versija</w:t>
                      </w:r>
                    </w:p>
                  </w:tc>
                  <w:tc>
                    <w:tcPr>
                      <w:tcW w:w="3739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  <w:vAlign w:val="center"/>
                    </w:tcPr>
                    <w:p w:rsidR="000B526A" w:rsidRDefault="00A43C09">
                      <w:pPr>
                        <w:jc w:val="center"/>
                        <w:rPr>
                          <w:b/>
                          <w:bCs/>
                          <w:szCs w:val="24"/>
                        </w:rPr>
                      </w:pPr>
                      <w:r>
                        <w:rPr>
                          <w:b/>
                          <w:bCs/>
                          <w:szCs w:val="24"/>
                        </w:rPr>
                        <w:t>Supaprastintai apmokamų išlaidų dydžio pavadinimas</w:t>
                      </w:r>
                    </w:p>
                  </w:tc>
                  <w:tc>
                    <w:tcPr>
                      <w:tcW w:w="3207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  <w:vAlign w:val="center"/>
                    </w:tcPr>
                    <w:p w:rsidR="000B526A" w:rsidRDefault="00A43C09">
                      <w:pPr>
                        <w:jc w:val="center"/>
                        <w:rPr>
                          <w:b/>
                          <w:bCs/>
                          <w:szCs w:val="24"/>
                        </w:rPr>
                      </w:pPr>
                      <w:r>
                        <w:rPr>
                          <w:b/>
                          <w:bCs/>
                          <w:szCs w:val="24"/>
                        </w:rPr>
                        <w:t>Papildoma informacija</w:t>
                      </w:r>
                    </w:p>
                  </w:tc>
                </w:tr>
                <w:tr w:rsidR="000B526A">
                  <w:trPr>
                    <w:trHeight w:val="1531"/>
                  </w:trPr>
                  <w:tc>
                    <w:tcPr>
                      <w:tcW w:w="3426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b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Išlaidos, skirtos privalomoms projektų matomumo ir informavimo apie projektus priemonėms</w:t>
                      </w:r>
                    </w:p>
                  </w:tc>
                  <w:tc>
                    <w:tcPr>
                      <w:tcW w:w="2126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i/>
                          <w:iCs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FS-01-01</w:t>
                      </w:r>
                    </w:p>
                  </w:tc>
                  <w:tc>
                    <w:tcPr>
                      <w:tcW w:w="2268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i/>
                          <w:iCs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01</w:t>
                      </w:r>
                    </w:p>
                  </w:tc>
                  <w:tc>
                    <w:tcPr>
                      <w:tcW w:w="3739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Įgyvendintų privalomų matomumo ir </w:t>
                      </w:r>
                      <w:r>
                        <w:rPr>
                          <w:szCs w:val="24"/>
                        </w:rPr>
                        <w:t>informavimo priemonių apie ES fondų investicijų veiklas fiksuotoji suma, pirmojo rinkinio FS be PVM</w:t>
                      </w:r>
                    </w:p>
                  </w:tc>
                  <w:tc>
                    <w:tcPr>
                      <w:tcW w:w="3207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i/>
                          <w:iCs/>
                          <w:szCs w:val="24"/>
                        </w:rPr>
                      </w:pPr>
                      <w:r>
                        <w:rPr>
                          <w:iCs/>
                          <w:szCs w:val="24"/>
                        </w:rPr>
                        <w:t>-</w:t>
                      </w:r>
                    </w:p>
                  </w:tc>
                </w:tr>
                <w:tr w:rsidR="000B526A">
                  <w:trPr>
                    <w:trHeight w:val="1531"/>
                  </w:trPr>
                  <w:tc>
                    <w:tcPr>
                      <w:tcW w:w="3426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Išlaidos, skirtos privalomoms projektų matomumo ir informavimo apie projektus priemonėms</w:t>
                      </w:r>
                    </w:p>
                  </w:tc>
                  <w:tc>
                    <w:tcPr>
                      <w:tcW w:w="2126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FS-01-02</w:t>
                      </w:r>
                    </w:p>
                  </w:tc>
                  <w:tc>
                    <w:tcPr>
                      <w:tcW w:w="2268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01</w:t>
                      </w:r>
                    </w:p>
                  </w:tc>
                  <w:tc>
                    <w:tcPr>
                      <w:tcW w:w="3739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Įgyvendintų privalomų matomumo ir informavimo </w:t>
                      </w:r>
                      <w:r>
                        <w:rPr>
                          <w:szCs w:val="24"/>
                        </w:rPr>
                        <w:t>priemonių apie ES fondų investicijų veiklas fiksuotoji suma, pirmojo rinkinio FS su PVM</w:t>
                      </w:r>
                    </w:p>
                  </w:tc>
                  <w:tc>
                    <w:tcPr>
                      <w:tcW w:w="3207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iCs/>
                          <w:szCs w:val="24"/>
                        </w:rPr>
                      </w:pPr>
                      <w:r>
                        <w:rPr>
                          <w:iCs/>
                          <w:szCs w:val="24"/>
                        </w:rPr>
                        <w:t>-</w:t>
                      </w:r>
                    </w:p>
                  </w:tc>
                </w:tr>
                <w:tr w:rsidR="000B526A">
                  <w:trPr>
                    <w:trHeight w:val="843"/>
                  </w:trPr>
                  <w:tc>
                    <w:tcPr>
                      <w:tcW w:w="3426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Netiesioginės išlaidos</w:t>
                      </w:r>
                    </w:p>
                  </w:tc>
                  <w:tc>
                    <w:tcPr>
                      <w:tcW w:w="2126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i/>
                          <w:iCs/>
                          <w:szCs w:val="24"/>
                          <w:highlight w:val="yellow"/>
                        </w:rPr>
                      </w:pPr>
                      <w:r>
                        <w:rPr>
                          <w:szCs w:val="24"/>
                        </w:rPr>
                        <w:t>FN-01</w:t>
                      </w:r>
                    </w:p>
                  </w:tc>
                  <w:tc>
                    <w:tcPr>
                      <w:tcW w:w="2268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01</w:t>
                      </w:r>
                    </w:p>
                  </w:tc>
                  <w:tc>
                    <w:tcPr>
                      <w:tcW w:w="3739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  <w:highlight w:val="yellow"/>
                          <w:lang w:val="en-US"/>
                        </w:rPr>
                      </w:pPr>
                      <w:r>
                        <w:rPr>
                          <w:szCs w:val="24"/>
                        </w:rPr>
                        <w:t>7 proc. netiesioginių išlaidų fiksuotoji norma.</w:t>
                      </w:r>
                    </w:p>
                  </w:tc>
                  <w:tc>
                    <w:tcPr>
                      <w:tcW w:w="3207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iCs/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Iš fiksuotosios projekto išlaidų normos dengiamos projektų vykdytojų netiesioginės iš</w:t>
                      </w:r>
                      <w:r>
                        <w:rPr>
                          <w:szCs w:val="24"/>
                        </w:rPr>
                        <w:t>laidos.</w:t>
                      </w:r>
                    </w:p>
                  </w:tc>
                </w:tr>
                <w:tr w:rsidR="000B526A">
                  <w:trPr>
                    <w:trHeight w:val="843"/>
                  </w:trPr>
                  <w:tc>
                    <w:tcPr>
                      <w:tcW w:w="3426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Projektą vykdančio personalo darbo užmokesčio išlaidų dalis per mėnesį, skirta kasmetinėms atostogoms, kuri apskaičiuojama nuo tinkamų finansuoti faktiškai patirtų darbo užmokesčio išlaidų už faktiškai dirbtą laiką (8,63 proc.)</w:t>
                      </w:r>
                    </w:p>
                  </w:tc>
                  <w:tc>
                    <w:tcPr>
                      <w:tcW w:w="2126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FN-05-01</w:t>
                      </w:r>
                    </w:p>
                    <w:p w:rsidR="000B526A" w:rsidRDefault="000B526A">
                      <w:pPr>
                        <w:jc w:val="center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2268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-</w:t>
                      </w:r>
                    </w:p>
                  </w:tc>
                  <w:tc>
                    <w:tcPr>
                      <w:tcW w:w="3739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Fiksuotoji norma taikoma, kai priklauso 20 darbo dienų (toliau – d. d.) (jeigu dirbama 5 d. d. per savaitę) arba 24 d. d. (jeigu dirbama 6 d. d. per savaitę) kasmetinių atostogų</w:t>
                      </w:r>
                    </w:p>
                  </w:tc>
                  <w:tc>
                    <w:tcPr>
                      <w:tcW w:w="3207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Projektą vykdančio personalo darbo užmokesčio išlaidos už kasmetines atostogas</w:t>
                      </w:r>
                      <w:r>
                        <w:rPr>
                          <w:szCs w:val="24"/>
                        </w:rPr>
                        <w:t>, kurios apskaičiuojamos nuo tinkamų finansuoti faktiškai patirtų vykdančiojo personalo darbo užmokesčio išlaidų</w:t>
                      </w:r>
                    </w:p>
                  </w:tc>
                </w:tr>
                <w:tr w:rsidR="000B526A">
                  <w:trPr>
                    <w:trHeight w:val="843"/>
                  </w:trPr>
                  <w:tc>
                    <w:tcPr>
                      <w:tcW w:w="3426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  <w:highlight w:val="yellow"/>
                        </w:rPr>
                      </w:pPr>
                      <w:r>
                        <w:rPr>
                          <w:szCs w:val="24"/>
                        </w:rPr>
                        <w:t xml:space="preserve">Darbo užmokesčio išlaidų dalis per mėnesį, skirta kasmetinėms atostogoms, kuri apskaičiuojama nuo tinkamų finansuoti faktiškai patirtų darbo </w:t>
                      </w:r>
                      <w:r>
                        <w:rPr>
                          <w:szCs w:val="24"/>
                        </w:rPr>
                        <w:t>užmokesčio išlaidų už faktiškai dirbtą laiką (10,44 proc.)</w:t>
                      </w:r>
                    </w:p>
                  </w:tc>
                  <w:tc>
                    <w:tcPr>
                      <w:tcW w:w="2126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FN-05-02</w:t>
                      </w:r>
                    </w:p>
                  </w:tc>
                  <w:tc>
                    <w:tcPr>
                      <w:tcW w:w="2268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-</w:t>
                      </w:r>
                    </w:p>
                  </w:tc>
                  <w:tc>
                    <w:tcPr>
                      <w:tcW w:w="3739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Fiksuotoji norma taikoma, kai priklauso nuo 21 iki 25 d. d. (jeigu dirbama 5 d. d. per savaitę) arba nuo 25 iki 30 d. d. (jeigu dirbama 6 d. d. per savaitę) kasmetinių atostogų</w:t>
                      </w:r>
                    </w:p>
                  </w:tc>
                  <w:tc>
                    <w:tcPr>
                      <w:tcW w:w="3207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 xml:space="preserve">Projektą </w:t>
                      </w:r>
                      <w:r>
                        <w:rPr>
                          <w:szCs w:val="24"/>
                        </w:rPr>
                        <w:t>vykdančio personalo darbo užmokesčio išlaidos už kasmetines atostogas, kurios apskaičiuojamos nuo tinkamų finansuoti faktiškai patirtų vykdančiojo personalo darbo užmokesčio išlaidų</w:t>
                      </w:r>
                    </w:p>
                  </w:tc>
                </w:tr>
                <w:tr w:rsidR="000B526A">
                  <w:trPr>
                    <w:trHeight w:val="843"/>
                  </w:trPr>
                  <w:tc>
                    <w:tcPr>
                      <w:tcW w:w="3426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  <w:highlight w:val="yellow"/>
                        </w:rPr>
                      </w:pPr>
                      <w:r>
                        <w:rPr>
                          <w:szCs w:val="24"/>
                        </w:rPr>
                        <w:t>Darbo užmokesčio išlaidų dalis per mėnesį, skirta kasmetinėms atostogoms,</w:t>
                      </w:r>
                      <w:r>
                        <w:rPr>
                          <w:szCs w:val="24"/>
                        </w:rPr>
                        <w:t xml:space="preserve"> kuri apskaičiuojama nuo tinkamų finansuoti faktiškai patirtų darbo užmokesčio išlaidų už faktiškai dirbtą laiką (12,35 proc.)</w:t>
                      </w:r>
                    </w:p>
                  </w:tc>
                  <w:tc>
                    <w:tcPr>
                      <w:tcW w:w="2126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FN-05-03</w:t>
                      </w:r>
                    </w:p>
                    <w:p w:rsidR="000B526A" w:rsidRDefault="000B526A">
                      <w:pPr>
                        <w:jc w:val="center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2268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-</w:t>
                      </w:r>
                    </w:p>
                  </w:tc>
                  <w:tc>
                    <w:tcPr>
                      <w:tcW w:w="3739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Fiksuotoji norma taikoma, kai priklauso nuo 26 iki 30 d. d. (jeigu dirbama 5 d. d. per savaitę) arba nuo 31 iki 36 d.</w:t>
                      </w:r>
                      <w:r>
                        <w:rPr>
                          <w:szCs w:val="24"/>
                        </w:rPr>
                        <w:t xml:space="preserve"> d. (jeigu dirbama 6 d. d. per savaitę) kasmetinių atostogų</w:t>
                      </w:r>
                    </w:p>
                  </w:tc>
                  <w:tc>
                    <w:tcPr>
                      <w:tcW w:w="3207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Projektą vykdančio personalo darbo užmokesčio išlaidos už kasmetines atostogas, kurios apskaičiuojamos nuo tinkamų finansuoti faktiškai patirtų vykdančiojo personalo darbo užmokesčio išlaidų</w:t>
                      </w:r>
                    </w:p>
                  </w:tc>
                </w:tr>
                <w:tr w:rsidR="000B526A">
                  <w:trPr>
                    <w:trHeight w:val="843"/>
                  </w:trPr>
                  <w:tc>
                    <w:tcPr>
                      <w:tcW w:w="3426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  <w:highlight w:val="yellow"/>
                        </w:rPr>
                      </w:pPr>
                      <w:r>
                        <w:rPr>
                          <w:szCs w:val="24"/>
                        </w:rPr>
                        <w:t>Darb</w:t>
                      </w:r>
                      <w:r>
                        <w:rPr>
                          <w:szCs w:val="24"/>
                        </w:rPr>
                        <w:t>o užmokesčio išlaidų dalis per mėnesį, skirta kasmetinėms atostogoms, kuri apskaičiuojama nuo tinkamų finansuoti faktiškai patirtų darbo užmokesčio išlaidų už faktiškai dirbtą laiką (14,99 proc.)</w:t>
                      </w:r>
                    </w:p>
                  </w:tc>
                  <w:tc>
                    <w:tcPr>
                      <w:tcW w:w="2126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FN-05-04</w:t>
                      </w:r>
                    </w:p>
                    <w:p w:rsidR="000B526A" w:rsidRDefault="000B526A">
                      <w:pPr>
                        <w:jc w:val="center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2268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0B526A">
                      <w:pPr>
                        <w:jc w:val="center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3739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Fiksuotoji norma taikoma, kai priklauso nuo 31 ik</w:t>
                      </w:r>
                      <w:r>
                        <w:rPr>
                          <w:szCs w:val="24"/>
                        </w:rPr>
                        <w:t>i 36 d. d. (jeigu dirbama 5 d. d. per savaitę) arba nuo 37 iki 42 d. d. (jeigu dirbama 6 d. d. per savaitę) kasmetinių atostogų</w:t>
                      </w:r>
                    </w:p>
                  </w:tc>
                  <w:tc>
                    <w:tcPr>
                      <w:tcW w:w="3207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Projektą vykdančio personalo darbo užmokesčio išlaidos už kasmetines atostogas, kurios apskaičiuojamos nuo tinkamų finansuoti fa</w:t>
                      </w:r>
                      <w:r>
                        <w:rPr>
                          <w:szCs w:val="24"/>
                        </w:rPr>
                        <w:t>ktiškai patirtų vykdančiojo personalo darbo užmokesčio išlaidų</w:t>
                      </w:r>
                    </w:p>
                  </w:tc>
                </w:tr>
                <w:tr w:rsidR="000B526A">
                  <w:trPr>
                    <w:trHeight w:val="843"/>
                  </w:trPr>
                  <w:tc>
                    <w:tcPr>
                      <w:tcW w:w="3426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  <w:highlight w:val="yellow"/>
                        </w:rPr>
                      </w:pPr>
                      <w:r>
                        <w:rPr>
                          <w:szCs w:val="24"/>
                        </w:rPr>
                        <w:t>Darbo užmokesčio išlaidų dalis per mėnesį, skirta kasmetinėms atostogoms, kuri apskaičiuojama nuo tinkamų finansuoti faktiškai patirtų darbo užmokesčio išlaidų už faktiškai dirbtą laiką (17,25</w:t>
                      </w:r>
                      <w:r>
                        <w:rPr>
                          <w:szCs w:val="24"/>
                        </w:rPr>
                        <w:t xml:space="preserve"> proc.)</w:t>
                      </w:r>
                    </w:p>
                  </w:tc>
                  <w:tc>
                    <w:tcPr>
                      <w:tcW w:w="2126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FN-05-05</w:t>
                      </w:r>
                    </w:p>
                    <w:p w:rsidR="000B526A" w:rsidRDefault="000B526A">
                      <w:pPr>
                        <w:jc w:val="center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2268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0B526A">
                      <w:pPr>
                        <w:jc w:val="center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3739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Fiksuotoji norma taikoma, kai priklauso nuo 37 iki 39 d. d. (jeigu dirbama 5 d. d. per savaitę) arba nuo 43 iki 47 d. d. (jeigu dirbama 6 d. d. per savaitę) kasmetinių atostogų</w:t>
                      </w:r>
                    </w:p>
                  </w:tc>
                  <w:tc>
                    <w:tcPr>
                      <w:tcW w:w="3207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Projektą vykdančio personalo darbo užmokesčio išlaidos už ka</w:t>
                      </w:r>
                      <w:r>
                        <w:rPr>
                          <w:szCs w:val="24"/>
                        </w:rPr>
                        <w:t>smetines atostogas, kurios apskaičiuojamos nuo tinkamų finansuoti faktiškai patirtų vykdančiojo personalo darbo užmokesčio išlaidų</w:t>
                      </w:r>
                    </w:p>
                  </w:tc>
                </w:tr>
                <w:tr w:rsidR="000B526A">
                  <w:trPr>
                    <w:trHeight w:val="843"/>
                  </w:trPr>
                  <w:tc>
                    <w:tcPr>
                      <w:tcW w:w="3426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  <w:highlight w:val="yellow"/>
                        </w:rPr>
                      </w:pPr>
                      <w:r>
                        <w:rPr>
                          <w:szCs w:val="24"/>
                        </w:rPr>
                        <w:t xml:space="preserve">Darbo užmokesčio išlaidų dalis per mėnesį, skirta kasmetinėms atostogoms, kuri apskaičiuojama nuo tinkamų finansuoti </w:t>
                      </w:r>
                      <w:r>
                        <w:rPr>
                          <w:szCs w:val="24"/>
                        </w:rPr>
                        <w:t>faktiškai patirtų darbo užmokesčio išlaidų už faktiškai dirbtą laiką (18,89 proc.)</w:t>
                      </w:r>
                    </w:p>
                  </w:tc>
                  <w:tc>
                    <w:tcPr>
                      <w:tcW w:w="2126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FN-05-06</w:t>
                      </w:r>
                    </w:p>
                    <w:p w:rsidR="000B526A" w:rsidRDefault="000B526A">
                      <w:pPr>
                        <w:jc w:val="center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2268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0B526A">
                      <w:pPr>
                        <w:jc w:val="center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3739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Fiksuotoji norma taikoma, kai priklauso 40 d. d. (jeigu dirbama 5 d. d. per savaitę) arba 48 d. d. (jeigu dirbama 6 d. d. per savaitę) kasmetinių atostogų</w:t>
                      </w:r>
                    </w:p>
                  </w:tc>
                  <w:tc>
                    <w:tcPr>
                      <w:tcW w:w="3207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Projekt</w:t>
                      </w:r>
                      <w:r>
                        <w:rPr>
                          <w:szCs w:val="24"/>
                        </w:rPr>
                        <w:t>ą vykdančio personalo darbo užmokesčio išlaidos už kasmetines atostogas, kurios apskaičiuojamos nuo tinkamų finansuoti faktiškai patirtų vykdančiojo personalo darbo užmokesčio išlaidų</w:t>
                      </w:r>
                    </w:p>
                  </w:tc>
                </w:tr>
                <w:tr w:rsidR="000B526A">
                  <w:trPr>
                    <w:trHeight w:val="843"/>
                  </w:trPr>
                  <w:tc>
                    <w:tcPr>
                      <w:tcW w:w="3426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  <w:highlight w:val="yellow"/>
                        </w:rPr>
                      </w:pPr>
                      <w:r>
                        <w:rPr>
                          <w:szCs w:val="24"/>
                        </w:rPr>
                        <w:t>Darbo užmokesčio išlaidų dalis per mėnesį, skirta kasmetinėms atostogom</w:t>
                      </w:r>
                      <w:r>
                        <w:rPr>
                          <w:szCs w:val="24"/>
                        </w:rPr>
                        <w:t>s, kuri apskaičiuojama nuo tinkamų finansuoti faktiškai patirtų darbo užmokesčio išlaidų už faktiškai dirbtą laiką (20,02 proc.)</w:t>
                      </w:r>
                    </w:p>
                  </w:tc>
                  <w:tc>
                    <w:tcPr>
                      <w:tcW w:w="2126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FN-05-07</w:t>
                      </w:r>
                    </w:p>
                    <w:p w:rsidR="000B526A" w:rsidRDefault="000B526A">
                      <w:pPr>
                        <w:jc w:val="center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2268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0B526A">
                      <w:pPr>
                        <w:jc w:val="center"/>
                        <w:rPr>
                          <w:szCs w:val="24"/>
                        </w:rPr>
                      </w:pPr>
                    </w:p>
                  </w:tc>
                  <w:tc>
                    <w:tcPr>
                      <w:tcW w:w="3739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Fiksuotoji norma taikoma, kai priklauso nuo 41 d. d. (jeigu dirbama 5 d. d. per savaitę) arba nuo 49 d. d. (jeigu di</w:t>
                      </w:r>
                      <w:r>
                        <w:rPr>
                          <w:szCs w:val="24"/>
                        </w:rPr>
                        <w:t>rbama 6 d. d. per savaitę) kasmetinių atostogų</w:t>
                      </w:r>
                    </w:p>
                  </w:tc>
                  <w:tc>
                    <w:tcPr>
                      <w:tcW w:w="3207" w:type="dxa"/>
                      <w:tcBorders>
                        <w:top w:val="single" w:sz="8" w:space="0" w:color="auto"/>
                        <w:left w:val="single" w:sz="8" w:space="0" w:color="auto"/>
                        <w:bottom w:val="single" w:sz="8" w:space="0" w:color="auto"/>
                        <w:right w:val="single" w:sz="8" w:space="0" w:color="auto"/>
                      </w:tcBorders>
                    </w:tcPr>
                    <w:p w:rsidR="000B526A" w:rsidRDefault="00A43C09">
                      <w:pPr>
                        <w:jc w:val="center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Projektą vykdančio personalo darbo užmokesčio išlaidos už kasmetines atostogas, kurios apskaičiuojamos nuo tinkamų finansuoti faktiškai patirtų vykdančiojo personalo darbo užmokesčio išlaidų</w:t>
                      </w:r>
                    </w:p>
                  </w:tc>
                </w:tr>
              </w:tbl>
              <w:p w:rsidR="000B526A" w:rsidRDefault="000B526A">
                <w:pPr>
                  <w:jc w:val="both"/>
                  <w:rPr>
                    <w:i/>
                    <w:iCs/>
                    <w:sz w:val="22"/>
                    <w:szCs w:val="22"/>
                  </w:rPr>
                </w:pPr>
              </w:p>
            </w:tc>
          </w:tr>
        </w:tbl>
        <w:p w:rsidR="000B526A" w:rsidRDefault="000B526A">
          <w:pPr>
            <w:spacing w:line="276" w:lineRule="auto"/>
            <w:jc w:val="center"/>
            <w:rPr>
              <w:rFonts w:eastAsia="Calibri"/>
              <w:sz w:val="22"/>
              <w:szCs w:val="22"/>
            </w:rPr>
          </w:pPr>
        </w:p>
        <w:sdt>
          <w:sdtPr>
            <w:alias w:val="pabaiga"/>
            <w:tag w:val="part_24cd5935609440958f98db1b1c0d039e"/>
            <w:id w:val="-2031098989"/>
            <w:lock w:val="sdtLocked"/>
          </w:sdtPr>
          <w:sdtEndPr/>
          <w:sdtContent>
            <w:p w:rsidR="000B526A" w:rsidRDefault="00A43C09">
              <w:pPr>
                <w:spacing w:line="276" w:lineRule="auto"/>
                <w:jc w:val="center"/>
                <w:rPr>
                  <w:szCs w:val="24"/>
                </w:rPr>
              </w:pPr>
              <w:r>
                <w:rPr>
                  <w:rFonts w:eastAsia="Calibri"/>
                  <w:szCs w:val="24"/>
                </w:rPr>
                <w:t>________________</w:t>
              </w:r>
            </w:p>
          </w:sdtContent>
        </w:sdt>
      </w:sdtContent>
    </w:sdt>
    <w:sectPr w:rsidR="000B526A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6838" w:h="11906" w:orient="landscape" w:code="9"/>
      <w:pgMar w:top="851" w:right="678" w:bottom="1134" w:left="1134" w:header="454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526A" w:rsidRDefault="00A43C09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:rsidR="000B526A" w:rsidRDefault="00A43C09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  <w:endnote w:type="continuationNotice" w:id="1">
    <w:p w:rsidR="000B526A" w:rsidRDefault="000B526A">
      <w:pPr>
        <w:rPr>
          <w:sz w:val="22"/>
          <w:szCs w:val="22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526A" w:rsidRDefault="000B526A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526A" w:rsidRDefault="000B526A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526A" w:rsidRDefault="000B526A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526A" w:rsidRDefault="00A43C09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:rsidR="000B526A" w:rsidRDefault="00A43C09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type="continuationNotice" w:id="1">
    <w:p w:rsidR="000B526A" w:rsidRDefault="000B526A">
      <w:pPr>
        <w:rPr>
          <w:sz w:val="22"/>
          <w:szCs w:val="22"/>
        </w:rPr>
      </w:pPr>
    </w:p>
  </w:footnote>
  <w:footnote w:id="2">
    <w:p w:rsidR="000B526A" w:rsidRDefault="00A43C09">
      <w:pPr>
        <w:rPr>
          <w:sz w:val="20"/>
        </w:rPr>
      </w:pPr>
      <w:r>
        <w:rPr>
          <w:sz w:val="20"/>
          <w:vertAlign w:val="superscript"/>
        </w:rPr>
        <w:footnoteRef/>
      </w:r>
      <w:r>
        <w:rPr>
          <w:sz w:val="20"/>
        </w:rPr>
        <w:t xml:space="preserve"> </w:t>
      </w:r>
      <w:r>
        <w:rPr>
          <w:sz w:val="20"/>
          <w:u w:val="single"/>
        </w:rPr>
        <w:t>https://eur-lex.europa.eu/legal-content/LT/TXT/PDF/?uri=CELEX:32021R0241&amp;from=LT.</w:t>
      </w:r>
      <w:r>
        <w:rPr>
          <w:sz w:val="20"/>
        </w:rPr>
        <w:t xml:space="preserve"> </w:t>
      </w:r>
    </w:p>
  </w:footnote>
  <w:footnote w:id="3">
    <w:p w:rsidR="000B526A" w:rsidRDefault="00A43C09">
      <w:pPr>
        <w:rPr>
          <w:sz w:val="20"/>
        </w:rPr>
      </w:pPr>
      <w:r>
        <w:rPr>
          <w:sz w:val="20"/>
          <w:vertAlign w:val="superscript"/>
        </w:rPr>
        <w:footnoteRef/>
      </w:r>
      <w:r>
        <w:rPr>
          <w:sz w:val="20"/>
        </w:rPr>
        <w:t xml:space="preserve"> </w:t>
      </w:r>
      <w:r>
        <w:rPr>
          <w:sz w:val="20"/>
          <w:u w:val="single"/>
        </w:rPr>
        <w:t>https://finmin.lrv.lt/uploads/finmin/documents/files/ST_10477_2021_ADD_1_lt(1).pdf</w:t>
      </w:r>
      <w:r>
        <w:rPr>
          <w:sz w:val="20"/>
        </w:rPr>
        <w:t>.</w:t>
      </w:r>
    </w:p>
  </w:footnote>
  <w:footnote w:id="4">
    <w:p w:rsidR="000B526A" w:rsidRDefault="00A43C09">
      <w:pPr>
        <w:rPr>
          <w:sz w:val="20"/>
        </w:rPr>
      </w:pPr>
      <w:r>
        <w:rPr>
          <w:sz w:val="20"/>
          <w:vertAlign w:val="superscript"/>
        </w:rPr>
        <w:footnoteRef/>
      </w:r>
      <w:r>
        <w:rPr>
          <w:sz w:val="20"/>
        </w:rPr>
        <w:t xml:space="preserve"> </w:t>
      </w:r>
      <w:hyperlink r:id="rId1" w:history="1">
        <w:r>
          <w:rPr>
            <w:sz w:val="20"/>
            <w:u w:val="single"/>
          </w:rPr>
          <w:t>https://www.e-tar.lt/portal/legalAct.html?documentId=14e33320f1ed11ec8fa7d02a65c371ad</w:t>
        </w:r>
      </w:hyperlink>
      <w:r>
        <w:rPr>
          <w:sz w:val="20"/>
        </w:rPr>
        <w:t>.</w:t>
      </w:r>
    </w:p>
  </w:footnote>
  <w:footnote w:id="5">
    <w:p w:rsidR="000B526A" w:rsidRDefault="00A43C09">
      <w:pPr>
        <w:rPr>
          <w:sz w:val="20"/>
        </w:rPr>
      </w:pPr>
      <w:r>
        <w:rPr>
          <w:sz w:val="20"/>
          <w:vertAlign w:val="superscript"/>
        </w:rPr>
        <w:footnoteRef/>
      </w:r>
      <w:r>
        <w:rPr>
          <w:sz w:val="20"/>
        </w:rPr>
        <w:t xml:space="preserve"> </w:t>
      </w:r>
      <w:r>
        <w:rPr>
          <w:sz w:val="20"/>
          <w:u w:val="single"/>
        </w:rPr>
        <w:t>https://e-seimas.lrs.lt/portal/legalAct/lt/TAD/5e3aa191a8e511eb98cc</w:t>
      </w:r>
      <w:r>
        <w:rPr>
          <w:sz w:val="20"/>
          <w:u w:val="single"/>
        </w:rPr>
        <w:t>ba226c8a14d7/FzwzIeQNIO?jfwid=1acmlegg4k.</w:t>
      </w:r>
      <w:r>
        <w:rPr>
          <w:sz w:val="20"/>
        </w:rP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526A" w:rsidRDefault="000B526A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526A" w:rsidRDefault="00A43C09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  <w:p w:rsidR="000B526A" w:rsidRDefault="000B526A">
    <w:pPr>
      <w:tabs>
        <w:tab w:val="center" w:pos="4819"/>
        <w:tab w:val="right" w:pos="9638"/>
      </w:tabs>
      <w:jc w:val="right"/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526A" w:rsidRDefault="000B526A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1B0"/>
    <w:rsid w:val="000B526A"/>
    <w:rsid w:val="00A361B0"/>
    <w:rsid w:val="00A43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docId w15:val="{B3289408-2D48-411D-BBA6-68255ADC5A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58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03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17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697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901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715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735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973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542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200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472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653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403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e-tar.lt/portal/legalAct.html?documentId=14e33320f1ed11ec8fa7d02a65c371ad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j6fdf40a0e1e4c27b9444f6dc0ea131b xmlns="f5ebda27-b626-448f-a7d1-d1cf5ad133fa">Švietimo projektų skyrius|4d6950ba-bddb-4d59-b4f2-90fff673db9b;Procesų valdymo skyrius|1d2453fc-c175-46b4-b9fe-6151c1a059d8;Finansų skyrius|7d9d544b-d496-4126-a894-fd0e68da2d8e</j6fdf40a0e1e4c27b9444f6dc0ea131b>
    <ExportDate xmlns="a843bbba-5665-4b5f-aacc-cdcb1c804839" xsi:nil="true"/>
    <DmsDocPrepDocSendReg xmlns="028236e2-f653-4d19-ab67-4d06a9145e0c">false</DmsDocPrepDocSendReg>
    <DmsDocPrepListOrderNo xmlns="4b2e9d09-07c5-42d4-ad0a-92e216c40b99">2</DmsDocPrepListOrderNo>
  </documentManagement>
</p:properties>
</file>

<file path=customXml/item3.xml><?xml version="1.0" encoding="utf-8"?>
<Parts xmlns="http://lrs.lt/TAIS/DocParts">
  <Part Type="priedas" Nr="6" Abbr="6 pr." Title="2021–2030 M. PLĖTROS PROGRAMOS VALDYTOJOS LIETUVOS RESPUBLIKOS ŠVIETIMO, MOKSLO IR SPORTO MINISTERIJOS ŠVIETIMO PLĖTROS PROGRAMOS PAŽANGOS PRIEMONĖS NR. 12-003-03-04-03 „SUKURTI RINKOS POREIKIUS ATLIEPIANČIĄ PROFESINIO UGDYMO SISTEMĄ“ PROJEKTŲ FINANSAVIMO SĄLYGŲ APRAŠAS NR. 6" DocPartId="11fc849831a941dab42ea3882083cbf0" PartId="4ce082f6db6e4a9d927917f2b99bb883">
    <Part Type="pabaiga" DocPartId="1a08e40022e341b09a08258ed182d95f" PartId="24cd5935609440958f98db1b1c0d039e"/>
  </Part>
</Part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o priedas" ma:contentTypeID="0x010100D76F90AF19434866994CD715ED8FEE4200712820E1B0DE314FBCE77D75ADAD206D" ma:contentTypeVersion="3" ma:contentTypeDescription="" ma:contentTypeScope="" ma:versionID="4d907e23df1946c6d37a59fb55db7e3d">
  <xsd:schema xmlns:xsd="http://www.w3.org/2001/XMLSchema" xmlns:xs="http://www.w3.org/2001/XMLSchema" xmlns:p="http://schemas.microsoft.com/office/2006/metadata/properties" xmlns:ns2="4b2e9d09-07c5-42d4-ad0a-92e216c40b99" xmlns:ns3="f5ebda27-b626-448f-a7d1-d1cf5ad133fa" xmlns:ns4="028236e2-f653-4d19-ab67-4d06a9145e0c" xmlns:ns5="a843bbba-5665-4b5f-aacc-cdcb1c804839" targetNamespace="http://schemas.microsoft.com/office/2006/metadata/properties" ma:root="true" ma:fieldsID="7429f1b30b221ede030be3017a80dccb" ns2:_="" ns3:_="" ns4:_="" ns5:_="">
    <xsd:import namespace="4b2e9d09-07c5-42d4-ad0a-92e216c40b99"/>
    <xsd:import namespace="f5ebda27-b626-448f-a7d1-d1cf5ad133fa"/>
    <xsd:import namespace="028236e2-f653-4d19-ab67-4d06a9145e0c"/>
    <xsd:import namespace="a843bbba-5665-4b5f-aacc-cdcb1c804839"/>
    <xsd:element name="properties">
      <xsd:complexType>
        <xsd:sequence>
          <xsd:element name="documentManagement">
            <xsd:complexType>
              <xsd:all>
                <xsd:element ref="ns2:DmsDocPrepListOrderNo" minOccurs="0"/>
                <xsd:element ref="ns3:j6fdf40a0e1e4c27b9444f6dc0ea131b" minOccurs="0"/>
                <xsd:element ref="ns4:DmsDocPrepDocSendReg" minOccurs="0"/>
                <xsd:element ref="ns5:Export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2e9d09-07c5-42d4-ad0a-92e216c40b99" elementFormDefault="qualified">
    <xsd:import namespace="http://schemas.microsoft.com/office/2006/documentManagement/types"/>
    <xsd:import namespace="http://schemas.microsoft.com/office/infopath/2007/PartnerControls"/>
    <xsd:element name="DmsDocPrepListOrderNo" ma:index="8" nillable="true" ma:displayName="Turinio tipo rikiavimas" ma:description="" ma:internalName="DmsDocPrepListOrderNo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ebda27-b626-448f-a7d1-d1cf5ad133fa" elementFormDefault="qualified">
    <xsd:import namespace="http://schemas.microsoft.com/office/2006/documentManagement/types"/>
    <xsd:import namespace="http://schemas.microsoft.com/office/infopath/2007/PartnerControls"/>
    <xsd:element name="j6fdf40a0e1e4c27b9444f6dc0ea131b" ma:index="9" nillable="true" ma:displayName="DmsPermissionsDivisions_0" ma:hidden="true" ma:internalName="j6fdf40a0e1e4c27b9444f6dc0ea131b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236e2-f653-4d19-ab67-4d06a9145e0c" elementFormDefault="qualified">
    <xsd:import namespace="http://schemas.microsoft.com/office/2006/documentManagement/types"/>
    <xsd:import namespace="http://schemas.microsoft.com/office/infopath/2007/PartnerControls"/>
    <xsd:element name="DmsDocPrepDocSendReg" ma:index="10" nillable="true" ma:displayName="Siųsti registruoti" ma:description="" ma:internalName="DmsDocPrepDocSendReg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43bbba-5665-4b5f-aacc-cdcb1c804839" elementFormDefault="qualified">
    <xsd:import namespace="http://schemas.microsoft.com/office/2006/documentManagement/types"/>
    <xsd:import namespace="http://schemas.microsoft.com/office/infopath/2007/PartnerControls"/>
    <xsd:element name="ExportDate" ma:index="11" nillable="true" ma:displayName="ExportDate" ma:format="DateOnly" ma:internalName="ExportDate">
      <xsd:simpleType>
        <xsd:restriction base="dms:DateTim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050D31-66BA-4089-B5B5-37298FB9EA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F7E5569-D793-4217-B232-E816039AF86D}">
  <ds:schemaRefs>
    <ds:schemaRef ds:uri="a843bbba-5665-4b5f-aacc-cdcb1c804839"/>
    <ds:schemaRef ds:uri="http://schemas.openxmlformats.org/package/2006/metadata/core-properties"/>
    <ds:schemaRef ds:uri="http://purl.org/dc/terms/"/>
    <ds:schemaRef ds:uri="http://schemas.microsoft.com/office/infopath/2007/PartnerControls"/>
    <ds:schemaRef ds:uri="http://schemas.microsoft.com/office/2006/documentManagement/types"/>
    <ds:schemaRef ds:uri="f5ebda27-b626-448f-a7d1-d1cf5ad133fa"/>
    <ds:schemaRef ds:uri="http://schemas.microsoft.com/office/2006/metadata/properties"/>
    <ds:schemaRef ds:uri="http://purl.org/dc/elements/1.1/"/>
    <ds:schemaRef ds:uri="http://www.w3.org/XML/1998/namespace"/>
    <ds:schemaRef ds:uri="4b2e9d09-07c5-42d4-ad0a-92e216c40b99"/>
    <ds:schemaRef ds:uri="028236e2-f653-4d19-ab67-4d06a9145e0c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2F152DBD-7B3C-4547-A601-BE2EBABC7CC9}">
  <ds:schemaRefs>
    <ds:schemaRef ds:uri="http://lrs.lt/TAIS/DocParts"/>
  </ds:schemaRefs>
</ds:datastoreItem>
</file>

<file path=customXml/itemProps4.xml><?xml version="1.0" encoding="utf-8"?>
<ds:datastoreItem xmlns:ds="http://schemas.openxmlformats.org/officeDocument/2006/customXml" ds:itemID="{BA474B00-66CD-47DE-8AE5-02A7542BE5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2e9d09-07c5-42d4-ad0a-92e216c40b99"/>
    <ds:schemaRef ds:uri="f5ebda27-b626-448f-a7d1-d1cf5ad133fa"/>
    <ds:schemaRef ds:uri="028236e2-f653-4d19-ab67-4d06a9145e0c"/>
    <ds:schemaRef ds:uri="a843bbba-5665-4b5f-aacc-cdcb1c80483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B0FBE704-BA62-4EA8-A414-95CFA6A4FDC7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E68EBC4C-41B4-4661-911B-08D3E61356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13488</Words>
  <Characters>7689</Characters>
  <Application>Microsoft Office Word</Application>
  <DocSecurity>0</DocSecurity>
  <Lines>64</Lines>
  <Paragraphs>42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6d96d6af-5e5f-42f1-a78d-3b1bd451734b</vt:lpstr>
      <vt:lpstr>6d96d6af-5e5f-42f1-a78d-3b1bd451734b</vt:lpstr>
    </vt:vector>
  </TitlesOfParts>
  <Company>HP Inc.</Company>
  <LinksUpToDate>false</LinksUpToDate>
  <CharactersWithSpaces>21135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6d96d6af-5e5f-42f1-a78d-3b1bd451734b</dc:title>
  <dc:creator>Virginija Levinskienė</dc:creator>
  <cp:lastModifiedBy>DRAZDAUSKIENĖ Nijolė</cp:lastModifiedBy>
  <cp:revision>2</cp:revision>
  <dcterms:created xsi:type="dcterms:W3CDTF">2023-07-07T08:17:00Z</dcterms:created>
  <dcterms:modified xsi:type="dcterms:W3CDTF">2023-07-07T08:17:00Z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0x010100D76F90AF19434866994CD715ED8FEE4200712820E1B0DE314FBCE77D75ADAD206D</vt:lpwstr>
  </property>
  <property fmtid="{D5CDD505-2E9C-101B-9397-08002B2CF9AE}" pid="3" name="TaxCatchAll">
    <vt:lpwstr>62;#Finansų skyrius|7d9d544b-d496-4126-a894-fd0e68da2d8e;#3308;#Procesų valdymo skyrius|1d2453fc-c175-46b4-b9fe-6151c1a059d8;#71;#Švietimo projektų skyrius|4d6950ba-bddb-4d59-b4f2-90fff673db9b</vt:lpwstr>
  </property>
  <property fmtid="{D5CDD505-2E9C-101B-9397-08002B2CF9AE}" pid="4" name="Komentarai">
    <vt:lpwstr>Koreguota vizavimo metu</vt:lpwstr>
  </property>
  <property fmtid="{D5CDD505-2E9C-101B-9397-08002B2CF9AE}" pid="5" name="DmsPermissionsFlags">
    <vt:lpwstr>,SECTRUE,</vt:lpwstr>
  </property>
  <property fmtid="{D5CDD505-2E9C-101B-9397-08002B2CF9AE}" pid="6" name="DmsPermissionsDivisions">
    <vt:lpwstr/>
  </property>
  <property fmtid="{D5CDD505-2E9C-101B-9397-08002B2CF9AE}" pid="7" name="DmsPermissionsUsers">
    <vt:lpwstr>109;#Giedrius Lapėnas;#120;#Ričardas Šokaitis;#63;#Eglė Vizbarė;#1119;#Mantas Bernotas;#166;#Margarita Kairienė</vt:lpwstr>
  </property>
  <property fmtid="{D5CDD505-2E9C-101B-9397-08002B2CF9AE}" pid="8" name="DmsDocPrepDocSendRegReal">
    <vt:bool>false</vt:bool>
  </property>
</Properties>
</file>