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5 pr."/>
        <w:tag w:val="part_f294b83db46d49a99a33b54290bef258"/>
        <w:id w:val="1097445413"/>
        <w:lock w:val="sdtLocked"/>
      </w:sdtPr>
      <w:sdtEndPr/>
      <w:sdtContent>
        <w:p w:rsidR="004864EE" w:rsidRDefault="004864EE">
          <w:pPr>
            <w:rPr>
              <w:sz w:val="6"/>
              <w:szCs w:val="6"/>
            </w:rPr>
          </w:pPr>
        </w:p>
        <w:p w:rsidR="004864EE" w:rsidRDefault="004864EE">
          <w:pPr>
            <w:tabs>
              <w:tab w:val="center" w:pos="4153"/>
              <w:tab w:val="right" w:pos="8306"/>
            </w:tabs>
            <w:suppressAutoHyphens/>
            <w:rPr>
              <w:b/>
              <w:sz w:val="20"/>
              <w:lang w:eastAsia="ar-SA"/>
            </w:rPr>
          </w:pPr>
        </w:p>
        <w:p w:rsidR="004864EE" w:rsidRDefault="004864EE">
          <w:pPr>
            <w:rPr>
              <w:sz w:val="6"/>
              <w:szCs w:val="6"/>
            </w:rPr>
          </w:pPr>
        </w:p>
        <w:p w:rsidR="004864EE" w:rsidRDefault="00AF639B">
          <w:pPr>
            <w:ind w:left="9356"/>
            <w:jc w:val="both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2021–2030 m. plėtros programos valdytojos Lietuvos Respublikos švietimo, mokslo ir sporto ministerijos švietimo plėtros programos pažangos priemonės Nr. 12-003-03-04-03 „Sukurti rinkos poreikius atliepiančią profesinio ugdymo sistemą“ projektų finansavimo </w:t>
          </w:r>
          <w:r>
            <w:rPr>
              <w:rFonts w:eastAsia="Calibri"/>
              <w:szCs w:val="24"/>
            </w:rPr>
            <w:t xml:space="preserve">sąlygų aprašo </w:t>
          </w:r>
        </w:p>
        <w:p w:rsidR="004864EE" w:rsidRDefault="00AF639B">
          <w:pPr>
            <w:ind w:left="9356"/>
            <w:jc w:val="both"/>
            <w:rPr>
              <w:rFonts w:eastAsia="Calibri"/>
              <w:szCs w:val="24"/>
            </w:rPr>
          </w:pPr>
          <w:sdt>
            <w:sdtPr>
              <w:alias w:val="Numeris"/>
              <w:tag w:val="nr_f294b83db46d49a99a33b54290bef258"/>
              <w:id w:val="-254747695"/>
              <w:lock w:val="sdtLocked"/>
            </w:sdtPr>
            <w:sdtEndPr/>
            <w:sdtContent>
              <w:r>
                <w:rPr>
                  <w:rFonts w:eastAsia="Calibri"/>
                  <w:szCs w:val="24"/>
                </w:rPr>
                <w:t>5</w:t>
              </w:r>
            </w:sdtContent>
          </w:sdt>
          <w:r>
            <w:rPr>
              <w:rFonts w:eastAsia="Calibri"/>
              <w:szCs w:val="24"/>
            </w:rPr>
            <w:t xml:space="preserve"> priedas</w:t>
          </w:r>
        </w:p>
        <w:p w:rsidR="004864EE" w:rsidRDefault="004864EE">
          <w:pPr>
            <w:jc w:val="center"/>
            <w:textAlignment w:val="baseline"/>
            <w:rPr>
              <w:rFonts w:eastAsia="Calibri"/>
              <w:szCs w:val="24"/>
              <w:lang w:eastAsia="lt-LT"/>
            </w:rPr>
          </w:pPr>
        </w:p>
        <w:p w:rsidR="004864EE" w:rsidRDefault="004864EE">
          <w:pPr>
            <w:ind w:left="11340"/>
            <w:jc w:val="both"/>
            <w:rPr>
              <w:rFonts w:eastAsia="Calibri"/>
              <w:bCs/>
              <w:color w:val="000000"/>
              <w:sz w:val="20"/>
            </w:rPr>
          </w:pPr>
        </w:p>
        <w:p w:rsidR="004864EE" w:rsidRDefault="00AF639B">
          <w:pPr>
            <w:jc w:val="center"/>
            <w:rPr>
              <w:rFonts w:eastAsia="Calibri"/>
              <w:b/>
              <w:bCs/>
              <w:caps/>
              <w:color w:val="000000"/>
              <w:szCs w:val="24"/>
            </w:rPr>
          </w:pPr>
          <w:sdt>
            <w:sdtPr>
              <w:alias w:val="Pavadinimas"/>
              <w:tag w:val="title_f294b83db46d49a99a33b54290bef258"/>
              <w:id w:val="1267736138"/>
              <w:lock w:val="sdtLocked"/>
            </w:sdtPr>
            <w:sdtEndPr/>
            <w:sdtContent>
              <w:r>
                <w:rPr>
                  <w:rFonts w:eastAsia="Calibri"/>
                  <w:b/>
                  <w:bCs/>
                  <w:caps/>
                  <w:color w:val="000000"/>
                  <w:szCs w:val="24"/>
                </w:rPr>
                <w:t xml:space="preserve">ATITIKTIES </w:t>
              </w:r>
              <w:r>
                <w:rPr>
                  <w:rFonts w:eastAsia="Calibri"/>
                  <w:b/>
                  <w:bCs/>
                  <w:i/>
                  <w:caps/>
                  <w:color w:val="000000"/>
                  <w:szCs w:val="24"/>
                </w:rPr>
                <w:t xml:space="preserve">de minimis </w:t>
              </w:r>
              <w:r>
                <w:rPr>
                  <w:rFonts w:eastAsia="Calibri"/>
                  <w:b/>
                  <w:bCs/>
                  <w:caps/>
                  <w:color w:val="000000"/>
                  <w:szCs w:val="24"/>
                </w:rPr>
                <w:t>PAGALBOS TAISYKLĖMS</w:t>
              </w:r>
              <w:r>
                <w:rPr>
                  <w:rFonts w:eastAsia="Calibri"/>
                  <w:b/>
                  <w:bCs/>
                  <w:caps/>
                  <w:color w:val="000000"/>
                  <w:szCs w:val="24"/>
                  <w:vertAlign w:val="superscript"/>
                </w:rPr>
                <w:footnoteReference w:id="1"/>
              </w:r>
              <w:r>
                <w:rPr>
                  <w:rFonts w:eastAsia="Calibri"/>
                  <w:b/>
                  <w:bCs/>
                  <w:caps/>
                  <w:color w:val="000000"/>
                  <w:szCs w:val="24"/>
                </w:rPr>
                <w:t xml:space="preserve"> Patikros lapas</w:t>
              </w:r>
            </w:sdtContent>
          </w:sdt>
        </w:p>
        <w:p w:rsidR="004864EE" w:rsidRDefault="004864EE">
          <w:pPr>
            <w:jc w:val="center"/>
            <w:rPr>
              <w:rFonts w:eastAsia="Calibri"/>
              <w:b/>
              <w:bCs/>
              <w:caps/>
              <w:color w:val="000000"/>
              <w:szCs w:val="24"/>
            </w:rPr>
          </w:pPr>
        </w:p>
        <w:p w:rsidR="004864EE" w:rsidRDefault="004864EE">
          <w:pPr>
            <w:jc w:val="center"/>
            <w:rPr>
              <w:rFonts w:eastAsia="Calibri"/>
              <w:caps/>
              <w:sz w:val="22"/>
              <w:szCs w:val="22"/>
              <w:lang w:val="pl-PL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095"/>
            <w:gridCol w:w="80"/>
            <w:gridCol w:w="4001"/>
            <w:gridCol w:w="2096"/>
            <w:gridCol w:w="21"/>
            <w:gridCol w:w="704"/>
            <w:gridCol w:w="141"/>
            <w:gridCol w:w="557"/>
            <w:gridCol w:w="142"/>
            <w:gridCol w:w="1132"/>
            <w:gridCol w:w="4699"/>
          </w:tblGrid>
          <w:tr w:rsidR="004864EE">
            <w:tc>
              <w:tcPr>
                <w:tcW w:w="14850" w:type="dxa"/>
                <w:gridSpan w:val="11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D9D9D9"/>
                <w:hideMark/>
              </w:tcPr>
              <w:p w:rsidR="004864EE" w:rsidRDefault="004864EE">
                <w:pPr>
                  <w:rPr>
                    <w:sz w:val="10"/>
                    <w:szCs w:val="10"/>
                  </w:rPr>
                </w:pPr>
              </w:p>
              <w:p w:rsidR="004864EE" w:rsidRDefault="00AF639B">
                <w:pPr>
                  <w:ind w:firstLine="737"/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2"/>
                    <w:szCs w:val="22"/>
                  </w:rPr>
                  <w:t xml:space="preserve">I. Duomenys apie paraišką/projektą </w:t>
                </w:r>
              </w:p>
            </w:tc>
          </w:tr>
          <w:tr w:rsidR="004864EE">
            <w:tc>
              <w:tcPr>
                <w:tcW w:w="492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:rsidR="004864EE" w:rsidRDefault="00AF639B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</w:rPr>
                  <w:t xml:space="preserve">Paraiškos / projekto numeris </w:t>
                </w:r>
              </w:p>
            </w:tc>
            <w:tc>
              <w:tcPr>
                <w:tcW w:w="9922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864EE" w:rsidRDefault="004864EE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4864EE">
            <w:tc>
              <w:tcPr>
                <w:tcW w:w="492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:rsidR="004864EE" w:rsidRDefault="00AF639B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</w:rPr>
                  <w:t>Projekto pavadinimas</w:t>
                </w:r>
              </w:p>
            </w:tc>
            <w:tc>
              <w:tcPr>
                <w:tcW w:w="9922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864EE" w:rsidRDefault="004864EE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4864EE">
            <w:tc>
              <w:tcPr>
                <w:tcW w:w="492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:rsidR="004864EE" w:rsidRDefault="00AF639B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</w:rPr>
                  <w:t xml:space="preserve">Pareiškėjo / projekto vykdytojo pavadinimas/galutinio naudos gavėjo </w:t>
                </w:r>
                <w:r>
                  <w:rPr>
                    <w:rFonts w:eastAsia="Calibri"/>
                    <w:color w:val="000000"/>
                    <w:sz w:val="22"/>
                    <w:szCs w:val="22"/>
                  </w:rPr>
                  <w:t>pavadinimas</w:t>
                </w:r>
              </w:p>
            </w:tc>
            <w:tc>
              <w:tcPr>
                <w:tcW w:w="9922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4864EE" w:rsidRDefault="004864EE">
                <w:pPr>
                  <w:jc w:val="both"/>
                  <w:rPr>
                    <w:b/>
                    <w:bCs/>
                    <w:color w:val="000000"/>
                    <w:sz w:val="22"/>
                    <w:szCs w:val="22"/>
                  </w:rPr>
                </w:pPr>
              </w:p>
            </w:tc>
          </w:tr>
          <w:tr w:rsidR="004864EE">
            <w:tc>
              <w:tcPr>
                <w:tcW w:w="14850" w:type="dxa"/>
                <w:gridSpan w:val="11"/>
                <w:shd w:val="clear" w:color="auto" w:fill="BFBFBF"/>
              </w:tcPr>
              <w:p w:rsidR="004864EE" w:rsidRDefault="004864EE">
                <w:pPr>
                  <w:rPr>
                    <w:sz w:val="10"/>
                    <w:szCs w:val="10"/>
                  </w:rPr>
                </w:pPr>
              </w:p>
              <w:p w:rsidR="004864EE" w:rsidRDefault="00AF639B">
                <w:pPr>
                  <w:ind w:firstLine="72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 xml:space="preserve">II. Atitikties </w:t>
                </w:r>
                <w:r>
                  <w:rPr>
                    <w:b/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/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 xml:space="preserve"> reglamente</w:t>
                </w:r>
                <w:r>
                  <w:rPr>
                    <w:b/>
                    <w:bCs/>
                    <w:color w:val="000000"/>
                    <w:sz w:val="22"/>
                    <w:szCs w:val="22"/>
                    <w:vertAlign w:val="superscript"/>
                    <w:lang w:eastAsia="lt-LT"/>
                  </w:rPr>
                  <w:footnoteReference w:id="2"/>
                </w: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 xml:space="preserve"> nustatytoms sąlygoms vertinimas</w:t>
                </w:r>
              </w:p>
            </w:tc>
          </w:tr>
          <w:tr w:rsidR="004864EE">
            <w:trPr>
              <w:trHeight w:val="284"/>
            </w:trPr>
            <w:tc>
              <w:tcPr>
                <w:tcW w:w="673" w:type="dxa"/>
                <w:vMerge w:val="restart"/>
                <w:shd w:val="clear" w:color="auto" w:fill="auto"/>
              </w:tcPr>
              <w:p w:rsidR="004864EE" w:rsidRDefault="00AF639B">
                <w:pPr>
                  <w:tabs>
                    <w:tab w:val="left" w:pos="0"/>
                  </w:tabs>
                  <w:ind w:right="-465" w:firstLine="72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 xml:space="preserve">N </w:t>
                </w:r>
              </w:p>
            </w:tc>
            <w:tc>
              <w:tcPr>
                <w:tcW w:w="6502" w:type="dxa"/>
                <w:gridSpan w:val="3"/>
                <w:vMerge w:val="restart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Klausimai</w:t>
                </w:r>
              </w:p>
            </w:tc>
            <w:tc>
              <w:tcPr>
                <w:tcW w:w="2714" w:type="dxa"/>
                <w:gridSpan w:val="6"/>
                <w:shd w:val="clear" w:color="auto" w:fill="auto"/>
              </w:tcPr>
              <w:p w:rsidR="004864EE" w:rsidRDefault="00AF639B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 xml:space="preserve">Rezultatas </w:t>
                </w:r>
              </w:p>
            </w:tc>
            <w:tc>
              <w:tcPr>
                <w:tcW w:w="4961" w:type="dxa"/>
                <w:vMerge w:val="restart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Pasirinkimo pagrindimas</w:t>
                </w:r>
              </w:p>
            </w:tc>
          </w:tr>
          <w:tr w:rsidR="004864EE">
            <w:trPr>
              <w:trHeight w:val="451"/>
            </w:trPr>
            <w:tc>
              <w:tcPr>
                <w:tcW w:w="673" w:type="dxa"/>
                <w:vMerge/>
                <w:shd w:val="clear" w:color="auto" w:fill="auto"/>
              </w:tcPr>
              <w:p w:rsidR="004864EE" w:rsidRDefault="004864EE">
                <w:pPr>
                  <w:tabs>
                    <w:tab w:val="left" w:pos="0"/>
                  </w:tabs>
                  <w:ind w:right="-465" w:firstLine="720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6502" w:type="dxa"/>
                <w:gridSpan w:val="3"/>
                <w:vMerge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30" w:type="dxa"/>
                <w:gridSpan w:val="2"/>
                <w:shd w:val="clear" w:color="auto" w:fill="auto"/>
              </w:tcPr>
              <w:p w:rsidR="004864EE" w:rsidRDefault="00AF639B">
                <w:pPr>
                  <w:jc w:val="center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Taip</w:t>
                </w:r>
              </w:p>
            </w:tc>
            <w:tc>
              <w:tcPr>
                <w:tcW w:w="708" w:type="dxa"/>
                <w:gridSpan w:val="2"/>
                <w:shd w:val="clear" w:color="auto" w:fill="auto"/>
              </w:tcPr>
              <w:p w:rsidR="004864EE" w:rsidRDefault="00AF639B">
                <w:pPr>
                  <w:jc w:val="center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Ne</w:t>
                </w:r>
              </w:p>
            </w:tc>
            <w:tc>
              <w:tcPr>
                <w:tcW w:w="1276" w:type="dxa"/>
                <w:gridSpan w:val="2"/>
                <w:shd w:val="clear" w:color="auto" w:fill="auto"/>
              </w:tcPr>
              <w:p w:rsidR="004864EE" w:rsidRDefault="00AF639B">
                <w:pPr>
                  <w:jc w:val="center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Netaikoma</w:t>
                </w:r>
              </w:p>
            </w:tc>
            <w:tc>
              <w:tcPr>
                <w:tcW w:w="4961" w:type="dxa"/>
                <w:vMerge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363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Ar pareiškėjas/projekto vykdytojas/partneris (-</w:t>
                </w:r>
                <w:proofErr w:type="spellStart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iai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)/ galutinis naudos gavėjas vykdo veiklą 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žuvininkystės ir akvakultūros sektoriuje, kuriam taikomas Tarybos (ES) reglamentas Nr. 1379/2013 ?</w:t>
                </w:r>
                <w:r>
                  <w:rPr>
                    <w:bCs/>
                    <w:color w:val="000000"/>
                    <w:sz w:val="22"/>
                    <w:szCs w:val="22"/>
                    <w:vertAlign w:val="superscript"/>
                    <w:lang w:eastAsia="lt-LT"/>
                  </w:rPr>
                  <w:footnoteReference w:id="3"/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4864EE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138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Ar pareiškėjas / projekto vykdytojas / partneris (-</w:t>
                </w:r>
                <w:proofErr w:type="spellStart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iai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)/ galutinis naudos gavėjas vykdo pirminės žemės ūkio produktų gamybos veiklą?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4864EE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138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Ar pareiškėjas / projekto vykdytojas / partneris (-</w:t>
                </w:r>
                <w:proofErr w:type="spellStart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iai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)/ galutinis naudos gavėjas veikia žemės ūkio produktų perdirbimo ir prekybos sektoriuje, kuriam pagalbos dydis nustatomas pagal iš 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pirminių gamintojų įsigytų arba atitinkamų įmonių rinkai pateiktų produktų kainą arba kiekį?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4864EE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802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Ar pareiškėjas / projekto vykdytojas / partneris (-</w:t>
                </w:r>
                <w:proofErr w:type="spellStart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iai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)/ galutinis naudos gavėjas veikia žemės ūkio produktų perdirbimo ir prekybos sektoriuje, kuriam pagalba priklauso nuo to, ar bus iš 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dalies arba visa perduota pirminiams gamintojams?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4864EE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275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Ar pagalba teikiama su eksportu susijusiai veiklai trečiosiose šalyse arba valstybėse narėse (t. y. veiklai tiesiogiai susijusiai su eksportuojamais kiekiais, platinimo tinklo kūrimu bei 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veikla, arba kitomis einamosiomis išlaidomis, susijusiomis su eksporto veikla)?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4864EE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338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Ar pareiškėjui / projekto vykdytojui/partneriui (-</w:t>
                </w:r>
                <w:proofErr w:type="spellStart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iams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)/ galutiniam naudos gavėjui teikiama pagalba priklauso nuo to, ar daugiau vartojama vietinių nei importuotų prekių?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4864EE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1903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Jei pareiškėjas / projekto vykdytojas/partneris (-</w:t>
                </w:r>
                <w:proofErr w:type="spellStart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iai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)/ galutinis naudos gavėjas vykdo veiklą 1–4 punktuose nurodytuose sektoriuose, tačiau kartu  bent viename sektoriuje, kuriam taikomas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reglamentas, ir pastarajam sektoriui pagalba teikiama, ar užtikrinama, kad tinkamomis priemonėmis, kaip antai atskiriant veiklos sritis ar sąnaudas, kad veiklai tuose sektoriuose, kuriems šis reglamentas netaikomas, nebūtų teikiama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pagalba, kuri teikiama pagal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reglamentą?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651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Ar pagalba yra (bus) naudojama krovinių vežimo keliais transporto priemonėms įsigyti?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4864EE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1026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Ar bendra vienai įmonei</w:t>
                </w:r>
                <w:r>
                  <w:rPr>
                    <w:bCs/>
                    <w:color w:val="000000"/>
                    <w:sz w:val="22"/>
                    <w:szCs w:val="22"/>
                    <w:vertAlign w:val="superscript"/>
                    <w:lang w:eastAsia="lt-LT"/>
                  </w:rPr>
                  <w:footnoteReference w:id="4"/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suteikta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pagalbos suma Lietuvoje viršija (ar konkrečiu atveju viršys suteikus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pagalbą) 200 000 EUR (krovinių vežimo keliais veiklais100 000 EUR) per bet kurį trejų finansinių metų laikotarpį?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4864EE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jc w:val="both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1779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Jei įmonė (pareiškėjas/projekto vykdytojas/partneris (-</w:t>
                </w:r>
                <w:proofErr w:type="spellStart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iai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)/ galutinis naudos gavėjas) vykdo krovinių vežimo keliais veiklą/</w:t>
                </w:r>
                <w:proofErr w:type="spellStart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poveiklę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samdos pagrindais arba už atlygį ir taip pat kitą vei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klą, kuriai taikoma 200 000 EUR viršutinė riba, ar užtikrinama, kad pagalba krovinių vežimo keliais veiklai neviršytų 100 000 EUR ir kad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pagalba nebūtų naudojama krovinių vežimo keliais transporto priemonėms įsigyti?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275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Jei dvi įmonės susijungė arba viena įsigijo kitą, ar apskaičiuojant, ar nauja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pagalba naujajai arba įsigyjančiajai įmonei viršija atitinkamą viršutinę ribą, atsižvelgta į visą ankstesnę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pagalbą, suteiktą bet kuriai iš susijungiančių į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monių?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1236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Jei viena įmonė suskaidyta į dvi ar daugiau atskirų įmonių, ar iki suskaidymo suteikta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pagalba priskiriama įmonei, kuri ja pasinaudojo. Jei toks priskyrimas neįmanomas, ar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pagalba proporcingai paskirstoma remiantis naujųjų įmonių nuos</w:t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>avo kapitalo balansine verte suskaidymo įsigaliojimo dieną?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698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rFonts w:eastAsia="Calibri"/>
                    <w:sz w:val="22"/>
                    <w:szCs w:val="22"/>
                    <w:lang w:val="pl-PL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rFonts w:eastAsia="Calibri"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Ar teikiamo finansavimo bendrasis subsidijos ekvivalentas apskaičiuotas tinkamai, teikiama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pagalba yra skaidri?</w:t>
                </w:r>
                <w:r>
                  <w:rPr>
                    <w:bCs/>
                    <w:color w:val="000000"/>
                    <w:sz w:val="22"/>
                    <w:szCs w:val="22"/>
                    <w:vertAlign w:val="superscript"/>
                    <w:lang w:eastAsia="lt-LT"/>
                  </w:rPr>
                  <w:footnoteReference w:id="5"/>
                </w: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color w:val="000000"/>
                    <w:sz w:val="20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4864EE">
                <w:pPr>
                  <w:jc w:val="center"/>
                  <w:rPr>
                    <w:rFonts w:ascii="Arial" w:eastAsia="Calibri" w:hAnsi="Arial" w:cs="Arial"/>
                    <w:color w:val="000000"/>
                    <w:sz w:val="20"/>
                  </w:rPr>
                </w:pP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34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520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rFonts w:eastAsia="Calibri"/>
                    <w:sz w:val="22"/>
                    <w:szCs w:val="22"/>
                    <w:lang w:val="pl-PL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rFonts w:eastAsia="Calibri"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Ar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pagalba sumuojama pagal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reglamento reikalavimus 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color w:val="000000"/>
                    <w:sz w:val="20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4864EE">
                <w:pPr>
                  <w:jc w:val="center"/>
                  <w:rPr>
                    <w:rFonts w:ascii="Arial" w:eastAsia="Calibri" w:hAnsi="Arial" w:cs="Arial"/>
                    <w:color w:val="000000"/>
                    <w:sz w:val="20"/>
                  </w:rPr>
                </w:pP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i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175"/>
            </w:trPr>
            <w:tc>
              <w:tcPr>
                <w:tcW w:w="673" w:type="dxa"/>
                <w:shd w:val="clear" w:color="auto" w:fill="auto"/>
              </w:tcPr>
              <w:p w:rsidR="004864EE" w:rsidRDefault="00AF639B">
                <w:pPr>
                  <w:ind w:right="-46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6502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Ar teikiama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pagalba patenka į </w:t>
                </w:r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 reglamento galiojimo laikotarpį?</w:t>
                </w:r>
              </w:p>
            </w:tc>
            <w:tc>
              <w:tcPr>
                <w:tcW w:w="73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eastAsia="Calibri" w:hAnsi="Arial" w:cs="Arial"/>
                    <w:sz w:val="20"/>
                    <w:lang w:eastAsia="lt-LT"/>
                  </w:rPr>
                </w:pP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eastAsia="Calibri" w:hAnsi="Arial" w:cs="Arial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8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1276" w:type="dxa"/>
                <w:gridSpan w:val="2"/>
                <w:shd w:val="clear" w:color="auto" w:fill="auto"/>
                <w:vAlign w:val="center"/>
              </w:tcPr>
              <w:p w:rsidR="004864EE" w:rsidRDefault="004864EE">
                <w:pPr>
                  <w:jc w:val="center"/>
                  <w:rPr>
                    <w:rFonts w:ascii="Arial" w:hAnsi="Arial" w:cs="Arial"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4961" w:type="dxa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c>
              <w:tcPr>
                <w:tcW w:w="14850" w:type="dxa"/>
                <w:gridSpan w:val="11"/>
                <w:shd w:val="clear" w:color="auto" w:fill="BFBFBF"/>
                <w:vAlign w:val="center"/>
              </w:tcPr>
              <w:p w:rsidR="004864EE" w:rsidRDefault="004864EE">
                <w:pPr>
                  <w:rPr>
                    <w:sz w:val="10"/>
                    <w:szCs w:val="10"/>
                  </w:rPr>
                </w:pPr>
              </w:p>
              <w:p w:rsidR="004864EE" w:rsidRDefault="00AF639B">
                <w:pPr>
                  <w:ind w:firstLine="72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 xml:space="preserve">III.  Išvada dėl atitikties </w:t>
                </w:r>
                <w:r>
                  <w:rPr>
                    <w:b/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b/>
                    <w:bCs/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 xml:space="preserve"> reglamente nustatytoms sąlygoms </w:t>
                </w:r>
              </w:p>
            </w:tc>
          </w:tr>
          <w:tr w:rsidR="004864EE">
            <w:trPr>
              <w:trHeight w:val="150"/>
            </w:trPr>
            <w:tc>
              <w:tcPr>
                <w:tcW w:w="753" w:type="dxa"/>
                <w:gridSpan w:val="2"/>
                <w:vMerge w:val="restart"/>
                <w:shd w:val="clear" w:color="auto" w:fill="auto"/>
              </w:tcPr>
              <w:p w:rsidR="004864EE" w:rsidRDefault="004864EE">
                <w:pPr>
                  <w:ind w:right="-465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6443" w:type="dxa"/>
                <w:gridSpan w:val="3"/>
                <w:vMerge w:val="restart"/>
                <w:shd w:val="clear" w:color="auto" w:fill="auto"/>
              </w:tcPr>
              <w:p w:rsidR="004864EE" w:rsidRDefault="00AF639B">
                <w:pPr>
                  <w:jc w:val="center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Klausimas</w:t>
                </w:r>
              </w:p>
            </w:tc>
            <w:tc>
              <w:tcPr>
                <w:tcW w:w="1559" w:type="dxa"/>
                <w:gridSpan w:val="4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Rezultatas</w:t>
                </w:r>
              </w:p>
            </w:tc>
            <w:tc>
              <w:tcPr>
                <w:tcW w:w="6095" w:type="dxa"/>
                <w:gridSpan w:val="2"/>
                <w:vMerge w:val="restart"/>
                <w:shd w:val="clear" w:color="auto" w:fill="auto"/>
              </w:tcPr>
              <w:p w:rsidR="004864EE" w:rsidRDefault="00AF639B">
                <w:pPr>
                  <w:ind w:firstLine="720"/>
                  <w:jc w:val="center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 xml:space="preserve">Pasirinkimo </w:t>
                </w:r>
                <w:r>
                  <w:rPr>
                    <w:b/>
                    <w:color w:val="000000"/>
                    <w:sz w:val="22"/>
                    <w:szCs w:val="22"/>
                    <w:lang w:eastAsia="lt-LT"/>
                  </w:rPr>
                  <w:t>pagrindimas/nustatytos rizikos</w:t>
                </w:r>
              </w:p>
            </w:tc>
          </w:tr>
          <w:tr w:rsidR="004864EE">
            <w:trPr>
              <w:trHeight w:val="195"/>
            </w:trPr>
            <w:tc>
              <w:tcPr>
                <w:tcW w:w="753" w:type="dxa"/>
                <w:gridSpan w:val="2"/>
                <w:vMerge/>
                <w:shd w:val="clear" w:color="auto" w:fill="auto"/>
              </w:tcPr>
              <w:p w:rsidR="004864EE" w:rsidRDefault="004864EE">
                <w:pPr>
                  <w:ind w:right="-465"/>
                  <w:rPr>
                    <w:bCs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6443" w:type="dxa"/>
                <w:gridSpan w:val="3"/>
                <w:vMerge/>
                <w:shd w:val="clear" w:color="auto" w:fill="auto"/>
              </w:tcPr>
              <w:p w:rsidR="004864EE" w:rsidRDefault="004864E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5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ind w:hanging="3"/>
                  <w:jc w:val="center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Taip</w:t>
                </w:r>
              </w:p>
            </w:tc>
            <w:tc>
              <w:tcPr>
                <w:tcW w:w="709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Ne</w:t>
                </w:r>
              </w:p>
            </w:tc>
            <w:tc>
              <w:tcPr>
                <w:tcW w:w="6095" w:type="dxa"/>
                <w:gridSpan w:val="2"/>
                <w:vMerge/>
                <w:shd w:val="clear" w:color="auto" w:fill="auto"/>
              </w:tcPr>
              <w:p w:rsidR="004864EE" w:rsidRDefault="004864EE">
                <w:pPr>
                  <w:ind w:firstLine="720"/>
                  <w:jc w:val="center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4864EE">
            <w:trPr>
              <w:trHeight w:val="507"/>
            </w:trPr>
            <w:tc>
              <w:tcPr>
                <w:tcW w:w="753" w:type="dxa"/>
                <w:gridSpan w:val="2"/>
                <w:shd w:val="clear" w:color="auto" w:fill="auto"/>
              </w:tcPr>
              <w:p w:rsidR="004864EE" w:rsidRDefault="00AF639B">
                <w:pPr>
                  <w:ind w:right="-465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color w:val="000000"/>
                    <w:sz w:val="22"/>
                    <w:szCs w:val="22"/>
                    <w:lang w:eastAsia="lt-LT"/>
                  </w:rPr>
                  <w:t xml:space="preserve">16. </w:t>
                </w:r>
              </w:p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6443" w:type="dxa"/>
                <w:gridSpan w:val="3"/>
                <w:shd w:val="clear" w:color="auto" w:fill="auto"/>
              </w:tcPr>
              <w:p w:rsidR="004864EE" w:rsidRDefault="00AF639B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Ar teikiamas finansavimas atitinka </w:t>
                </w:r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 xml:space="preserve">de </w:t>
                </w:r>
                <w:proofErr w:type="spellStart"/>
                <w:r>
                  <w:rPr>
                    <w:i/>
                    <w:color w:val="000000"/>
                    <w:sz w:val="22"/>
                    <w:szCs w:val="22"/>
                    <w:lang w:eastAsia="lt-LT"/>
                  </w:rPr>
                  <w:t>minimis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reglamentą? </w:t>
                </w:r>
              </w:p>
            </w:tc>
            <w:tc>
              <w:tcPr>
                <w:tcW w:w="850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ind w:hanging="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rFonts w:ascii="EYInterstate" w:hAnsi="EYInterstate" w:cs="EYInterstate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EYInterstate" w:hAnsi="EYInterstate" w:cs="EYInterstate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EYInterstate" w:hAnsi="EYInterstate" w:cs="EYInterstate"/>
                    <w:color w:val="000000"/>
                    <w:sz w:val="20"/>
                    <w:lang w:eastAsia="lt-LT"/>
                  </w:rPr>
                </w:r>
                <w:r>
                  <w:rPr>
                    <w:rFonts w:ascii="EYInterstate" w:hAnsi="EYInterstate" w:cs="EYInterstate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EYInterstate" w:hAnsi="EYInterstate" w:cs="EYInterstate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709" w:type="dxa"/>
                <w:gridSpan w:val="2"/>
                <w:shd w:val="clear" w:color="auto" w:fill="auto"/>
                <w:vAlign w:val="center"/>
              </w:tcPr>
              <w:p w:rsidR="004864EE" w:rsidRDefault="00AF639B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rFonts w:ascii="EYInterstate" w:hAnsi="EYInterstate" w:cs="EYInterstate"/>
                    <w:color w:val="000000"/>
                    <w:sz w:val="20"/>
                    <w:lang w:eastAsia="lt-LT"/>
                  </w:rPr>
                  <w:fldChar w:fldCharType="begin" w:fldLock="1">
                    <w:ffData>
                      <w:name w:val="Tikrinti2"/>
                      <w:enabled/>
                      <w:calcOnExit w:val="0"/>
                      <w:checkBox>
                        <w:sizeAuto/>
                        <w:default w:val="0"/>
                      </w:checkBox>
                    </w:ffData>
                  </w:fldChar>
                </w:r>
                <w:r>
                  <w:rPr>
                    <w:rFonts w:ascii="EYInterstate" w:hAnsi="EYInterstate" w:cs="EYInterstate"/>
                    <w:color w:val="000000"/>
                    <w:sz w:val="20"/>
                    <w:lang w:eastAsia="lt-LT"/>
                  </w:rPr>
                  <w:instrText xml:space="preserve"> FORMCHECKBOX </w:instrText>
                </w:r>
                <w:r>
                  <w:rPr>
                    <w:rFonts w:ascii="EYInterstate" w:hAnsi="EYInterstate" w:cs="EYInterstate"/>
                    <w:color w:val="000000"/>
                    <w:sz w:val="20"/>
                    <w:lang w:eastAsia="lt-LT"/>
                  </w:rPr>
                </w:r>
                <w:r>
                  <w:rPr>
                    <w:rFonts w:ascii="EYInterstate" w:hAnsi="EYInterstate" w:cs="EYInterstate"/>
                    <w:color w:val="000000"/>
                    <w:sz w:val="20"/>
                    <w:lang w:eastAsia="lt-LT"/>
                  </w:rPr>
                  <w:fldChar w:fldCharType="separate"/>
                </w:r>
                <w:r>
                  <w:rPr>
                    <w:rFonts w:ascii="EYInterstate" w:hAnsi="EYInterstate" w:cs="EYInterstate"/>
                    <w:color w:val="000000"/>
                    <w:sz w:val="20"/>
                    <w:lang w:eastAsia="lt-LT"/>
                  </w:rPr>
                  <w:fldChar w:fldCharType="end"/>
                </w:r>
              </w:p>
            </w:tc>
            <w:tc>
              <w:tcPr>
                <w:tcW w:w="6095" w:type="dxa"/>
                <w:gridSpan w:val="2"/>
                <w:shd w:val="clear" w:color="auto" w:fill="auto"/>
              </w:tcPr>
              <w:p w:rsidR="004864EE" w:rsidRDefault="004864EE">
                <w:pPr>
                  <w:ind w:firstLine="720"/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</w:tbl>
        <w:p w:rsidR="004864EE" w:rsidRDefault="004864EE">
          <w:pPr>
            <w:spacing w:line="276" w:lineRule="auto"/>
            <w:rPr>
              <w:rFonts w:ascii="Arial" w:eastAsia="Calibri" w:hAnsi="Arial" w:cs="Arial"/>
              <w:vanish/>
              <w:sz w:val="20"/>
              <w:lang w:val="pl-PL"/>
            </w:rPr>
          </w:pPr>
        </w:p>
        <w:tbl>
          <w:tblPr>
            <w:tblW w:w="11440" w:type="dxa"/>
            <w:tblBorders>
              <w:top w:val="nil"/>
              <w:left w:val="nil"/>
              <w:bottom w:val="nil"/>
              <w:right w:val="nil"/>
            </w:tblBorders>
            <w:tblLayout w:type="fixed"/>
            <w:tblLook w:val="0000" w:firstRow="0" w:lastRow="0" w:firstColumn="0" w:lastColumn="0" w:noHBand="0" w:noVBand="0"/>
          </w:tblPr>
          <w:tblGrid>
            <w:gridCol w:w="4928"/>
            <w:gridCol w:w="3255"/>
            <w:gridCol w:w="3257"/>
          </w:tblGrid>
          <w:tr w:rsidR="004864EE">
            <w:trPr>
              <w:trHeight w:val="322"/>
            </w:trPr>
            <w:tc>
              <w:tcPr>
                <w:tcW w:w="4928" w:type="dxa"/>
              </w:tcPr>
              <w:p w:rsidR="004864EE" w:rsidRDefault="004864EE">
                <w:pPr>
                  <w:rPr>
                    <w:rFonts w:eastAsia="Calibri"/>
                    <w:color w:val="000000"/>
                    <w:szCs w:val="24"/>
                  </w:rPr>
                </w:pPr>
              </w:p>
            </w:tc>
            <w:tc>
              <w:tcPr>
                <w:tcW w:w="3255" w:type="dxa"/>
              </w:tcPr>
              <w:p w:rsidR="004864EE" w:rsidRDefault="004864EE">
                <w:pPr>
                  <w:rPr>
                    <w:rFonts w:eastAsia="Calibri"/>
                    <w:color w:val="000000"/>
                    <w:szCs w:val="24"/>
                  </w:rPr>
                </w:pPr>
              </w:p>
            </w:tc>
            <w:tc>
              <w:tcPr>
                <w:tcW w:w="3257" w:type="dxa"/>
              </w:tcPr>
              <w:p w:rsidR="004864EE" w:rsidRDefault="004864EE">
                <w:pPr>
                  <w:rPr>
                    <w:rFonts w:eastAsia="Calibri"/>
                    <w:color w:val="000000"/>
                    <w:szCs w:val="24"/>
                  </w:rPr>
                </w:pPr>
              </w:p>
            </w:tc>
          </w:tr>
        </w:tbl>
        <w:p w:rsidR="004864EE" w:rsidRDefault="004864EE">
          <w:pPr>
            <w:tabs>
              <w:tab w:val="left" w:pos="6946"/>
            </w:tabs>
            <w:rPr>
              <w:rFonts w:eastAsia="Calibri" w:cs="Arial"/>
              <w:szCs w:val="24"/>
            </w:rPr>
          </w:pPr>
        </w:p>
        <w:p w:rsidR="004864EE" w:rsidRDefault="00AF639B">
          <w:pPr>
            <w:tabs>
              <w:tab w:val="left" w:pos="6946"/>
            </w:tabs>
            <w:rPr>
              <w:rFonts w:eastAsia="Calibri" w:cs="Arial"/>
              <w:szCs w:val="24"/>
            </w:rPr>
          </w:pPr>
          <w:r>
            <w:rPr>
              <w:rFonts w:eastAsia="Calibri" w:cs="Arial"/>
              <w:szCs w:val="24"/>
            </w:rPr>
            <w:t xml:space="preserve">_____________________________________ </w:t>
          </w:r>
          <w:r>
            <w:rPr>
              <w:rFonts w:eastAsia="Calibri" w:cs="Arial"/>
              <w:szCs w:val="24"/>
            </w:rPr>
            <w:tab/>
            <w:t>____________________</w:t>
          </w:r>
          <w:r>
            <w:rPr>
              <w:rFonts w:eastAsia="Calibri" w:cs="Arial"/>
              <w:szCs w:val="24"/>
            </w:rPr>
            <w:tab/>
          </w:r>
        </w:p>
        <w:p w:rsidR="004864EE" w:rsidRDefault="00AF639B">
          <w:pPr>
            <w:tabs>
              <w:tab w:val="left" w:pos="426"/>
              <w:tab w:val="left" w:pos="7797"/>
            </w:tabs>
            <w:spacing w:line="276" w:lineRule="auto"/>
            <w:ind w:firstLine="426"/>
            <w:rPr>
              <w:rFonts w:eastAsia="Calibri" w:cs="Arial"/>
              <w:sz w:val="22"/>
              <w:szCs w:val="22"/>
            </w:rPr>
          </w:pPr>
          <w:r>
            <w:rPr>
              <w:rFonts w:eastAsia="Calibri" w:cs="Arial"/>
              <w:sz w:val="22"/>
              <w:szCs w:val="22"/>
            </w:rPr>
            <w:t xml:space="preserve">(vertintojo pareigos, vardas, pavardė) </w:t>
          </w:r>
          <w:r>
            <w:rPr>
              <w:rFonts w:eastAsia="Calibri" w:cs="Arial"/>
              <w:sz w:val="22"/>
              <w:szCs w:val="22"/>
            </w:rPr>
            <w:tab/>
            <w:t xml:space="preserve">(parašas) </w:t>
          </w:r>
          <w:r>
            <w:rPr>
              <w:rFonts w:eastAsia="Calibri" w:cs="Arial"/>
              <w:sz w:val="22"/>
              <w:szCs w:val="22"/>
            </w:rPr>
            <w:tab/>
          </w:r>
        </w:p>
      </w:sdtContent>
    </w:sdt>
    <w:sectPr w:rsidR="004864E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440" w:right="1080" w:bottom="1440" w:left="1080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64EE" w:rsidRDefault="00AF639B">
      <w:pPr>
        <w:rPr>
          <w:rFonts w:ascii="Arial" w:eastAsia="Calibri" w:hAnsi="Arial" w:cs="Arial"/>
          <w:sz w:val="20"/>
          <w:lang w:val="pl-PL"/>
        </w:rPr>
      </w:pPr>
      <w:r>
        <w:rPr>
          <w:rFonts w:ascii="Arial" w:eastAsia="Calibri" w:hAnsi="Arial" w:cs="Arial"/>
          <w:sz w:val="20"/>
          <w:lang w:val="pl-PL"/>
        </w:rPr>
        <w:separator/>
      </w:r>
    </w:p>
  </w:endnote>
  <w:endnote w:type="continuationSeparator" w:id="0">
    <w:p w:rsidR="004864EE" w:rsidRDefault="00AF639B">
      <w:pPr>
        <w:rPr>
          <w:rFonts w:ascii="Arial" w:eastAsia="Calibri" w:hAnsi="Arial" w:cs="Arial"/>
          <w:sz w:val="20"/>
          <w:lang w:val="pl-PL"/>
        </w:rPr>
      </w:pPr>
      <w:r>
        <w:rPr>
          <w:rFonts w:ascii="Arial" w:eastAsia="Calibri" w:hAnsi="Arial" w:cs="Arial"/>
          <w:sz w:val="20"/>
          <w:lang w:val="pl-PL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EYInterstate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4EE" w:rsidRDefault="004864EE">
    <w:pPr>
      <w:tabs>
        <w:tab w:val="center" w:pos="4819"/>
        <w:tab w:val="right" w:pos="9638"/>
      </w:tabs>
      <w:spacing w:after="200" w:line="276" w:lineRule="auto"/>
      <w:rPr>
        <w:rFonts w:ascii="Arial" w:eastAsia="Calibri" w:hAnsi="Arial" w:cs="Arial"/>
        <w:sz w:val="20"/>
        <w:lang w:val="pl-P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4EE" w:rsidRDefault="004864EE">
    <w:pPr>
      <w:tabs>
        <w:tab w:val="center" w:pos="4819"/>
        <w:tab w:val="right" w:pos="9638"/>
      </w:tabs>
      <w:spacing w:after="200" w:line="276" w:lineRule="auto"/>
      <w:rPr>
        <w:rFonts w:ascii="Arial" w:eastAsia="Calibri" w:hAnsi="Arial" w:cs="Arial"/>
        <w:sz w:val="20"/>
        <w:lang w:val="pl-P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4EE" w:rsidRDefault="004864EE">
    <w:pPr>
      <w:tabs>
        <w:tab w:val="center" w:pos="4819"/>
        <w:tab w:val="right" w:pos="9638"/>
      </w:tabs>
      <w:spacing w:after="200" w:line="276" w:lineRule="auto"/>
      <w:rPr>
        <w:rFonts w:ascii="Arial" w:eastAsia="Calibri" w:hAnsi="Arial" w:cs="Arial"/>
        <w:sz w:val="20"/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64EE" w:rsidRDefault="00AF639B">
      <w:pPr>
        <w:rPr>
          <w:rFonts w:ascii="Arial" w:eastAsia="Calibri" w:hAnsi="Arial" w:cs="Arial"/>
          <w:sz w:val="20"/>
          <w:lang w:val="pl-PL"/>
        </w:rPr>
      </w:pPr>
      <w:r>
        <w:rPr>
          <w:rFonts w:ascii="Arial" w:eastAsia="Calibri" w:hAnsi="Arial" w:cs="Arial"/>
          <w:sz w:val="20"/>
          <w:lang w:val="pl-PL"/>
        </w:rPr>
        <w:separator/>
      </w:r>
    </w:p>
  </w:footnote>
  <w:footnote w:type="continuationSeparator" w:id="0">
    <w:p w:rsidR="004864EE" w:rsidRDefault="00AF639B">
      <w:pPr>
        <w:rPr>
          <w:rFonts w:ascii="Arial" w:eastAsia="Calibri" w:hAnsi="Arial" w:cs="Arial"/>
          <w:sz w:val="20"/>
          <w:lang w:val="pl-PL"/>
        </w:rPr>
      </w:pPr>
      <w:r>
        <w:rPr>
          <w:rFonts w:ascii="Arial" w:eastAsia="Calibri" w:hAnsi="Arial" w:cs="Arial"/>
          <w:sz w:val="20"/>
          <w:lang w:val="pl-PL"/>
        </w:rPr>
        <w:continuationSeparator/>
      </w:r>
    </w:p>
  </w:footnote>
  <w:footnote w:id="1">
    <w:p w:rsidR="004864EE" w:rsidRDefault="00AF639B">
      <w:pPr>
        <w:suppressAutoHyphens/>
        <w:rPr>
          <w:sz w:val="20"/>
          <w:lang w:eastAsia="ar-SA"/>
        </w:rPr>
      </w:pPr>
      <w:r>
        <w:rPr>
          <w:sz w:val="20"/>
          <w:vertAlign w:val="superscript"/>
          <w:lang w:val="en-GB" w:eastAsia="ar-SA"/>
        </w:rPr>
        <w:footnoteRef/>
      </w:r>
      <w:r>
        <w:rPr>
          <w:sz w:val="20"/>
          <w:lang w:val="en-GB" w:eastAsia="ar-SA"/>
        </w:rPr>
        <w:t xml:space="preserve"> </w:t>
      </w:r>
      <w:r>
        <w:rPr>
          <w:sz w:val="20"/>
          <w:lang w:eastAsia="ar-SA"/>
        </w:rPr>
        <w:t>Remiantis 2020 m. liepos 2 d. Komisijos reglamentu (ES) 2020/972, kuriuo iš dalies keičiant Reglamentą (ES) Nr. 1407/2013 pratęsiamas jo galiojimas ir iš dalies keičiant Reglamentą (ES) Nr. 651/2014 pratęsiamas jo galiojimas ir įtraukiami patikslinimai (to</w:t>
      </w:r>
      <w:r>
        <w:rPr>
          <w:sz w:val="20"/>
          <w:lang w:eastAsia="ar-SA"/>
        </w:rPr>
        <w:t xml:space="preserve">liau – </w:t>
      </w:r>
      <w:r>
        <w:rPr>
          <w:i/>
          <w:iCs/>
          <w:sz w:val="20"/>
          <w:lang w:eastAsia="ar-SA"/>
        </w:rPr>
        <w:t xml:space="preserve">de </w:t>
      </w:r>
      <w:proofErr w:type="spellStart"/>
      <w:r>
        <w:rPr>
          <w:i/>
          <w:iCs/>
          <w:sz w:val="20"/>
          <w:lang w:eastAsia="ar-SA"/>
        </w:rPr>
        <w:t>minimis</w:t>
      </w:r>
      <w:proofErr w:type="spellEnd"/>
      <w:r>
        <w:rPr>
          <w:i/>
          <w:iCs/>
          <w:sz w:val="20"/>
          <w:lang w:eastAsia="ar-SA"/>
        </w:rPr>
        <w:t xml:space="preserve"> </w:t>
      </w:r>
      <w:r>
        <w:rPr>
          <w:sz w:val="20"/>
          <w:lang w:eastAsia="ar-SA"/>
        </w:rPr>
        <w:t>reglamentas).</w:t>
      </w:r>
    </w:p>
  </w:footnote>
  <w:footnote w:id="2">
    <w:p w:rsidR="004864EE" w:rsidRDefault="00AF639B">
      <w:pPr>
        <w:suppressAutoHyphens/>
        <w:rPr>
          <w:sz w:val="20"/>
          <w:lang w:eastAsia="ar-SA"/>
        </w:rPr>
      </w:pPr>
      <w:r>
        <w:rPr>
          <w:sz w:val="20"/>
          <w:vertAlign w:val="superscript"/>
          <w:lang w:eastAsia="ar-SA"/>
        </w:rPr>
        <w:footnoteRef/>
      </w:r>
      <w:r>
        <w:rPr>
          <w:i/>
          <w:iCs/>
          <w:sz w:val="20"/>
          <w:lang w:eastAsia="ar-SA"/>
        </w:rPr>
        <w:t xml:space="preserve">De </w:t>
      </w:r>
      <w:proofErr w:type="spellStart"/>
      <w:r>
        <w:rPr>
          <w:i/>
          <w:iCs/>
          <w:sz w:val="20"/>
          <w:lang w:eastAsia="ar-SA"/>
        </w:rPr>
        <w:t>minimis</w:t>
      </w:r>
      <w:proofErr w:type="spellEnd"/>
      <w:r>
        <w:rPr>
          <w:sz w:val="20"/>
          <w:lang w:eastAsia="ar-SA"/>
        </w:rPr>
        <w:t xml:space="preserve"> reglamentas</w:t>
      </w:r>
    </w:p>
  </w:footnote>
  <w:footnote w:id="3">
    <w:p w:rsidR="004864EE" w:rsidRDefault="00AF639B">
      <w:pPr>
        <w:suppressAutoHyphens/>
        <w:rPr>
          <w:sz w:val="20"/>
          <w:lang w:eastAsia="ar-SA"/>
        </w:rPr>
      </w:pPr>
      <w:r>
        <w:rPr>
          <w:sz w:val="20"/>
          <w:vertAlign w:val="superscript"/>
          <w:lang w:eastAsia="ar-SA"/>
        </w:rPr>
        <w:footnoteRef/>
      </w:r>
      <w:r>
        <w:rPr>
          <w:sz w:val="20"/>
          <w:lang w:eastAsia="ar-SA"/>
        </w:rPr>
        <w:t xml:space="preserve"> </w:t>
      </w:r>
      <w:r>
        <w:rPr>
          <w:sz w:val="20"/>
          <w:lang w:eastAsia="ar-SA"/>
        </w:rPr>
        <w:t>2013 m. gruodžio 11 d. Europos Parlamento ir Tarybos reglamentas (ES) Nr. 1379/2013 dėl bendro žvejybos ir akvakultūros produktų rinkų organizavimo, kuriuo iš dalies keičiami Tarybos reglamentai (EB</w:t>
      </w:r>
      <w:r>
        <w:rPr>
          <w:sz w:val="20"/>
          <w:lang w:eastAsia="ar-SA"/>
        </w:rPr>
        <w:t xml:space="preserve">) Nr. 1184/2006 ir (EB) Nr. 1224/2009 ir panaikinamas Tarybos reglamentas (EB) Nr. 104/2000. </w:t>
      </w:r>
    </w:p>
  </w:footnote>
  <w:footnote w:id="4">
    <w:p w:rsidR="004864EE" w:rsidRDefault="00AF639B">
      <w:pPr>
        <w:suppressAutoHyphens/>
        <w:rPr>
          <w:sz w:val="20"/>
          <w:lang w:eastAsia="ar-SA"/>
        </w:rPr>
      </w:pPr>
      <w:r>
        <w:rPr>
          <w:sz w:val="20"/>
          <w:vertAlign w:val="superscript"/>
          <w:lang w:val="en-GB" w:eastAsia="ar-SA"/>
        </w:rPr>
        <w:footnoteRef/>
      </w:r>
      <w:r>
        <w:rPr>
          <w:sz w:val="20"/>
          <w:lang w:val="en-GB" w:eastAsia="ar-SA"/>
        </w:rPr>
        <w:t xml:space="preserve"> </w:t>
      </w:r>
      <w:r>
        <w:rPr>
          <w:i/>
          <w:iCs/>
          <w:sz w:val="20"/>
          <w:lang w:val="en-GB" w:eastAsia="ar-SA"/>
        </w:rPr>
        <w:t xml:space="preserve">De </w:t>
      </w:r>
      <w:proofErr w:type="spellStart"/>
      <w:r>
        <w:rPr>
          <w:i/>
          <w:iCs/>
          <w:sz w:val="20"/>
          <w:lang w:val="en-GB" w:eastAsia="ar-SA"/>
        </w:rPr>
        <w:t>minimis</w:t>
      </w:r>
      <w:proofErr w:type="spellEnd"/>
      <w:r>
        <w:rPr>
          <w:sz w:val="20"/>
          <w:lang w:val="en-GB" w:eastAsia="ar-SA"/>
        </w:rPr>
        <w:t xml:space="preserve"> </w:t>
      </w:r>
      <w:proofErr w:type="spellStart"/>
      <w:r>
        <w:rPr>
          <w:sz w:val="20"/>
          <w:lang w:val="en-GB" w:eastAsia="ar-SA"/>
        </w:rPr>
        <w:t>reglamentas</w:t>
      </w:r>
      <w:proofErr w:type="spellEnd"/>
      <w:r>
        <w:rPr>
          <w:sz w:val="20"/>
          <w:lang w:val="en-GB" w:eastAsia="ar-SA"/>
        </w:rPr>
        <w:t>.</w:t>
      </w:r>
    </w:p>
  </w:footnote>
  <w:footnote w:id="5">
    <w:p w:rsidR="004864EE" w:rsidRDefault="00AF639B">
      <w:pPr>
        <w:suppressAutoHyphens/>
        <w:rPr>
          <w:sz w:val="20"/>
          <w:lang w:val="en-US" w:eastAsia="ar-SA"/>
        </w:rPr>
      </w:pPr>
      <w:r>
        <w:rPr>
          <w:sz w:val="20"/>
          <w:vertAlign w:val="superscript"/>
          <w:lang w:val="en-GB" w:eastAsia="ar-SA"/>
        </w:rPr>
        <w:footnoteRef/>
      </w:r>
      <w:r>
        <w:rPr>
          <w:sz w:val="20"/>
          <w:lang w:val="en-GB" w:eastAsia="ar-SA"/>
        </w:rPr>
        <w:t xml:space="preserve"> </w:t>
      </w:r>
      <w:r>
        <w:rPr>
          <w:i/>
          <w:iCs/>
          <w:sz w:val="20"/>
          <w:lang w:val="en-GB" w:eastAsia="ar-SA"/>
        </w:rPr>
        <w:t xml:space="preserve">De </w:t>
      </w:r>
      <w:proofErr w:type="spellStart"/>
      <w:r>
        <w:rPr>
          <w:i/>
          <w:iCs/>
          <w:sz w:val="20"/>
          <w:lang w:val="en-GB" w:eastAsia="ar-SA"/>
        </w:rPr>
        <w:t>minimis</w:t>
      </w:r>
      <w:proofErr w:type="spellEnd"/>
      <w:r>
        <w:rPr>
          <w:sz w:val="20"/>
          <w:lang w:val="en-GB" w:eastAsia="ar-SA"/>
        </w:rPr>
        <w:t xml:space="preserve"> </w:t>
      </w:r>
      <w:proofErr w:type="spellStart"/>
      <w:r>
        <w:rPr>
          <w:sz w:val="20"/>
          <w:lang w:val="en-GB" w:eastAsia="ar-SA"/>
        </w:rPr>
        <w:t>reglamentas</w:t>
      </w:r>
      <w:proofErr w:type="spellEnd"/>
      <w:r>
        <w:rPr>
          <w:sz w:val="20"/>
          <w:lang w:val="en-GB" w:eastAsia="ar-SA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4EE" w:rsidRDefault="004864EE">
    <w:pPr>
      <w:tabs>
        <w:tab w:val="center" w:pos="4153"/>
        <w:tab w:val="right" w:pos="8306"/>
      </w:tabs>
      <w:suppressAutoHyphens/>
      <w:spacing w:before="60" w:after="60"/>
      <w:rPr>
        <w:b/>
        <w:sz w:val="20"/>
        <w:lang w:eastAsia="ar-S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4EE" w:rsidRDefault="00AF639B">
    <w:pPr>
      <w:tabs>
        <w:tab w:val="center" w:pos="4153"/>
        <w:tab w:val="right" w:pos="8306"/>
      </w:tabs>
      <w:suppressAutoHyphens/>
      <w:spacing w:before="60" w:after="60"/>
      <w:jc w:val="center"/>
      <w:rPr>
        <w:b/>
        <w:sz w:val="20"/>
        <w:lang w:eastAsia="ar-SA"/>
      </w:rPr>
    </w:pPr>
    <w:r>
      <w:rPr>
        <w:b/>
        <w:sz w:val="20"/>
        <w:lang w:eastAsia="ar-SA"/>
      </w:rPr>
      <w:fldChar w:fldCharType="begin"/>
    </w:r>
    <w:r>
      <w:rPr>
        <w:b/>
        <w:sz w:val="20"/>
        <w:lang w:eastAsia="ar-SA"/>
      </w:rPr>
      <w:instrText>PAGE   \* MERGEFORMAT</w:instrText>
    </w:r>
    <w:r>
      <w:rPr>
        <w:b/>
        <w:sz w:val="20"/>
        <w:lang w:eastAsia="ar-SA"/>
      </w:rPr>
      <w:fldChar w:fldCharType="separate"/>
    </w:r>
    <w:r>
      <w:rPr>
        <w:b/>
        <w:noProof/>
        <w:sz w:val="20"/>
        <w:lang w:eastAsia="ar-SA"/>
      </w:rPr>
      <w:t>4</w:t>
    </w:r>
    <w:r>
      <w:rPr>
        <w:b/>
        <w:sz w:val="20"/>
        <w:lang w:eastAsia="ar-SA"/>
      </w:rPr>
      <w:fldChar w:fldCharType="end"/>
    </w:r>
  </w:p>
  <w:p w:rsidR="004864EE" w:rsidRDefault="004864EE">
    <w:pPr>
      <w:tabs>
        <w:tab w:val="center" w:pos="4153"/>
        <w:tab w:val="right" w:pos="8306"/>
      </w:tabs>
      <w:suppressAutoHyphens/>
      <w:spacing w:before="60" w:after="60"/>
      <w:rPr>
        <w:b/>
        <w:sz w:val="20"/>
        <w:lang w:eastAsia="ar-S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4EE" w:rsidRDefault="004864EE">
    <w:pPr>
      <w:tabs>
        <w:tab w:val="center" w:pos="4153"/>
        <w:tab w:val="right" w:pos="8306"/>
      </w:tabs>
      <w:suppressAutoHyphens/>
      <w:spacing w:before="60" w:after="60"/>
      <w:rPr>
        <w:b/>
        <w:sz w:val="20"/>
        <w:lang w:eastAsia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1296"/>
  <w:hyphenationZone w:val="396"/>
  <w:doNotHyphenateCaps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363D"/>
    <w:rsid w:val="004864EE"/>
    <w:rsid w:val="00AF639B"/>
    <w:rsid w:val="00CE3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F7ABCF-87E4-403C-9F17-AD9C24183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24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7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Parts xmlns="http://lrs.lt/TAIS/DocParts">
  <Part Type="priedas" Nr="5" Abbr="5 pr." Title="ATITIKTIES DE MINIMIS PAGALBOS TAISYKLĖMS PATIKROS LAPAS" DocPartId="ce96df42a1e04b6e929e28e7f5e8db5e" PartId="f294b83db46d49a99a33b54290bef258"/>
</Part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947ACE-B736-442E-86F9-2BB9AC4EA0B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65CE7C0-12A5-4D6C-8930-84D693FF2B5A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2435F02-09C1-4952-B8F5-09F1117DA7B8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0B952C62-3DB4-4486-942A-49B1B143B3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917421AE-3F2B-40A0-85AE-B574902F7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3286</Words>
  <Characters>1874</Characters>
  <Application>Microsoft Office Word</Application>
  <DocSecurity>0</DocSecurity>
  <Lines>15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3ad3e5d4-1c70-41fa-a266-48fefd95cd3a</vt:lpstr>
      <vt:lpstr/>
    </vt:vector>
  </TitlesOfParts>
  <Company>LVPA</Company>
  <LinksUpToDate>false</LinksUpToDate>
  <CharactersWithSpaces>5150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3ad3e5d4-1c70-41fa-a266-48fefd95cd3a</dc:title>
  <dc:creator>I.Paukstys</dc:creator>
  <cp:lastModifiedBy>DRAZDAUSKIENĖ Nijolė</cp:lastModifiedBy>
  <cp:revision>2</cp:revision>
  <dcterms:created xsi:type="dcterms:W3CDTF">2022-09-15T12:04:00Z</dcterms:created>
  <dcterms:modified xsi:type="dcterms:W3CDTF">2022-09-15T12:04:00Z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