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0 pr."/>
        <w:tag w:val="part_2ab81924822d4ce19201b436c7f8dc83"/>
        <w:lock w:val="sdtLocked"/>
        <w:richText/>
      </w:sdtPr>
      <w:sdtContent>
        <w:p>
          <w:pPr>
            <w:tabs>
              <w:tab w:val="center" w:pos="4819"/>
              <w:tab w:val="right" w:pos="9638"/>
            </w:tabs>
          </w:pPr>
        </w:p>
        <w:p>
          <w:pPr>
            <w:tabs>
              <w:tab w:val="center" w:pos="4986"/>
              <w:tab w:val="right" w:pos="9972"/>
            </w:tabs>
          </w:pPr>
        </w:p>
        <w:p>
          <w:pPr>
            <w:tabs>
              <w:tab w:val="center" w:pos="4819"/>
              <w:tab w:val="right" w:pos="9638"/>
            </w:tabs>
          </w:pPr>
        </w:p>
        <w:p>
          <w:pPr>
            <w:ind w:left="9639"/>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pPr>
            <w:ind w:left="9639"/>
            <w:jc w:val="both"/>
            <w:rPr>
              <w:szCs w:val="24"/>
            </w:rPr>
          </w:pPr>
          <w:sdt>
            <w:sdtPr>
              <w:alias w:val="Numeris"/>
              <w:tag w:val="nr_2ab81924822d4ce19201b436c7f8dc83"/>
              <w:lock w:val="sdtLocked"/>
              <w:richText/>
            </w:sdtPr>
            <w:sdtContent>
              <w:r>
                <w:rPr>
                  <w:szCs w:val="24"/>
                </w:rPr>
                <w:t>10</w:t>
              </w:r>
            </w:sdtContent>
          </w:sdt>
          <w:r>
            <w:rPr>
              <w:szCs w:val="24"/>
            </w:rPr>
            <w:t xml:space="preserve"> priedas</w:t>
          </w:r>
        </w:p>
        <w:p>
          <w:pPr>
            <w:jc w:val="center"/>
            <w:rPr>
              <w:i/>
              <w:szCs w:val="24"/>
            </w:rPr>
          </w:pPr>
        </w:p>
        <w:p>
          <w:pPr>
            <w:jc w:val="center"/>
            <w:rPr>
              <w:i/>
              <w:szCs w:val="24"/>
            </w:rPr>
          </w:pPr>
        </w:p>
        <w:p>
          <w:pPr>
            <w:ind w:firstLine="62"/>
            <w:jc w:val="center"/>
            <w:rPr>
              <w:szCs w:val="24"/>
            </w:rPr>
          </w:pPr>
          <w:sdt>
            <w:sdtPr>
              <w:alias w:val="Pavadinimas"/>
              <w:tag w:val="title_2ab81924822d4ce19201b436c7f8dc83"/>
              <w:lock w:val="sdtLocked"/>
              <w:richText/>
            </w:sdtPr>
            <w:sdtContent>
              <w:r>
                <w:rPr>
                  <w:b/>
                  <w:szCs w:val="24"/>
                </w:rPr>
                <w:t xml:space="preserve">2022–2030 METŲ </w:t>
              </w:r>
              <w:r>
                <w:rPr>
                  <w:b/>
                  <w:bCs/>
                  <w:szCs w:val="24"/>
                </w:rPr>
                <w:t>SVEIKATOS PRIEŽIŪROS KOKYBĖS IR EFEKTYVUMO DIDINIMO PLĖTROS PROGRAMOS PAŽANGOS PRIEMONĖS NR. 11-002-02-11-01 „GERINTI SVEIKATOS PRIEŽIŪROS PASLAUGŲ KOKYBĘ IR PRIEINAMUMĄ“ PROJEKTŲ FINANSAVIMO SĄLYGŲ APRAŠAS Nr. 10</w:t>
              </w:r>
            </w:sdtContent>
          </w:sdt>
        </w:p>
        <w:p>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tc>
              <w:tcPr>
                <w:tcW w:w="15155" w:type="dxa"/>
                <w:gridSpan w:val="13"/>
                <w:vAlign w:val="center"/>
              </w:tcPr>
              <w:p>
                <w:pPr>
                  <w:jc w:val="center"/>
                  <w:rPr>
                    <w:b/>
                    <w:sz w:val="22"/>
                    <w:szCs w:val="22"/>
                  </w:rPr>
                </w:pPr>
                <w:r>
                  <w:rPr>
                    <w:b/>
                    <w:sz w:val="22"/>
                    <w:szCs w:val="22"/>
                  </w:rPr>
                  <w:t>VEIKLOS AR POVEIKLĖS, KURIOMS NUSTATOMOS PROJEKTŲ FINANSAVIMO SĄLYGOS</w:t>
                </w:r>
              </w:p>
            </w:tc>
          </w:tr>
          <w:tr>
            <w:tc>
              <w:tcPr>
                <w:tcW w:w="1110" w:type="dxa"/>
                <w:vAlign w:val="center"/>
              </w:tcPr>
              <w:p>
                <w:pPr>
                  <w:jc w:val="center"/>
                  <w:rPr>
                    <w:b/>
                    <w:sz w:val="20"/>
                  </w:rPr>
                </w:pPr>
                <w:r>
                  <w:rPr>
                    <w:b/>
                    <w:sz w:val="20"/>
                  </w:rPr>
                  <w:t>Veiklos ar poveiklės pavadini-mas</w:t>
                </w:r>
              </w:p>
            </w:tc>
            <w:tc>
              <w:tcPr>
                <w:tcW w:w="1125" w:type="dxa"/>
                <w:vAlign w:val="center"/>
              </w:tcPr>
              <w:p>
                <w:pPr>
                  <w:jc w:val="center"/>
                  <w:rPr>
                    <w:b/>
                    <w:sz w:val="20"/>
                  </w:rPr>
                </w:pPr>
                <w:r>
                  <w:rPr>
                    <w:b/>
                    <w:sz w:val="20"/>
                  </w:rPr>
                  <w:t>Finansa-vimo šaltinis</w:t>
                </w:r>
              </w:p>
            </w:tc>
            <w:tc>
              <w:tcPr>
                <w:tcW w:w="1236" w:type="dxa"/>
                <w:vAlign w:val="center"/>
              </w:tcPr>
              <w:p>
                <w:pPr>
                  <w:jc w:val="center"/>
                  <w:rPr>
                    <w:b/>
                    <w:sz w:val="20"/>
                  </w:rPr>
                </w:pPr>
                <w:r>
                  <w:rPr>
                    <w:b/>
                    <w:bCs/>
                    <w:sz w:val="20"/>
                  </w:rPr>
                  <w:t>Prioritetas ar komponen-tas</w:t>
                </w:r>
              </w:p>
            </w:tc>
            <w:tc>
              <w:tcPr>
                <w:tcW w:w="1134" w:type="dxa"/>
                <w:vAlign w:val="center"/>
              </w:tcPr>
              <w:p>
                <w:pPr>
                  <w:jc w:val="center"/>
                  <w:rPr>
                    <w:b/>
                    <w:sz w:val="20"/>
                  </w:rPr>
                </w:pPr>
                <w:r>
                  <w:rPr>
                    <w:b/>
                    <w:bCs/>
                    <w:sz w:val="20"/>
                  </w:rPr>
                  <w:t>Uždavi-nys ar priemonė</w:t>
                </w:r>
              </w:p>
            </w:tc>
            <w:tc>
              <w:tcPr>
                <w:tcW w:w="1134" w:type="dxa"/>
                <w:vAlign w:val="center"/>
              </w:tcPr>
              <w:p>
                <w:pPr>
                  <w:jc w:val="center"/>
                  <w:rPr>
                    <w:b/>
                    <w:sz w:val="20"/>
                  </w:rPr>
                </w:pPr>
                <w:r>
                  <w:rPr>
                    <w:b/>
                    <w:bCs/>
                    <w:sz w:val="20"/>
                  </w:rPr>
                  <w:t>Veikla ar paprie-monė</w:t>
                </w:r>
              </w:p>
            </w:tc>
            <w:tc>
              <w:tcPr>
                <w:tcW w:w="1457" w:type="dxa"/>
                <w:vAlign w:val="center"/>
              </w:tcPr>
              <w:p>
                <w:pPr>
                  <w:jc w:val="center"/>
                  <w:rPr>
                    <w:b/>
                    <w:sz w:val="20"/>
                  </w:rPr>
                </w:pPr>
                <w:r>
                  <w:rPr>
                    <w:b/>
                    <w:sz w:val="20"/>
                  </w:rPr>
                  <w:t>Intervencinės priemonės kodas</w:t>
                </w:r>
              </w:p>
            </w:tc>
            <w:tc>
              <w:tcPr>
                <w:tcW w:w="1344" w:type="dxa"/>
                <w:vAlign w:val="center"/>
              </w:tcPr>
              <w:p>
                <w:pPr>
                  <w:jc w:val="center"/>
                  <w:rPr>
                    <w:b/>
                    <w:bCs/>
                    <w:sz w:val="20"/>
                  </w:rPr>
                </w:pPr>
                <w:r>
                  <w:rPr>
                    <w:b/>
                    <w:sz w:val="20"/>
                  </w:rPr>
                  <w:t>Regionas, kuriam priskiriama veikla ar poveiklė</w:t>
                </w:r>
              </w:p>
            </w:tc>
            <w:tc>
              <w:tcPr>
                <w:tcW w:w="1080" w:type="dxa"/>
                <w:vAlign w:val="center"/>
              </w:tcPr>
              <w:p>
                <w:pPr>
                  <w:jc w:val="center"/>
                  <w:rPr>
                    <w:b/>
                    <w:sz w:val="20"/>
                  </w:rPr>
                </w:pPr>
                <w:r>
                  <w:rPr>
                    <w:b/>
                    <w:bCs/>
                    <w:sz w:val="20"/>
                  </w:rPr>
                  <w:t>Paramos formos kodas</w:t>
                </w:r>
              </w:p>
            </w:tc>
            <w:tc>
              <w:tcPr>
                <w:tcW w:w="1344" w:type="dxa"/>
                <w:vAlign w:val="center"/>
              </w:tcPr>
              <w:p>
                <w:pPr>
                  <w:jc w:val="center"/>
                  <w:rPr>
                    <w:b/>
                    <w:sz w:val="20"/>
                  </w:rPr>
                </w:pPr>
                <w:r>
                  <w:rPr>
                    <w:b/>
                    <w:bCs/>
                    <w:sz w:val="20"/>
                  </w:rPr>
                  <w:t>Pagrindinės teritorinės srities kodas (-ai)</w:t>
                </w:r>
              </w:p>
            </w:tc>
            <w:tc>
              <w:tcPr>
                <w:tcW w:w="1051" w:type="dxa"/>
                <w:vAlign w:val="center"/>
              </w:tcPr>
              <w:p>
                <w:pPr>
                  <w:jc w:val="center"/>
                  <w:rPr>
                    <w:b/>
                    <w:bCs/>
                    <w:sz w:val="20"/>
                  </w:rPr>
                </w:pPr>
                <w:r>
                  <w:rPr>
                    <w:b/>
                    <w:bCs/>
                    <w:sz w:val="20"/>
                  </w:rPr>
                  <w:t xml:space="preserve">Ekono-minės veiklos kodas </w:t>
                </w:r>
              </w:p>
              <w:p>
                <w:pPr>
                  <w:jc w:val="center"/>
                  <w:rPr>
                    <w:b/>
                    <w:sz w:val="20"/>
                  </w:rPr>
                </w:pPr>
                <w:r>
                  <w:rPr>
                    <w:b/>
                    <w:bCs/>
                    <w:sz w:val="20"/>
                  </w:rPr>
                  <w:t>(-ai)</w:t>
                </w:r>
              </w:p>
            </w:tc>
            <w:tc>
              <w:tcPr>
                <w:tcW w:w="1132" w:type="dxa"/>
                <w:vAlign w:val="center"/>
              </w:tcPr>
              <w:p>
                <w:pPr>
                  <w:jc w:val="center"/>
                  <w:rPr>
                    <w:b/>
                    <w:bCs/>
                    <w:sz w:val="20"/>
                  </w:rPr>
                </w:pPr>
                <w:r>
                  <w:rPr>
                    <w:b/>
                    <w:bCs/>
                    <w:sz w:val="20"/>
                  </w:rPr>
                  <w:t>„Europos socialinio fondo +“ (toliau – ESF+) antrinių temų kodai</w:t>
                </w:r>
              </w:p>
            </w:tc>
            <w:tc>
              <w:tcPr>
                <w:tcW w:w="859" w:type="dxa"/>
                <w:vAlign w:val="center"/>
              </w:tcPr>
              <w:p>
                <w:pPr>
                  <w:jc w:val="center"/>
                  <w:rPr>
                    <w:b/>
                    <w:bCs/>
                    <w:sz w:val="20"/>
                  </w:rPr>
                </w:pPr>
                <w:r>
                  <w:rPr>
                    <w:b/>
                    <w:bCs/>
                    <w:sz w:val="20"/>
                  </w:rPr>
                  <w:t>Lyčių lygybės mat-mens kodas</w:t>
                </w:r>
              </w:p>
            </w:tc>
            <w:tc>
              <w:tcPr>
                <w:tcW w:w="1149" w:type="dxa"/>
                <w:vAlign w:val="center"/>
              </w:tcPr>
              <w:p>
                <w:pPr>
                  <w:jc w:val="center"/>
                  <w:rPr>
                    <w:b/>
                    <w:sz w:val="20"/>
                  </w:rPr>
                </w:pPr>
                <w:r>
                  <w:rPr>
                    <w:b/>
                    <w:sz w:val="20"/>
                  </w:rPr>
                  <w:t>Nepanau-dotos Ekonomi-kos gaivinimo ir atsparumo didinimo priemonės lėšos</w:t>
                </w:r>
              </w:p>
              <w:p>
                <w:pPr>
                  <w:jc w:val="center"/>
                  <w:rPr>
                    <w:b/>
                    <w:bCs/>
                    <w:sz w:val="20"/>
                  </w:rPr>
                </w:pPr>
                <w:r>
                  <w:rPr>
                    <w:b/>
                    <w:sz w:val="20"/>
                  </w:rPr>
                  <w:t>(Taip / Ne)</w:t>
                </w:r>
              </w:p>
            </w:tc>
          </w:tr>
          <w:tr>
            <w:trPr>
              <w:trHeight w:val="278"/>
            </w:trPr>
            <w:tc>
              <w:tcPr>
                <w:tcW w:w="1110" w:type="dxa"/>
                <w:tcMar>
                  <w:left w:w="28" w:type="dxa"/>
                  <w:right w:w="28" w:type="dxa"/>
                </w:tcMar>
              </w:tcPr>
              <w:p>
                <w:pPr>
                  <w:ind w:firstLine="48"/>
                  <w:jc w:val="center"/>
                  <w:rPr>
                    <w:i/>
                    <w:sz w:val="18"/>
                    <w:szCs w:val="18"/>
                  </w:rPr>
                </w:pPr>
                <w:r>
                  <w:rPr>
                    <w:sz w:val="20"/>
                  </w:rPr>
                  <w:t>9.2. Greitosios medicinos pagalbos (toliau – GMP) automobilių, įrangos įsigijimas ir GMP stočių infrastruk-tūros pritaikymas</w:t>
                </w:r>
              </w:p>
            </w:tc>
            <w:tc>
              <w:tcPr>
                <w:tcW w:w="1125" w:type="dxa"/>
                <w:tcMar>
                  <w:left w:w="28" w:type="dxa"/>
                  <w:right w:w="28" w:type="dxa"/>
                </w:tcMar>
              </w:tcPr>
              <w:p>
                <w:pPr>
                  <w:jc w:val="center"/>
                  <w:rPr>
                    <w:iCs/>
                    <w:sz w:val="20"/>
                  </w:rPr>
                </w:pPr>
                <w:r>
                  <w:rPr>
                    <w:iCs/>
                    <w:sz w:val="20"/>
                  </w:rPr>
                  <w:t>2021–2027 m. ES struktūrinių fondų lėšos (toliau – ES lėšos)</w:t>
                </w:r>
              </w:p>
              <w:p>
                <w:pPr>
                  <w:jc w:val="center"/>
                  <w:rPr>
                    <w:iCs/>
                    <w:sz w:val="20"/>
                  </w:rPr>
                </w:pPr>
              </w:p>
              <w:p>
                <w:pPr>
                  <w:jc w:val="center"/>
                  <w:rPr>
                    <w:b/>
                    <w:i/>
                    <w:sz w:val="18"/>
                    <w:szCs w:val="18"/>
                  </w:rPr>
                </w:pPr>
                <w:r>
                  <w:rPr>
                    <w:iCs/>
                    <w:sz w:val="20"/>
                  </w:rPr>
                  <w:t>2021–2027 m. ES struktūrinių fondų bendrojo finansavimo lėšos (toliau – BF lėšos)</w:t>
                </w:r>
              </w:p>
            </w:tc>
            <w:tc>
              <w:tcPr>
                <w:tcW w:w="1236" w:type="dxa"/>
                <w:tcMar>
                  <w:left w:w="28" w:type="dxa"/>
                  <w:right w:w="28" w:type="dxa"/>
                </w:tcMar>
              </w:tcPr>
              <w:p>
                <w:pPr>
                  <w:jc w:val="center"/>
                  <w:rPr>
                    <w:i/>
                    <w:sz w:val="18"/>
                    <w:szCs w:val="18"/>
                  </w:rPr>
                </w:pPr>
                <w:r>
                  <w:rPr>
                    <w:iCs/>
                    <w:sz w:val="20"/>
                  </w:rPr>
                  <w:t>4</w:t>
                </w:r>
              </w:p>
            </w:tc>
            <w:tc>
              <w:tcPr>
                <w:tcW w:w="1134" w:type="dxa"/>
                <w:tcMar>
                  <w:left w:w="28" w:type="dxa"/>
                  <w:right w:w="28" w:type="dxa"/>
                </w:tcMar>
              </w:tcPr>
              <w:p>
                <w:pPr>
                  <w:jc w:val="center"/>
                  <w:rPr>
                    <w:sz w:val="18"/>
                    <w:szCs w:val="18"/>
                  </w:rPr>
                </w:pPr>
                <w:r>
                  <w:rPr>
                    <w:iCs/>
                    <w:sz w:val="20"/>
                  </w:rPr>
                  <w:t>4.10</w:t>
                </w:r>
              </w:p>
            </w:tc>
            <w:tc>
              <w:tcPr>
                <w:tcW w:w="1134" w:type="dxa"/>
                <w:tcMar>
                  <w:left w:w="28" w:type="dxa"/>
                  <w:right w:w="28" w:type="dxa"/>
                </w:tcMar>
              </w:tcPr>
              <w:p>
                <w:pPr>
                  <w:jc w:val="center"/>
                  <w:rPr>
                    <w:iCs/>
                    <w:sz w:val="20"/>
                  </w:rPr>
                </w:pPr>
                <w:r>
                  <w:rPr>
                    <w:iCs/>
                    <w:sz w:val="20"/>
                  </w:rPr>
                  <w:t>130</w:t>
                </w:r>
              </w:p>
              <w:p>
                <w:pPr>
                  <w:jc w:val="center"/>
                  <w:rPr>
                    <w:i/>
                    <w:sz w:val="18"/>
                    <w:szCs w:val="18"/>
                  </w:rPr>
                </w:pPr>
              </w:p>
            </w:tc>
            <w:tc>
              <w:tcPr>
                <w:tcW w:w="1457" w:type="dxa"/>
                <w:tcMar>
                  <w:left w:w="28" w:type="dxa"/>
                  <w:right w:w="28" w:type="dxa"/>
                </w:tcMar>
              </w:tcPr>
              <w:p>
                <w:pPr>
                  <w:jc w:val="center"/>
                  <w:rPr>
                    <w:iCs/>
                    <w:color w:val="333333"/>
                    <w:sz w:val="20"/>
                    <w:lang w:eastAsia="lt-LT"/>
                  </w:rPr>
                </w:pPr>
                <w:r>
                  <w:rPr>
                    <w:iCs/>
                    <w:color w:val="333333"/>
                    <w:sz w:val="20"/>
                    <w:lang w:eastAsia="lt-LT"/>
                  </w:rPr>
                  <w:t>130</w:t>
                </w:r>
              </w:p>
              <w:p>
                <w:pPr>
                  <w:jc w:val="center"/>
                  <w:rPr>
                    <w:i/>
                    <w:sz w:val="18"/>
                    <w:szCs w:val="18"/>
                  </w:rPr>
                </w:pPr>
              </w:p>
            </w:tc>
            <w:tc>
              <w:tcPr>
                <w:tcW w:w="1344" w:type="dxa"/>
                <w:tcMar>
                  <w:left w:w="28" w:type="dxa"/>
                  <w:right w:w="28" w:type="dxa"/>
                </w:tcMar>
              </w:tcPr>
              <w:p>
                <w:pPr>
                  <w:jc w:val="center"/>
                  <w:rPr>
                    <w:iCs/>
                    <w:sz w:val="20"/>
                  </w:rPr>
                </w:pPr>
                <w:r>
                  <w:rPr>
                    <w:iCs/>
                    <w:sz w:val="20"/>
                  </w:rPr>
                  <w:t>Sostinės regionas</w:t>
                </w:r>
                <w:r>
                  <w:rPr>
                    <w:iCs/>
                    <w:vertAlign w:val="superscript"/>
                  </w:rPr>
                  <w:footnoteReference w:id="2"/>
                </w:r>
              </w:p>
              <w:p>
                <w:pPr>
                  <w:jc w:val="center"/>
                  <w:rPr>
                    <w:i/>
                    <w:sz w:val="18"/>
                    <w:szCs w:val="18"/>
                  </w:rPr>
                </w:pPr>
              </w:p>
            </w:tc>
            <w:tc>
              <w:tcPr>
                <w:tcW w:w="1080" w:type="dxa"/>
                <w:tcMar>
                  <w:left w:w="28" w:type="dxa"/>
                  <w:right w:w="28" w:type="dxa"/>
                </w:tcMar>
              </w:tcPr>
              <w:p>
                <w:pPr>
                  <w:jc w:val="center"/>
                  <w:rPr>
                    <w:i/>
                    <w:sz w:val="18"/>
                    <w:szCs w:val="18"/>
                  </w:rPr>
                </w:pPr>
                <w:r>
                  <w:rPr>
                    <w:iCs/>
                    <w:sz w:val="20"/>
                  </w:rPr>
                  <w:t>01</w:t>
                </w:r>
              </w:p>
            </w:tc>
            <w:tc>
              <w:tcPr>
                <w:tcW w:w="1344" w:type="dxa"/>
                <w:tcMar>
                  <w:left w:w="28" w:type="dxa"/>
                  <w:right w:w="28" w:type="dxa"/>
                </w:tcMar>
              </w:tcPr>
              <w:p>
                <w:pPr>
                  <w:jc w:val="center"/>
                  <w:rPr>
                    <w:sz w:val="18"/>
                    <w:szCs w:val="18"/>
                  </w:rPr>
                </w:pPr>
                <w:r>
                  <w:rPr>
                    <w:iCs/>
                    <w:sz w:val="20"/>
                  </w:rPr>
                  <w:t>33</w:t>
                </w:r>
              </w:p>
            </w:tc>
            <w:tc>
              <w:tcPr>
                <w:tcW w:w="1051" w:type="dxa"/>
                <w:tcMar>
                  <w:left w:w="28" w:type="dxa"/>
                  <w:right w:w="28" w:type="dxa"/>
                </w:tcMar>
              </w:tcPr>
              <w:p>
                <w:pPr>
                  <w:jc w:val="center"/>
                  <w:rPr>
                    <w:sz w:val="18"/>
                    <w:szCs w:val="18"/>
                  </w:rPr>
                </w:pPr>
                <w:r>
                  <w:rPr>
                    <w:iCs/>
                    <w:sz w:val="20"/>
                  </w:rPr>
                  <w:t>22</w:t>
                </w:r>
              </w:p>
            </w:tc>
            <w:tc>
              <w:tcPr>
                <w:tcW w:w="1132" w:type="dxa"/>
                <w:tcMar>
                  <w:left w:w="28" w:type="dxa"/>
                  <w:right w:w="28" w:type="dxa"/>
                </w:tcMar>
              </w:tcPr>
              <w:p>
                <w:pPr>
                  <w:jc w:val="center"/>
                  <w:rPr>
                    <w:i/>
                    <w:iCs/>
                    <w:sz w:val="18"/>
                    <w:szCs w:val="18"/>
                  </w:rPr>
                </w:pPr>
                <w:r>
                  <w:rPr>
                    <w:iCs/>
                    <w:sz w:val="20"/>
                  </w:rPr>
                  <w:t>-</w:t>
                </w:r>
              </w:p>
            </w:tc>
            <w:tc>
              <w:tcPr>
                <w:tcW w:w="859" w:type="dxa"/>
                <w:tcMar>
                  <w:left w:w="28" w:type="dxa"/>
                  <w:right w:w="28" w:type="dxa"/>
                </w:tcMar>
              </w:tcPr>
              <w:p>
                <w:pPr>
                  <w:jc w:val="center"/>
                  <w:rPr>
                    <w:i/>
                    <w:iCs/>
                    <w:sz w:val="18"/>
                    <w:szCs w:val="18"/>
                  </w:rPr>
                </w:pPr>
                <w:r>
                  <w:rPr>
                    <w:iCs/>
                    <w:sz w:val="20"/>
                  </w:rPr>
                  <w:t>03</w:t>
                </w:r>
              </w:p>
            </w:tc>
            <w:tc>
              <w:tcPr>
                <w:tcW w:w="1149" w:type="dxa"/>
              </w:tcPr>
              <w:p>
                <w:pPr>
                  <w:jc w:val="center"/>
                  <w:rPr>
                    <w:i/>
                    <w:iCs/>
                    <w:sz w:val="18"/>
                    <w:szCs w:val="18"/>
                  </w:rPr>
                </w:pPr>
                <w:r>
                  <w:rPr>
                    <w:sz w:val="20"/>
                  </w:rPr>
                  <w:t>Ne</w:t>
                </w:r>
              </w:p>
            </w:tc>
          </w:tr>
        </w:tbl>
        <w:p>
          <w:pPr>
            <w:jc w:val="both"/>
            <w:rPr>
              <w:i/>
              <w:iCs/>
              <w:szCs w:val="24"/>
            </w:rPr>
          </w:pPr>
          <w:r>
            <w:rPr>
              <w:b/>
              <w:i/>
              <w:iCs/>
              <w:szCs w:val="24"/>
            </w:rPr>
            <w:t>Pastaba.</w:t>
          </w:r>
          <w:r>
            <w:rPr>
              <w:i/>
              <w:iCs/>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(toliau – Investicijų programos ir Plano „Naujos kartos Lietuva“ administravimo taisyklės), 72</w:t>
          </w:r>
          <w:r>
            <w:rPr>
              <w:i/>
              <w:iCs/>
              <w:szCs w:val="24"/>
              <w:vertAlign w:val="superscript"/>
            </w:rPr>
            <w:t>1</w:t>
          </w:r>
          <w:r>
            <w:rPr>
              <w:i/>
              <w:iCs/>
              <w:szCs w:val="24"/>
            </w:rPr>
            <w:t xml:space="preserve"> punkte.</w:t>
          </w:r>
        </w:p>
        <w:p>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1"/>
            <w:gridCol w:w="2977"/>
            <w:gridCol w:w="2410"/>
            <w:gridCol w:w="2551"/>
            <w:gridCol w:w="2694"/>
          </w:tblGrid>
          <w:tr>
            <w:trPr>
              <w:trHeight w:val="405"/>
            </w:trPr>
            <w:tc>
              <w:tcPr>
                <w:tcW w:w="4531" w:type="dxa"/>
                <w:shd w:val="clear" w:color="auto" w:fill="auto"/>
                <w:vAlign w:val="center"/>
              </w:tcPr>
              <w:p>
                <w:pPr>
                  <w:jc w:val="center"/>
                  <w:rPr>
                    <w:sz w:val="18"/>
                    <w:szCs w:val="18"/>
                  </w:rPr>
                </w:pPr>
                <w:r>
                  <w:rPr>
                    <w:sz w:val="22"/>
                    <w:szCs w:val="22"/>
                  </w:rPr>
                  <w:t>Rodiklio pavadinimas</w:t>
                </w:r>
              </w:p>
            </w:tc>
            <w:tc>
              <w:tcPr>
                <w:tcW w:w="2977" w:type="dxa"/>
                <w:shd w:val="clear" w:color="auto" w:fill="auto"/>
                <w:vAlign w:val="center"/>
              </w:tcPr>
              <w:p>
                <w:pPr>
                  <w:jc w:val="center"/>
                  <w:rPr>
                    <w:sz w:val="18"/>
                    <w:szCs w:val="18"/>
                  </w:rPr>
                </w:pPr>
                <w:r>
                  <w:rPr>
                    <w:sz w:val="22"/>
                    <w:szCs w:val="22"/>
                  </w:rPr>
                  <w:t>Rodiklio kodas</w:t>
                </w:r>
              </w:p>
            </w:tc>
            <w:tc>
              <w:tcPr>
                <w:tcW w:w="2410" w:type="dxa"/>
                <w:shd w:val="clear" w:color="auto" w:fill="auto"/>
                <w:vAlign w:val="center"/>
              </w:tcPr>
              <w:p>
                <w:pPr>
                  <w:jc w:val="center"/>
                  <w:rPr>
                    <w:sz w:val="18"/>
                    <w:szCs w:val="18"/>
                  </w:rPr>
                </w:pPr>
                <w:r>
                  <w:rPr>
                    <w:sz w:val="22"/>
                    <w:szCs w:val="22"/>
                  </w:rPr>
                  <w:t>Matavimo vienetai</w:t>
                </w:r>
              </w:p>
            </w:tc>
            <w:tc>
              <w:tcPr>
                <w:tcW w:w="2551" w:type="dxa"/>
                <w:vAlign w:val="center"/>
              </w:tcPr>
              <w:p>
                <w:pPr>
                  <w:jc w:val="center"/>
                  <w:rPr>
                    <w:sz w:val="22"/>
                    <w:szCs w:val="22"/>
                  </w:rPr>
                </w:pPr>
                <w:r>
                  <w:rPr>
                    <w:sz w:val="22"/>
                    <w:szCs w:val="22"/>
                  </w:rPr>
                  <w:t>Tarpinė reikšmė 2024 m.</w:t>
                </w:r>
              </w:p>
            </w:tc>
            <w:tc>
              <w:tcPr>
                <w:tcW w:w="2694" w:type="dxa"/>
                <w:shd w:val="clear" w:color="auto" w:fill="auto"/>
                <w:vAlign w:val="center"/>
              </w:tcPr>
              <w:p>
                <w:pPr>
                  <w:jc w:val="center"/>
                  <w:rPr>
                    <w:sz w:val="18"/>
                    <w:szCs w:val="18"/>
                  </w:rPr>
                </w:pPr>
                <w:r>
                  <w:rPr>
                    <w:sz w:val="22"/>
                    <w:szCs w:val="22"/>
                  </w:rPr>
                  <w:t>Siektina reikšmė 2029 m.</w:t>
                </w:r>
              </w:p>
            </w:tc>
          </w:tr>
          <w:tr>
            <w:trPr>
              <w:trHeight w:val="563"/>
            </w:trPr>
            <w:tc>
              <w:tcPr>
                <w:tcW w:w="4531" w:type="dxa"/>
              </w:tcPr>
              <w:p>
                <w:pPr>
                  <w:jc w:val="center"/>
                  <w:rPr>
                    <w:szCs w:val="24"/>
                  </w:rPr>
                </w:pPr>
                <w:r>
                  <w:rPr>
                    <w:bCs/>
                    <w:szCs w:val="24"/>
                  </w:rPr>
                  <w:t xml:space="preserve">GMP skubių įvykdytų iškvietimų paslaugų, suteiktų per 15 min. (mieste), dalis </w:t>
                </w:r>
              </w:p>
            </w:tc>
            <w:tc>
              <w:tcPr>
                <w:tcW w:w="2977" w:type="dxa"/>
              </w:tcPr>
              <w:p>
                <w:pPr>
                  <w:jc w:val="center"/>
                  <w:rPr>
                    <w:szCs w:val="24"/>
                  </w:rPr>
                </w:pPr>
                <w:r>
                  <w:rPr>
                    <w:color w:val="000000"/>
                    <w:szCs w:val="24"/>
                    <w:lang w:eastAsia="lt-LT"/>
                  </w:rPr>
                  <w:t>R.S.2.3036</w:t>
                </w:r>
              </w:p>
              <w:p>
                <w:pPr>
                  <w:jc w:val="center"/>
                  <w:rPr>
                    <w:szCs w:val="24"/>
                  </w:rPr>
                </w:pPr>
                <w:r>
                  <w:rPr>
                    <w:szCs w:val="24"/>
                  </w:rPr>
                  <w:t>R-11-002-02-11-01-19</w:t>
                </w:r>
              </w:p>
            </w:tc>
            <w:tc>
              <w:tcPr>
                <w:tcW w:w="2410" w:type="dxa"/>
              </w:tcPr>
              <w:p>
                <w:pPr>
                  <w:jc w:val="center"/>
                  <w:rPr>
                    <w:szCs w:val="24"/>
                  </w:rPr>
                </w:pPr>
                <w:r>
                  <w:rPr>
                    <w:szCs w:val="24"/>
                  </w:rPr>
                  <w:t>Procentai</w:t>
                </w:r>
              </w:p>
            </w:tc>
            <w:tc>
              <w:tcPr>
                <w:tcW w:w="2551" w:type="dxa"/>
              </w:tcPr>
              <w:p>
                <w:pPr>
                  <w:jc w:val="center"/>
                  <w:rPr>
                    <w:szCs w:val="24"/>
                  </w:rPr>
                </w:pPr>
                <w:r>
                  <w:rPr>
                    <w:szCs w:val="24"/>
                  </w:rPr>
                  <w:t>-</w:t>
                </w:r>
              </w:p>
            </w:tc>
            <w:tc>
              <w:tcPr>
                <w:tcW w:w="2694" w:type="dxa"/>
              </w:tcPr>
              <w:p>
                <w:pPr>
                  <w:jc w:val="center"/>
                  <w:rPr>
                    <w:szCs w:val="24"/>
                  </w:rPr>
                </w:pPr>
                <w:r>
                  <w:rPr>
                    <w:szCs w:val="24"/>
                  </w:rPr>
                  <w:t xml:space="preserve">98 </w:t>
                </w:r>
              </w:p>
            </w:tc>
          </w:tr>
          <w:tr>
            <w:trPr>
              <w:trHeight w:val="557"/>
            </w:trPr>
            <w:tc>
              <w:tcPr>
                <w:tcW w:w="4531" w:type="dxa"/>
              </w:tcPr>
              <w:p>
                <w:pPr>
                  <w:jc w:val="center"/>
                  <w:rPr>
                    <w:sz w:val="22"/>
                    <w:szCs w:val="22"/>
                  </w:rPr>
                </w:pPr>
                <w:r>
                  <w:rPr>
                    <w:szCs w:val="24"/>
                  </w:rPr>
                  <w:t xml:space="preserve">GMP skubių įvykdytų iškvietimų paslaugų, suteiktų per 25 min. (kaime), dalis </w:t>
                </w:r>
              </w:p>
            </w:tc>
            <w:tc>
              <w:tcPr>
                <w:tcW w:w="2977" w:type="dxa"/>
              </w:tcPr>
              <w:p>
                <w:pPr>
                  <w:jc w:val="center"/>
                  <w:rPr>
                    <w:szCs w:val="24"/>
                  </w:rPr>
                </w:pPr>
                <w:r>
                  <w:rPr>
                    <w:color w:val="000000"/>
                    <w:szCs w:val="24"/>
                    <w:lang w:eastAsia="lt-LT"/>
                  </w:rPr>
                  <w:t>R.S.2.3037</w:t>
                </w:r>
              </w:p>
              <w:p>
                <w:pPr>
                  <w:jc w:val="center"/>
                  <w:rPr>
                    <w:szCs w:val="24"/>
                  </w:rPr>
                </w:pPr>
                <w:r>
                  <w:rPr>
                    <w:szCs w:val="24"/>
                  </w:rPr>
                  <w:t>R-11-002-02-11-01-20</w:t>
                </w:r>
              </w:p>
            </w:tc>
            <w:tc>
              <w:tcPr>
                <w:tcW w:w="2410" w:type="dxa"/>
              </w:tcPr>
              <w:p>
                <w:pPr>
                  <w:jc w:val="center"/>
                  <w:rPr>
                    <w:sz w:val="22"/>
                    <w:szCs w:val="22"/>
                  </w:rPr>
                </w:pPr>
                <w:r>
                  <w:rPr>
                    <w:szCs w:val="24"/>
                  </w:rPr>
                  <w:t>Procentai</w:t>
                </w:r>
              </w:p>
            </w:tc>
            <w:tc>
              <w:tcPr>
                <w:tcW w:w="2551" w:type="dxa"/>
              </w:tcPr>
              <w:p>
                <w:pPr>
                  <w:jc w:val="center"/>
                  <w:rPr>
                    <w:szCs w:val="24"/>
                  </w:rPr>
                </w:pPr>
                <w:r>
                  <w:rPr>
                    <w:szCs w:val="24"/>
                  </w:rPr>
                  <w:t>-</w:t>
                </w:r>
              </w:p>
            </w:tc>
            <w:tc>
              <w:tcPr>
                <w:tcW w:w="2694" w:type="dxa"/>
              </w:tcPr>
              <w:p>
                <w:pPr>
                  <w:jc w:val="center"/>
                  <w:rPr>
                    <w:sz w:val="22"/>
                    <w:szCs w:val="22"/>
                  </w:rPr>
                </w:pPr>
                <w:r>
                  <w:rPr>
                    <w:szCs w:val="24"/>
                  </w:rPr>
                  <w:t xml:space="preserve">98 </w:t>
                </w:r>
              </w:p>
            </w:tc>
          </w:tr>
          <w:tr>
            <w:trPr>
              <w:trHeight w:val="551"/>
            </w:trPr>
            <w:tc>
              <w:tcPr>
                <w:tcW w:w="4531" w:type="dxa"/>
              </w:tcPr>
              <w:p>
                <w:pPr>
                  <w:jc w:val="center"/>
                  <w:rPr>
                    <w:rFonts w:eastAsia="Calibri"/>
                    <w:szCs w:val="24"/>
                  </w:rPr>
                </w:pPr>
                <w:r>
                  <w:rPr>
                    <w:bCs/>
                    <w:szCs w:val="24"/>
                  </w:rPr>
                  <w:t>GMP</w:t>
                </w:r>
                <w:r>
                  <w:rPr>
                    <w:rFonts w:eastAsia="Calibri"/>
                    <w:szCs w:val="24"/>
                    <w:lang w:eastAsia="en-GB" w:bidi="lt-LT"/>
                  </w:rPr>
                  <w:t xml:space="preserve"> paslaugų infrastruktūros, kuriai skirta parama, pajėgumas </w:t>
                </w:r>
              </w:p>
            </w:tc>
            <w:tc>
              <w:tcPr>
                <w:tcW w:w="2977" w:type="dxa"/>
              </w:tcPr>
              <w:p>
                <w:pPr>
                  <w:jc w:val="center"/>
                  <w:rPr>
                    <w:szCs w:val="24"/>
                  </w:rPr>
                </w:pPr>
                <w:r>
                  <w:rPr>
                    <w:color w:val="000000"/>
                    <w:szCs w:val="24"/>
                    <w:lang w:eastAsia="lt-LT"/>
                  </w:rPr>
                  <w:t>P.S.2.1033</w:t>
                </w:r>
              </w:p>
              <w:p>
                <w:pPr>
                  <w:jc w:val="center"/>
                  <w:rPr>
                    <w:szCs w:val="24"/>
                  </w:rPr>
                </w:pPr>
                <w:r>
                  <w:rPr>
                    <w:szCs w:val="24"/>
                  </w:rPr>
                  <w:t>P-11-002-02-11-01-32</w:t>
                </w:r>
              </w:p>
            </w:tc>
            <w:tc>
              <w:tcPr>
                <w:tcW w:w="2410" w:type="dxa"/>
              </w:tcPr>
              <w:p>
                <w:pPr>
                  <w:jc w:val="center"/>
                  <w:rPr>
                    <w:szCs w:val="24"/>
                  </w:rPr>
                </w:pPr>
                <w:r>
                  <w:rPr>
                    <w:szCs w:val="24"/>
                  </w:rPr>
                  <w:t>Asmenys per metus</w:t>
                </w:r>
              </w:p>
            </w:tc>
            <w:tc>
              <w:tcPr>
                <w:tcW w:w="2551" w:type="dxa"/>
              </w:tcPr>
              <w:p>
                <w:pPr>
                  <w:jc w:val="center"/>
                  <w:rPr>
                    <w:szCs w:val="24"/>
                  </w:rPr>
                </w:pPr>
                <w:r>
                  <w:rPr>
                    <w:szCs w:val="24"/>
                  </w:rPr>
                  <w:t>158 000</w:t>
                </w:r>
              </w:p>
            </w:tc>
            <w:tc>
              <w:tcPr>
                <w:tcW w:w="2694" w:type="dxa"/>
              </w:tcPr>
              <w:p>
                <w:pPr>
                  <w:jc w:val="center"/>
                  <w:rPr>
                    <w:szCs w:val="24"/>
                  </w:rPr>
                </w:pPr>
                <w:r>
                  <w:rPr>
                    <w:szCs w:val="24"/>
                  </w:rPr>
                  <w:t xml:space="preserve">790 000 </w:t>
                </w:r>
              </w:p>
            </w:tc>
          </w:tr>
        </w:tbl>
        <w:p>
          <w:pPr>
            <w:jc w:val="both"/>
            <w:rPr>
              <w:b/>
              <w:i/>
              <w:iCs/>
              <w:szCs w:val="24"/>
            </w:rPr>
          </w:pPr>
        </w:p>
        <w:p>
          <w:pPr>
            <w:jc w:val="both"/>
            <w:rPr>
              <w:b/>
              <w:i/>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tc>
              <w:tcPr>
                <w:tcW w:w="15155" w:type="dxa"/>
                <w:gridSpan w:val="13"/>
                <w:vAlign w:val="center"/>
              </w:tcPr>
              <w:p>
                <w:pPr>
                  <w:jc w:val="center"/>
                  <w:rPr>
                    <w:b/>
                    <w:sz w:val="22"/>
                    <w:szCs w:val="22"/>
                  </w:rPr>
                </w:pPr>
                <w:r>
                  <w:rPr>
                    <w:b/>
                    <w:sz w:val="22"/>
                    <w:szCs w:val="22"/>
                  </w:rPr>
                  <w:t>VEIKLOS AR POVEIKLĖS, KURIOMS NUSTATOMOS PROJEKTŲ FINANSAVIMO SĄLYGOS</w:t>
                </w:r>
              </w:p>
            </w:tc>
          </w:tr>
          <w:tr>
            <w:tc>
              <w:tcPr>
                <w:tcW w:w="1110" w:type="dxa"/>
                <w:vAlign w:val="center"/>
              </w:tcPr>
              <w:p>
                <w:pPr>
                  <w:jc w:val="center"/>
                  <w:rPr>
                    <w:b/>
                    <w:sz w:val="20"/>
                  </w:rPr>
                </w:pPr>
                <w:r>
                  <w:rPr>
                    <w:b/>
                    <w:sz w:val="20"/>
                  </w:rPr>
                  <w:t>Veiklos ar poveiklės pavadini-mas</w:t>
                </w:r>
              </w:p>
            </w:tc>
            <w:tc>
              <w:tcPr>
                <w:tcW w:w="1125" w:type="dxa"/>
                <w:vAlign w:val="center"/>
              </w:tcPr>
              <w:p>
                <w:pPr>
                  <w:jc w:val="center"/>
                  <w:rPr>
                    <w:b/>
                    <w:sz w:val="20"/>
                  </w:rPr>
                </w:pPr>
                <w:r>
                  <w:rPr>
                    <w:b/>
                    <w:sz w:val="20"/>
                  </w:rPr>
                  <w:t>Finansa-vimo šaltinis</w:t>
                </w:r>
              </w:p>
            </w:tc>
            <w:tc>
              <w:tcPr>
                <w:tcW w:w="1236" w:type="dxa"/>
                <w:vAlign w:val="center"/>
              </w:tcPr>
              <w:p>
                <w:pPr>
                  <w:jc w:val="center"/>
                  <w:rPr>
                    <w:b/>
                    <w:sz w:val="20"/>
                  </w:rPr>
                </w:pPr>
                <w:r>
                  <w:rPr>
                    <w:b/>
                    <w:bCs/>
                    <w:sz w:val="20"/>
                  </w:rPr>
                  <w:t>Prioritetas ar komponen-tas</w:t>
                </w:r>
              </w:p>
            </w:tc>
            <w:tc>
              <w:tcPr>
                <w:tcW w:w="1134" w:type="dxa"/>
                <w:vAlign w:val="center"/>
              </w:tcPr>
              <w:p>
                <w:pPr>
                  <w:jc w:val="center"/>
                  <w:rPr>
                    <w:b/>
                    <w:sz w:val="20"/>
                  </w:rPr>
                </w:pPr>
                <w:r>
                  <w:rPr>
                    <w:b/>
                    <w:bCs/>
                    <w:sz w:val="20"/>
                  </w:rPr>
                  <w:t>Uždavi-nys ar priemonė</w:t>
                </w:r>
              </w:p>
            </w:tc>
            <w:tc>
              <w:tcPr>
                <w:tcW w:w="1134" w:type="dxa"/>
                <w:vAlign w:val="center"/>
              </w:tcPr>
              <w:p>
                <w:pPr>
                  <w:jc w:val="center"/>
                  <w:rPr>
                    <w:b/>
                    <w:sz w:val="20"/>
                  </w:rPr>
                </w:pPr>
                <w:r>
                  <w:rPr>
                    <w:b/>
                    <w:bCs/>
                    <w:sz w:val="20"/>
                  </w:rPr>
                  <w:t>Veikla ar paprie-monė</w:t>
                </w:r>
              </w:p>
            </w:tc>
            <w:tc>
              <w:tcPr>
                <w:tcW w:w="1457" w:type="dxa"/>
                <w:vAlign w:val="center"/>
              </w:tcPr>
              <w:p>
                <w:pPr>
                  <w:jc w:val="center"/>
                  <w:rPr>
                    <w:b/>
                    <w:sz w:val="20"/>
                  </w:rPr>
                </w:pPr>
                <w:r>
                  <w:rPr>
                    <w:b/>
                    <w:sz w:val="20"/>
                  </w:rPr>
                  <w:t>Intervencinės priemonės kodas</w:t>
                </w:r>
              </w:p>
            </w:tc>
            <w:tc>
              <w:tcPr>
                <w:tcW w:w="1344" w:type="dxa"/>
                <w:vAlign w:val="center"/>
              </w:tcPr>
              <w:p>
                <w:pPr>
                  <w:jc w:val="center"/>
                  <w:rPr>
                    <w:b/>
                    <w:bCs/>
                    <w:sz w:val="20"/>
                  </w:rPr>
                </w:pPr>
                <w:r>
                  <w:rPr>
                    <w:b/>
                    <w:sz w:val="20"/>
                  </w:rPr>
                  <w:t>Regionas, kuriam priskiriama veikla ar poveiklė</w:t>
                </w:r>
              </w:p>
            </w:tc>
            <w:tc>
              <w:tcPr>
                <w:tcW w:w="1080" w:type="dxa"/>
                <w:vAlign w:val="center"/>
              </w:tcPr>
              <w:p>
                <w:pPr>
                  <w:jc w:val="center"/>
                  <w:rPr>
                    <w:b/>
                    <w:sz w:val="20"/>
                  </w:rPr>
                </w:pPr>
                <w:r>
                  <w:rPr>
                    <w:b/>
                    <w:bCs/>
                    <w:sz w:val="20"/>
                  </w:rPr>
                  <w:t>Paramos formos kodas</w:t>
                </w:r>
              </w:p>
            </w:tc>
            <w:tc>
              <w:tcPr>
                <w:tcW w:w="1344" w:type="dxa"/>
                <w:vAlign w:val="center"/>
              </w:tcPr>
              <w:p>
                <w:pPr>
                  <w:jc w:val="center"/>
                  <w:rPr>
                    <w:b/>
                    <w:sz w:val="20"/>
                  </w:rPr>
                </w:pPr>
                <w:r>
                  <w:rPr>
                    <w:b/>
                    <w:bCs/>
                    <w:sz w:val="20"/>
                  </w:rPr>
                  <w:t>Pagrindinės teritorinės srities kodas (-ai)</w:t>
                </w:r>
              </w:p>
            </w:tc>
            <w:tc>
              <w:tcPr>
                <w:tcW w:w="1051" w:type="dxa"/>
                <w:vAlign w:val="center"/>
              </w:tcPr>
              <w:p>
                <w:pPr>
                  <w:jc w:val="center"/>
                  <w:rPr>
                    <w:b/>
                    <w:bCs/>
                    <w:sz w:val="20"/>
                  </w:rPr>
                </w:pPr>
                <w:r>
                  <w:rPr>
                    <w:b/>
                    <w:bCs/>
                    <w:sz w:val="20"/>
                  </w:rPr>
                  <w:t xml:space="preserve">Ekono-minės veiklos kodas </w:t>
                </w:r>
              </w:p>
              <w:p>
                <w:pPr>
                  <w:jc w:val="center"/>
                  <w:rPr>
                    <w:b/>
                    <w:sz w:val="20"/>
                  </w:rPr>
                </w:pPr>
                <w:r>
                  <w:rPr>
                    <w:b/>
                    <w:bCs/>
                    <w:sz w:val="20"/>
                  </w:rPr>
                  <w:t>(-ai)</w:t>
                </w:r>
              </w:p>
            </w:tc>
            <w:tc>
              <w:tcPr>
                <w:tcW w:w="1132" w:type="dxa"/>
                <w:vAlign w:val="center"/>
              </w:tcPr>
              <w:p>
                <w:pPr>
                  <w:jc w:val="center"/>
                  <w:rPr>
                    <w:b/>
                    <w:bCs/>
                    <w:sz w:val="20"/>
                  </w:rPr>
                </w:pPr>
                <w:r>
                  <w:rPr>
                    <w:b/>
                    <w:bCs/>
                    <w:sz w:val="20"/>
                  </w:rPr>
                  <w:t>„Europos socialinio fondo +“ (toliau – ESF+) antrinių temų kodai</w:t>
                </w:r>
              </w:p>
            </w:tc>
            <w:tc>
              <w:tcPr>
                <w:tcW w:w="859" w:type="dxa"/>
                <w:vAlign w:val="center"/>
              </w:tcPr>
              <w:p>
                <w:pPr>
                  <w:jc w:val="center"/>
                  <w:rPr>
                    <w:b/>
                    <w:bCs/>
                    <w:sz w:val="20"/>
                  </w:rPr>
                </w:pPr>
                <w:r>
                  <w:rPr>
                    <w:b/>
                    <w:bCs/>
                    <w:sz w:val="20"/>
                  </w:rPr>
                  <w:t>Lyčių lygybės mat-mens kodas</w:t>
                </w:r>
              </w:p>
            </w:tc>
            <w:tc>
              <w:tcPr>
                <w:tcW w:w="1149" w:type="dxa"/>
                <w:vAlign w:val="center"/>
              </w:tcPr>
              <w:p>
                <w:pPr>
                  <w:jc w:val="center"/>
                  <w:rPr>
                    <w:b/>
                    <w:sz w:val="20"/>
                  </w:rPr>
                </w:pPr>
                <w:r>
                  <w:rPr>
                    <w:b/>
                    <w:sz w:val="20"/>
                  </w:rPr>
                  <w:t>Nepanau-dotos Ekonomi-kos gaivinimo ir atsparumo didinimo priemonės lėšos</w:t>
                </w:r>
              </w:p>
              <w:p>
                <w:pPr>
                  <w:jc w:val="center"/>
                  <w:rPr>
                    <w:b/>
                    <w:bCs/>
                    <w:sz w:val="20"/>
                  </w:rPr>
                </w:pPr>
                <w:r>
                  <w:rPr>
                    <w:b/>
                    <w:sz w:val="20"/>
                  </w:rPr>
                  <w:t>(Taip / Ne)</w:t>
                </w:r>
              </w:p>
            </w:tc>
          </w:tr>
          <w:tr>
            <w:trPr>
              <w:trHeight w:val="278"/>
            </w:trPr>
            <w:tc>
              <w:tcPr>
                <w:tcW w:w="1110" w:type="dxa"/>
                <w:tcMar>
                  <w:left w:w="28" w:type="dxa"/>
                  <w:right w:w="28" w:type="dxa"/>
                </w:tcMar>
              </w:tcPr>
              <w:p>
                <w:pPr>
                  <w:ind w:firstLine="48"/>
                  <w:jc w:val="center"/>
                  <w:rPr>
                    <w:i/>
                    <w:sz w:val="18"/>
                    <w:szCs w:val="18"/>
                  </w:rPr>
                </w:pPr>
                <w:r>
                  <w:rPr>
                    <w:sz w:val="20"/>
                  </w:rPr>
                  <w:t>9.3. GMP automobilių, įrangos įsigijimas ir greitosios GMP stočių infrastruk-tūros pritaikymas</w:t>
                </w:r>
              </w:p>
            </w:tc>
            <w:tc>
              <w:tcPr>
                <w:tcW w:w="1125" w:type="dxa"/>
                <w:tcMar>
                  <w:left w:w="28" w:type="dxa"/>
                  <w:right w:w="28" w:type="dxa"/>
                </w:tcMar>
              </w:tcPr>
              <w:p>
                <w:pPr>
                  <w:ind w:firstLine="53"/>
                  <w:jc w:val="center"/>
                  <w:rPr>
                    <w:iCs/>
                    <w:sz w:val="20"/>
                  </w:rPr>
                </w:pPr>
                <w:r>
                  <w:rPr>
                    <w:iCs/>
                    <w:sz w:val="20"/>
                  </w:rPr>
                  <w:t>ES lėšos</w:t>
                </w:r>
              </w:p>
              <w:p>
                <w:pPr>
                  <w:jc w:val="center"/>
                  <w:rPr>
                    <w:iCs/>
                    <w:sz w:val="20"/>
                  </w:rPr>
                </w:pPr>
              </w:p>
              <w:p>
                <w:pPr>
                  <w:jc w:val="center"/>
                  <w:rPr>
                    <w:b/>
                    <w:i/>
                    <w:sz w:val="18"/>
                    <w:szCs w:val="18"/>
                  </w:rPr>
                </w:pPr>
                <w:r>
                  <w:rPr>
                    <w:iCs/>
                    <w:sz w:val="20"/>
                  </w:rPr>
                  <w:t>BF lėšos</w:t>
                </w:r>
              </w:p>
            </w:tc>
            <w:tc>
              <w:tcPr>
                <w:tcW w:w="1236" w:type="dxa"/>
                <w:tcMar>
                  <w:left w:w="28" w:type="dxa"/>
                  <w:right w:w="28" w:type="dxa"/>
                </w:tcMar>
              </w:tcPr>
              <w:p>
                <w:pPr>
                  <w:jc w:val="center"/>
                  <w:rPr>
                    <w:i/>
                    <w:sz w:val="18"/>
                    <w:szCs w:val="18"/>
                  </w:rPr>
                </w:pPr>
                <w:r>
                  <w:rPr>
                    <w:iCs/>
                    <w:sz w:val="20"/>
                  </w:rPr>
                  <w:t>4</w:t>
                </w:r>
              </w:p>
            </w:tc>
            <w:tc>
              <w:tcPr>
                <w:tcW w:w="1134" w:type="dxa"/>
                <w:tcMar>
                  <w:left w:w="28" w:type="dxa"/>
                  <w:right w:w="28" w:type="dxa"/>
                </w:tcMar>
              </w:tcPr>
              <w:p>
                <w:pPr>
                  <w:jc w:val="center"/>
                  <w:rPr>
                    <w:sz w:val="18"/>
                    <w:szCs w:val="18"/>
                  </w:rPr>
                </w:pPr>
                <w:r>
                  <w:rPr>
                    <w:iCs/>
                    <w:sz w:val="20"/>
                  </w:rPr>
                  <w:t>4.10</w:t>
                </w:r>
              </w:p>
            </w:tc>
            <w:tc>
              <w:tcPr>
                <w:tcW w:w="1134" w:type="dxa"/>
                <w:tcMar>
                  <w:left w:w="28" w:type="dxa"/>
                  <w:right w:w="28" w:type="dxa"/>
                </w:tcMar>
              </w:tcPr>
              <w:p>
                <w:pPr>
                  <w:jc w:val="center"/>
                  <w:rPr>
                    <w:iCs/>
                    <w:sz w:val="20"/>
                  </w:rPr>
                </w:pPr>
                <w:r>
                  <w:rPr>
                    <w:iCs/>
                    <w:sz w:val="20"/>
                  </w:rPr>
                  <w:t>130</w:t>
                </w:r>
              </w:p>
              <w:p>
                <w:pPr>
                  <w:jc w:val="center"/>
                  <w:rPr>
                    <w:i/>
                    <w:sz w:val="18"/>
                    <w:szCs w:val="18"/>
                  </w:rPr>
                </w:pPr>
              </w:p>
            </w:tc>
            <w:tc>
              <w:tcPr>
                <w:tcW w:w="1457" w:type="dxa"/>
                <w:tcMar>
                  <w:left w:w="28" w:type="dxa"/>
                  <w:right w:w="28" w:type="dxa"/>
                </w:tcMar>
              </w:tcPr>
              <w:p>
                <w:pPr>
                  <w:jc w:val="center"/>
                  <w:rPr>
                    <w:iCs/>
                    <w:color w:val="333333"/>
                    <w:sz w:val="20"/>
                    <w:lang w:eastAsia="lt-LT"/>
                  </w:rPr>
                </w:pPr>
                <w:r>
                  <w:rPr>
                    <w:iCs/>
                    <w:color w:val="333333"/>
                    <w:sz w:val="20"/>
                    <w:lang w:eastAsia="lt-LT"/>
                  </w:rPr>
                  <w:t>130</w:t>
                </w:r>
              </w:p>
              <w:p>
                <w:pPr>
                  <w:jc w:val="center"/>
                  <w:rPr>
                    <w:i/>
                    <w:sz w:val="18"/>
                    <w:szCs w:val="18"/>
                  </w:rPr>
                </w:pPr>
              </w:p>
            </w:tc>
            <w:tc>
              <w:tcPr>
                <w:tcW w:w="1344" w:type="dxa"/>
                <w:tcMar>
                  <w:left w:w="28" w:type="dxa"/>
                  <w:right w:w="28" w:type="dxa"/>
                </w:tcMar>
              </w:tcPr>
              <w:p>
                <w:pPr>
                  <w:jc w:val="center"/>
                  <w:rPr>
                    <w:i/>
                    <w:sz w:val="18"/>
                    <w:szCs w:val="18"/>
                  </w:rPr>
                </w:pPr>
                <w:r>
                  <w:rPr>
                    <w:iCs/>
                    <w:sz w:val="20"/>
                  </w:rPr>
                  <w:t>VVL regionas</w:t>
                </w:r>
                <w:r>
                  <w:rPr>
                    <w:iCs/>
                    <w:vertAlign w:val="superscript"/>
                  </w:rPr>
                  <w:footnoteReference w:id="3"/>
                </w:r>
              </w:p>
            </w:tc>
            <w:tc>
              <w:tcPr>
                <w:tcW w:w="1080" w:type="dxa"/>
                <w:tcMar>
                  <w:left w:w="28" w:type="dxa"/>
                  <w:right w:w="28" w:type="dxa"/>
                </w:tcMar>
              </w:tcPr>
              <w:p>
                <w:pPr>
                  <w:jc w:val="center"/>
                  <w:rPr>
                    <w:i/>
                    <w:sz w:val="18"/>
                    <w:szCs w:val="18"/>
                  </w:rPr>
                </w:pPr>
                <w:r>
                  <w:rPr>
                    <w:iCs/>
                    <w:sz w:val="20"/>
                  </w:rPr>
                  <w:t>01</w:t>
                </w:r>
              </w:p>
            </w:tc>
            <w:tc>
              <w:tcPr>
                <w:tcW w:w="1344" w:type="dxa"/>
                <w:tcMar>
                  <w:left w:w="28" w:type="dxa"/>
                  <w:right w:w="28" w:type="dxa"/>
                </w:tcMar>
              </w:tcPr>
              <w:p>
                <w:pPr>
                  <w:jc w:val="center"/>
                  <w:rPr>
                    <w:sz w:val="18"/>
                    <w:szCs w:val="18"/>
                  </w:rPr>
                </w:pPr>
                <w:r>
                  <w:rPr>
                    <w:iCs/>
                    <w:sz w:val="20"/>
                  </w:rPr>
                  <w:t>33</w:t>
                </w:r>
              </w:p>
            </w:tc>
            <w:tc>
              <w:tcPr>
                <w:tcW w:w="1051" w:type="dxa"/>
                <w:tcMar>
                  <w:left w:w="28" w:type="dxa"/>
                  <w:right w:w="28" w:type="dxa"/>
                </w:tcMar>
              </w:tcPr>
              <w:p>
                <w:pPr>
                  <w:jc w:val="center"/>
                  <w:rPr>
                    <w:sz w:val="18"/>
                    <w:szCs w:val="18"/>
                  </w:rPr>
                </w:pPr>
                <w:r>
                  <w:rPr>
                    <w:iCs/>
                    <w:sz w:val="20"/>
                  </w:rPr>
                  <w:t>22</w:t>
                </w:r>
              </w:p>
            </w:tc>
            <w:tc>
              <w:tcPr>
                <w:tcW w:w="1132" w:type="dxa"/>
                <w:tcMar>
                  <w:left w:w="28" w:type="dxa"/>
                  <w:right w:w="28" w:type="dxa"/>
                </w:tcMar>
              </w:tcPr>
              <w:p>
                <w:pPr>
                  <w:jc w:val="center"/>
                  <w:rPr>
                    <w:i/>
                    <w:iCs/>
                    <w:sz w:val="18"/>
                    <w:szCs w:val="18"/>
                  </w:rPr>
                </w:pPr>
                <w:r>
                  <w:rPr>
                    <w:iCs/>
                    <w:sz w:val="20"/>
                  </w:rPr>
                  <w:t>-</w:t>
                </w:r>
              </w:p>
            </w:tc>
            <w:tc>
              <w:tcPr>
                <w:tcW w:w="859" w:type="dxa"/>
                <w:tcMar>
                  <w:left w:w="28" w:type="dxa"/>
                  <w:right w:w="28" w:type="dxa"/>
                </w:tcMar>
              </w:tcPr>
              <w:p>
                <w:pPr>
                  <w:jc w:val="center"/>
                  <w:rPr>
                    <w:i/>
                    <w:iCs/>
                    <w:sz w:val="18"/>
                    <w:szCs w:val="18"/>
                  </w:rPr>
                </w:pPr>
                <w:r>
                  <w:rPr>
                    <w:iCs/>
                    <w:sz w:val="20"/>
                  </w:rPr>
                  <w:t>03</w:t>
                </w:r>
              </w:p>
            </w:tc>
            <w:tc>
              <w:tcPr>
                <w:tcW w:w="1149" w:type="dxa"/>
              </w:tcPr>
              <w:p>
                <w:pPr>
                  <w:jc w:val="center"/>
                  <w:rPr>
                    <w:i/>
                    <w:iCs/>
                    <w:sz w:val="18"/>
                    <w:szCs w:val="18"/>
                  </w:rPr>
                </w:pPr>
                <w:r>
                  <w:rPr>
                    <w:sz w:val="20"/>
                  </w:rPr>
                  <w:t>Ne</w:t>
                </w:r>
              </w:p>
            </w:tc>
          </w:tr>
        </w:tbl>
        <w:p>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1"/>
            <w:gridCol w:w="2977"/>
            <w:gridCol w:w="2410"/>
            <w:gridCol w:w="2551"/>
            <w:gridCol w:w="2694"/>
          </w:tblGrid>
          <w:tr>
            <w:trPr>
              <w:trHeight w:val="405"/>
            </w:trPr>
            <w:tc>
              <w:tcPr>
                <w:tcW w:w="4531" w:type="dxa"/>
                <w:shd w:val="clear" w:color="auto" w:fill="auto"/>
                <w:vAlign w:val="center"/>
              </w:tcPr>
              <w:p>
                <w:pPr>
                  <w:jc w:val="center"/>
                  <w:rPr>
                    <w:sz w:val="18"/>
                    <w:szCs w:val="18"/>
                  </w:rPr>
                </w:pPr>
                <w:r>
                  <w:rPr>
                    <w:sz w:val="22"/>
                    <w:szCs w:val="22"/>
                  </w:rPr>
                  <w:t>Rodiklio pavadinimas</w:t>
                </w:r>
              </w:p>
            </w:tc>
            <w:tc>
              <w:tcPr>
                <w:tcW w:w="2977" w:type="dxa"/>
                <w:shd w:val="clear" w:color="auto" w:fill="auto"/>
                <w:vAlign w:val="center"/>
              </w:tcPr>
              <w:p>
                <w:pPr>
                  <w:jc w:val="center"/>
                  <w:rPr>
                    <w:sz w:val="18"/>
                    <w:szCs w:val="18"/>
                  </w:rPr>
                </w:pPr>
                <w:r>
                  <w:rPr>
                    <w:sz w:val="22"/>
                    <w:szCs w:val="22"/>
                  </w:rPr>
                  <w:t>Rodiklio kodas</w:t>
                </w:r>
              </w:p>
            </w:tc>
            <w:tc>
              <w:tcPr>
                <w:tcW w:w="2410" w:type="dxa"/>
                <w:shd w:val="clear" w:color="auto" w:fill="auto"/>
                <w:vAlign w:val="center"/>
              </w:tcPr>
              <w:p>
                <w:pPr>
                  <w:jc w:val="center"/>
                  <w:rPr>
                    <w:sz w:val="18"/>
                    <w:szCs w:val="18"/>
                  </w:rPr>
                </w:pPr>
                <w:r>
                  <w:rPr>
                    <w:sz w:val="22"/>
                    <w:szCs w:val="22"/>
                  </w:rPr>
                  <w:t>Matavimo vienetai</w:t>
                </w:r>
              </w:p>
            </w:tc>
            <w:tc>
              <w:tcPr>
                <w:tcW w:w="2551" w:type="dxa"/>
                <w:vAlign w:val="center"/>
              </w:tcPr>
              <w:p>
                <w:pPr>
                  <w:jc w:val="center"/>
                  <w:rPr>
                    <w:sz w:val="22"/>
                    <w:szCs w:val="22"/>
                  </w:rPr>
                </w:pPr>
                <w:r>
                  <w:rPr>
                    <w:sz w:val="22"/>
                    <w:szCs w:val="22"/>
                  </w:rPr>
                  <w:t>Tarpinė reikšmė 2024 m.</w:t>
                </w:r>
              </w:p>
            </w:tc>
            <w:tc>
              <w:tcPr>
                <w:tcW w:w="2694" w:type="dxa"/>
                <w:shd w:val="clear" w:color="auto" w:fill="auto"/>
                <w:vAlign w:val="center"/>
              </w:tcPr>
              <w:p>
                <w:pPr>
                  <w:jc w:val="center"/>
                  <w:rPr>
                    <w:sz w:val="18"/>
                    <w:szCs w:val="18"/>
                  </w:rPr>
                </w:pPr>
                <w:r>
                  <w:rPr>
                    <w:sz w:val="22"/>
                    <w:szCs w:val="22"/>
                  </w:rPr>
                  <w:t>Siektina reikšmė 2029 m.</w:t>
                </w:r>
              </w:p>
            </w:tc>
          </w:tr>
          <w:tr>
            <w:trPr>
              <w:trHeight w:val="621"/>
            </w:trPr>
            <w:tc>
              <w:tcPr>
                <w:tcW w:w="4531" w:type="dxa"/>
              </w:tcPr>
              <w:p>
                <w:pPr>
                  <w:jc w:val="center"/>
                  <w:rPr>
                    <w:szCs w:val="24"/>
                  </w:rPr>
                </w:pPr>
                <w:r>
                  <w:rPr>
                    <w:bCs/>
                    <w:szCs w:val="24"/>
                  </w:rPr>
                  <w:t xml:space="preserve">GMP skubių įvykdytų iškvietimų paslaugų, suteiktų per 15 min. (mieste), dalis </w:t>
                </w:r>
              </w:p>
            </w:tc>
            <w:tc>
              <w:tcPr>
                <w:tcW w:w="2977" w:type="dxa"/>
              </w:tcPr>
              <w:p>
                <w:pPr>
                  <w:jc w:val="center"/>
                  <w:rPr>
                    <w:szCs w:val="24"/>
                  </w:rPr>
                </w:pPr>
                <w:r>
                  <w:rPr>
                    <w:color w:val="000000"/>
                    <w:szCs w:val="24"/>
                    <w:lang w:eastAsia="lt-LT"/>
                  </w:rPr>
                  <w:t>R.S.2.3036</w:t>
                </w:r>
              </w:p>
              <w:p>
                <w:pPr>
                  <w:jc w:val="center"/>
                  <w:rPr>
                    <w:szCs w:val="24"/>
                  </w:rPr>
                </w:pPr>
                <w:r>
                  <w:rPr>
                    <w:szCs w:val="24"/>
                  </w:rPr>
                  <w:t>R-11-002-02-11-01-19</w:t>
                </w:r>
              </w:p>
            </w:tc>
            <w:tc>
              <w:tcPr>
                <w:tcW w:w="2410" w:type="dxa"/>
              </w:tcPr>
              <w:p>
                <w:pPr>
                  <w:jc w:val="center"/>
                  <w:rPr>
                    <w:szCs w:val="24"/>
                  </w:rPr>
                </w:pPr>
                <w:r>
                  <w:rPr>
                    <w:szCs w:val="24"/>
                  </w:rPr>
                  <w:t>Procentai</w:t>
                </w:r>
              </w:p>
            </w:tc>
            <w:tc>
              <w:tcPr>
                <w:tcW w:w="2551" w:type="dxa"/>
              </w:tcPr>
              <w:p>
                <w:pPr>
                  <w:jc w:val="center"/>
                  <w:rPr>
                    <w:szCs w:val="24"/>
                  </w:rPr>
                </w:pPr>
                <w:r>
                  <w:rPr>
                    <w:szCs w:val="24"/>
                  </w:rPr>
                  <w:t>-</w:t>
                </w:r>
              </w:p>
            </w:tc>
            <w:tc>
              <w:tcPr>
                <w:tcW w:w="2694" w:type="dxa"/>
              </w:tcPr>
              <w:p>
                <w:pPr>
                  <w:jc w:val="center"/>
                  <w:rPr>
                    <w:szCs w:val="24"/>
                  </w:rPr>
                </w:pPr>
                <w:r>
                  <w:rPr>
                    <w:szCs w:val="24"/>
                  </w:rPr>
                  <w:t xml:space="preserve">98 </w:t>
                </w:r>
              </w:p>
            </w:tc>
          </w:tr>
          <w:tr>
            <w:trPr>
              <w:trHeight w:val="559"/>
            </w:trPr>
            <w:tc>
              <w:tcPr>
                <w:tcW w:w="4531" w:type="dxa"/>
              </w:tcPr>
              <w:p>
                <w:pPr>
                  <w:jc w:val="center"/>
                  <w:rPr>
                    <w:sz w:val="22"/>
                    <w:szCs w:val="22"/>
                  </w:rPr>
                </w:pPr>
                <w:r>
                  <w:rPr>
                    <w:szCs w:val="24"/>
                  </w:rPr>
                  <w:t xml:space="preserve">GMP skubių įvykdytų iškvietimų paslaugų, suteiktų per 25 min. (kaime), dalis </w:t>
                </w:r>
              </w:p>
            </w:tc>
            <w:tc>
              <w:tcPr>
                <w:tcW w:w="2977" w:type="dxa"/>
              </w:tcPr>
              <w:p>
                <w:pPr>
                  <w:jc w:val="center"/>
                  <w:rPr>
                    <w:szCs w:val="24"/>
                  </w:rPr>
                </w:pPr>
                <w:r>
                  <w:rPr>
                    <w:color w:val="000000"/>
                    <w:szCs w:val="24"/>
                    <w:lang w:eastAsia="lt-LT"/>
                  </w:rPr>
                  <w:t>R.S.2.3037</w:t>
                </w:r>
              </w:p>
              <w:p>
                <w:pPr>
                  <w:jc w:val="center"/>
                  <w:rPr>
                    <w:szCs w:val="24"/>
                  </w:rPr>
                </w:pPr>
                <w:r>
                  <w:rPr>
                    <w:szCs w:val="24"/>
                  </w:rPr>
                  <w:t>R-11-002-02-11-01-20</w:t>
                </w:r>
              </w:p>
            </w:tc>
            <w:tc>
              <w:tcPr>
                <w:tcW w:w="2410" w:type="dxa"/>
              </w:tcPr>
              <w:p>
                <w:pPr>
                  <w:jc w:val="center"/>
                  <w:rPr>
                    <w:sz w:val="22"/>
                    <w:szCs w:val="22"/>
                  </w:rPr>
                </w:pPr>
                <w:r>
                  <w:rPr>
                    <w:szCs w:val="24"/>
                  </w:rPr>
                  <w:t>Procentai</w:t>
                </w:r>
              </w:p>
            </w:tc>
            <w:tc>
              <w:tcPr>
                <w:tcW w:w="2551" w:type="dxa"/>
              </w:tcPr>
              <w:p>
                <w:pPr>
                  <w:jc w:val="center"/>
                  <w:rPr>
                    <w:szCs w:val="24"/>
                  </w:rPr>
                </w:pPr>
                <w:r>
                  <w:rPr>
                    <w:szCs w:val="24"/>
                  </w:rPr>
                  <w:t>-</w:t>
                </w:r>
              </w:p>
            </w:tc>
            <w:tc>
              <w:tcPr>
                <w:tcW w:w="2694" w:type="dxa"/>
              </w:tcPr>
              <w:p>
                <w:pPr>
                  <w:jc w:val="center"/>
                  <w:rPr>
                    <w:sz w:val="22"/>
                    <w:szCs w:val="22"/>
                  </w:rPr>
                </w:pPr>
                <w:r>
                  <w:rPr>
                    <w:szCs w:val="24"/>
                  </w:rPr>
                  <w:t xml:space="preserve">98 </w:t>
                </w:r>
              </w:p>
            </w:tc>
          </w:tr>
          <w:tr>
            <w:trPr>
              <w:trHeight w:val="411"/>
            </w:trPr>
            <w:tc>
              <w:tcPr>
                <w:tcW w:w="4531" w:type="dxa"/>
              </w:tcPr>
              <w:p>
                <w:pPr>
                  <w:jc w:val="center"/>
                  <w:rPr>
                    <w:rFonts w:eastAsia="Calibri"/>
                    <w:szCs w:val="24"/>
                  </w:rPr>
                </w:pPr>
                <w:r>
                  <w:rPr>
                    <w:bCs/>
                    <w:szCs w:val="24"/>
                  </w:rPr>
                  <w:t>GMP</w:t>
                </w:r>
                <w:r>
                  <w:rPr>
                    <w:rFonts w:eastAsia="Calibri"/>
                    <w:szCs w:val="24"/>
                    <w:lang w:eastAsia="en-GB" w:bidi="lt-LT"/>
                  </w:rPr>
                  <w:t xml:space="preserve"> paslaugų infrastruktūros, kuriai skirta parama, pajėgumas </w:t>
                </w:r>
              </w:p>
            </w:tc>
            <w:tc>
              <w:tcPr>
                <w:tcW w:w="2977" w:type="dxa"/>
              </w:tcPr>
              <w:p>
                <w:pPr>
                  <w:jc w:val="center"/>
                  <w:rPr>
                    <w:szCs w:val="24"/>
                  </w:rPr>
                </w:pPr>
                <w:r>
                  <w:rPr>
                    <w:color w:val="000000"/>
                    <w:szCs w:val="24"/>
                    <w:lang w:eastAsia="lt-LT"/>
                  </w:rPr>
                  <w:t>P.S.2.1033</w:t>
                </w:r>
              </w:p>
              <w:p>
                <w:pPr>
                  <w:jc w:val="center"/>
                  <w:rPr>
                    <w:szCs w:val="24"/>
                  </w:rPr>
                </w:pPr>
                <w:r>
                  <w:rPr>
                    <w:szCs w:val="24"/>
                  </w:rPr>
                  <w:t>P-11-002-02-11-01-32</w:t>
                </w:r>
              </w:p>
            </w:tc>
            <w:tc>
              <w:tcPr>
                <w:tcW w:w="2410" w:type="dxa"/>
              </w:tcPr>
              <w:p>
                <w:pPr>
                  <w:jc w:val="center"/>
                  <w:rPr>
                    <w:szCs w:val="24"/>
                  </w:rPr>
                </w:pPr>
                <w:r>
                  <w:rPr>
                    <w:szCs w:val="24"/>
                  </w:rPr>
                  <w:t>Asmenys per metus</w:t>
                </w:r>
              </w:p>
            </w:tc>
            <w:tc>
              <w:tcPr>
                <w:tcW w:w="2551" w:type="dxa"/>
              </w:tcPr>
              <w:p>
                <w:pPr>
                  <w:jc w:val="center"/>
                  <w:rPr>
                    <w:szCs w:val="24"/>
                  </w:rPr>
                </w:pPr>
                <w:r>
                  <w:rPr>
                    <w:szCs w:val="24"/>
                  </w:rPr>
                  <w:t>400 000</w:t>
                </w:r>
              </w:p>
            </w:tc>
            <w:tc>
              <w:tcPr>
                <w:tcW w:w="2694" w:type="dxa"/>
              </w:tcPr>
              <w:p>
                <w:pPr>
                  <w:jc w:val="center"/>
                  <w:rPr>
                    <w:szCs w:val="24"/>
                  </w:rPr>
                </w:pPr>
                <w:r>
                  <w:rPr>
                    <w:szCs w:val="24"/>
                  </w:rPr>
                  <w:t xml:space="preserve">2 000 000 </w:t>
                </w:r>
              </w:p>
            </w:tc>
          </w:tr>
        </w:tbl>
        <w:p>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trPr>
              <w:trHeight w:val="298"/>
            </w:trPr>
            <w:tc>
              <w:tcPr>
                <w:tcW w:w="15127" w:type="dxa"/>
              </w:tcPr>
              <w:p>
                <w:pPr>
                  <w:jc w:val="both"/>
                  <w:rPr>
                    <w:szCs w:val="24"/>
                  </w:rPr>
                </w:pPr>
                <w:r>
                  <w:rPr>
                    <w:szCs w:val="24"/>
                  </w:rPr>
                  <w:t>Ministerijos stebėsenos rodiklių aprašymo kortelės</w:t>
                </w:r>
              </w:p>
            </w:tc>
          </w:tr>
          <w:tr>
            <w:trPr>
              <w:trHeight w:val="315"/>
            </w:trPr>
            <w:tc>
              <w:tcPr>
                <w:tcW w:w="15127" w:type="dxa"/>
              </w:tcPr>
              <w:p>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pPr>
                  <w:ind w:right="340"/>
                  <w:jc w:val="both"/>
                  <w:rPr>
                    <w:iCs/>
                    <w:szCs w:val="24"/>
                  </w:rPr>
                </w:pPr>
                <w:r>
                  <w:rPr>
                    <w:iCs/>
                    <w:color w:val="0563C1"/>
                    <w:szCs w:val="24"/>
                    <w:u w:val="single"/>
                  </w:rPr>
                  <w:t>https://sam.lrv.lt/lt/administracine-informacija/planavimo-dokumentai/pletros-programos/sveikatos-prieziuros-kokybes-ir-efektyvumo-didinimo-pletros-programa</w:t>
                </w:r>
              </w:p>
              <w:p>
                <w:pPr>
                  <w:ind w:right="340"/>
                  <w:jc w:val="both"/>
                  <w:rPr>
                    <w:i/>
                    <w:szCs w:val="24"/>
                  </w:rPr>
                </w:pPr>
              </w:p>
            </w:tc>
          </w:tr>
        </w:tbl>
        <w:p>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tc>
              <w:tcPr>
                <w:tcW w:w="15134" w:type="dxa"/>
              </w:tcPr>
              <w:p>
                <w:pPr>
                  <w:rPr>
                    <w:b/>
                    <w:szCs w:val="24"/>
                  </w:rPr>
                </w:pPr>
                <w:r>
                  <w:rPr>
                    <w:b/>
                    <w:szCs w:val="24"/>
                  </w:rPr>
                  <w:t>SPECIALIEJI FINANSAVIMO REIKALAVIMAI</w:t>
                </w:r>
              </w:p>
            </w:tc>
          </w:tr>
          <w:tr>
            <w:tc>
              <w:tcPr>
                <w:tcW w:w="15134" w:type="dxa"/>
              </w:tcPr>
              <w:p>
                <w:pPr>
                  <w:rPr>
                    <w:b/>
                    <w:bCs/>
                    <w:szCs w:val="24"/>
                  </w:rPr>
                </w:pPr>
                <w:r>
                  <w:rPr>
                    <w:b/>
                    <w:bCs/>
                    <w:szCs w:val="24"/>
                  </w:rPr>
                  <w:t>1. Taikomi teisės aktai</w:t>
                </w:r>
              </w:p>
            </w:tc>
          </w:tr>
          <w:tr>
            <w:tc>
              <w:tcPr>
                <w:tcW w:w="15134" w:type="dxa"/>
              </w:tcPr>
              <w:p>
                <w:pPr>
                  <w:jc w:val="both"/>
                  <w:rPr>
                    <w:lang w:eastAsia="lt-LT"/>
                  </w:rPr>
                </w:pPr>
                <w:r>
                  <w:rPr>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lang w:val="es-ES" w:eastAsia="lt-LT"/>
                  </w:rPr>
                  <w:t>2</w:t>
                </w:r>
                <w:r>
                  <w:rPr>
                    <w:lang w:eastAsia="lt-LT"/>
                  </w:rPr>
                  <w:t> m. gegužės </w:t>
                </w:r>
                <w:r>
                  <w:rPr>
                    <w:lang w:val="es-ES" w:eastAsia="lt-LT"/>
                  </w:rPr>
                  <w:t>20</w:t>
                </w:r>
                <w:r>
                  <w:rPr>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color w:val="000000"/>
                  </w:rPr>
                  <w:t>Pažangos priemonės aprašas</w:t>
                </w:r>
                <w:r>
                  <w:rPr>
                    <w:lang w:eastAsia="lt-LT"/>
                  </w:rPr>
                  <w:t>)</w:t>
                </w:r>
                <w:r>
                  <w:rPr>
                    <w:color w:val="000000"/>
                    <w:vertAlign w:val="superscript"/>
                  </w:rPr>
                  <w:t xml:space="preserve"> </w:t>
                  <w:footnoteReference w:id="4"/>
                </w:r>
                <w:r>
                  <w:rPr>
                    <w:lang w:eastAsia="lt-LT"/>
                  </w:rPr>
                  <w:t xml:space="preserve"> patvirtintą </w:t>
                </w:r>
                <w:r>
                  <w:t>2022–2030 metų sveikatos priežiūros kokybės ir efektyvumo didinimo plėtros programos pažangos priemonės Nr. 11-002-02-11-01 „Gerinti sveikatos priežiūros paslaugų kokybę ir prieinamumą“ projektų finansavimo sąlygų aprašą Nr. 10</w:t>
                </w:r>
                <w:r>
                  <w:rPr>
                    <w:lang w:eastAsia="lt-LT"/>
                  </w:rPr>
                  <w:t xml:space="preserve"> (toliau – Aprašas):</w:t>
                </w:r>
              </w:p>
              <w:p>
                <w:pPr>
                  <w:jc w:val="both"/>
                  <w:rPr>
                    <w:b/>
                    <w:bCs/>
                  </w:rPr>
                </w:pPr>
              </w:p>
              <w:p>
                <w:pPr>
                  <w:jc w:val="both"/>
                  <w:rPr>
                    <w:b/>
                    <w:bCs/>
                  </w:rPr>
                </w:pPr>
                <w:r>
                  <w:rPr>
                    <w:b/>
                    <w:bCs/>
                  </w:rPr>
                  <w:t>Bendrieji teisės aktai:</w:t>
                </w:r>
              </w:p>
              <w:p>
                <w:pPr>
                  <w:jc w:val="both"/>
                </w:pPr>
                <w:r>
                  <w:t xml:space="preserve">1.1. </w:t>
                </w:r>
                <w:r>
                  <w:rPr>
                    <w:color w:val="000000"/>
                  </w:rPr>
                  <w:t xml:space="preserve">2021 m. birželio 24 d. Europos Parlamento ir Tarybos reglamentas </w:t>
                </w:r>
                <w:r>
                  <w:rPr>
                    <w:color w:val="0563C1"/>
                    <w:u w:val="single"/>
                  </w:rPr>
                  <w:t>(ES) 2021/1060</w:t>
                </w:r>
                <w:r>
                  <w:rPr>
                    <w:color w:val="000000"/>
                  </w:rPr>
                  <w:t xml:space="preserve">, </w:t>
                </w:r>
                <w:r>
                  <w:rPr>
                    <w:color w:val="333333"/>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color w:val="000000"/>
                    <w:szCs w:val="24"/>
                    <w:vertAlign w:val="superscript"/>
                  </w:rPr>
                  <w:footnoteReference w:id="5"/>
                </w:r>
                <w:r>
                  <w:rPr>
                    <w:color w:val="000000"/>
                  </w:rPr>
                  <w:t>;</w:t>
                </w:r>
              </w:p>
              <w:p>
                <w:pPr>
                  <w:jc w:val="both"/>
                </w:pPr>
                <w:r>
                  <w:t>1.2. 2022 m. rugpjūčio 3 d. Europos Komisijos sprendimas Nr. C(2022)5742, kuriuo patvirtinta programa „2021–2027 metų Europos Sąjungos investicijų programa“</w:t>
                </w:r>
                <w:r>
                  <w:rPr>
                    <w:vertAlign w:val="superscript"/>
                  </w:rPr>
                  <w:footnoteReference w:id="6"/>
                </w:r>
                <w:r>
                  <w:t>;</w:t>
                </w:r>
              </w:p>
              <w:p>
                <w:pPr>
                  <w:jc w:val="both"/>
                </w:pPr>
                <w:r>
                  <w:t>1.3. Lietuvos Respublikos finansų ministro 2022 m. birželio 22 d. įsakymu Nr. 1K-237 „Dėl 2021–2027 metų Europos Sąjungos fondų investicijų programos ir Ekonomikos gaivinimo ir atsparumo didinimo plano „Naujos kartos Lietuva“ įgyvendinimo“</w:t>
                </w:r>
                <w:hyperlink r:id="rId12" w:history="1">
                  <w:r>
                    <w:rPr>
                      <w:color w:val="0563C1"/>
                      <w:szCs w:val="24"/>
                      <w:u w:val="single"/>
                      <w:vertAlign w:val="superscript"/>
                    </w:rPr>
                    <w:footnoteReference w:id="7"/>
                  </w:r>
                </w:hyperlink>
                <w:r>
                  <w:rPr>
                    <w:color w:val="0563C1"/>
                    <w:szCs w:val="24"/>
                    <w:u w:val="single"/>
                    <w:vertAlign w:val="superscript"/>
                  </w:rPr>
                  <w:t xml:space="preserve"> </w:t>
                </w:r>
                <w:r>
                  <w:t>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pPr>
                  <w:jc w:val="both"/>
                  <w:rPr>
                    <w:b/>
                    <w:bCs/>
                    <w:szCs w:val="24"/>
                  </w:rPr>
                </w:pPr>
              </w:p>
              <w:p>
                <w:pPr>
                  <w:jc w:val="both"/>
                  <w:rPr>
                    <w:b/>
                    <w:bCs/>
                    <w:szCs w:val="24"/>
                  </w:rPr>
                </w:pPr>
                <w:r>
                  <w:rPr>
                    <w:b/>
                    <w:bCs/>
                    <w:szCs w:val="24"/>
                  </w:rPr>
                  <w:t>Specialieji teisės aktai:</w:t>
                </w:r>
              </w:p>
              <w:p>
                <w:pPr>
                  <w:jc w:val="both"/>
                  <w:rPr>
                    <w:color w:val="000000"/>
                    <w:szCs w:val="24"/>
                    <w:lang w:eastAsia="lt-LT"/>
                  </w:rPr>
                </w:pPr>
                <w:r>
                  <w:rPr>
                    <w:color w:val="000000"/>
                    <w:szCs w:val="24"/>
                  </w:rPr>
                  <w:t xml:space="preserve">1.1. </w:t>
                </w:r>
                <w:r>
                  <w:rPr>
                    <w:color w:val="000000"/>
                    <w:szCs w:val="24"/>
                    <w:lang w:eastAsia="lt-LT"/>
                  </w:rPr>
                  <w:t>GMP paslaugų teikimo reikalavimai, patvirtinti Lietuvos Respublikos sveikatos apsaugos ministro 2007 m. lapkričio 6 d. įsakymu Nr. V-895 „Dėl Greitosios medicinos pagalbos paslaugų teikimo reikalavimų patvirtinimo“</w:t>
                </w:r>
                <w:r>
                  <w:rPr>
                    <w:color w:val="0563C1"/>
                    <w:szCs w:val="24"/>
                    <w:u w:val="single"/>
                    <w:vertAlign w:val="superscript"/>
                  </w:rPr>
                  <w:footnoteReference w:id="8"/>
                </w:r>
                <w:r>
                  <w:rPr>
                    <w:color w:val="000000"/>
                    <w:szCs w:val="24"/>
                    <w:lang w:eastAsia="lt-LT"/>
                  </w:rPr>
                  <w:t>;</w:t>
                </w:r>
              </w:p>
              <w:p>
                <w:pPr>
                  <w:jc w:val="both"/>
                  <w:rPr>
                    <w:color w:val="000000"/>
                    <w:szCs w:val="24"/>
                    <w:lang w:eastAsia="lt-LT"/>
                  </w:rPr>
                </w:pPr>
                <w:r>
                  <w:rPr>
                    <w:color w:val="000000"/>
                    <w:szCs w:val="24"/>
                    <w:lang w:eastAsia="lt-LT"/>
                  </w:rPr>
                  <w:t>1.2. Privalomų medicinos prietaisų, vaistų, asmeninių apsaugos priemonių, gelbėjimo ir apsaugos bei ryšio priemonių GMP transporto priemonėse sąrašas, patvirtintas Lietuvos Respublikos sveikatos apsaugos ministro 2003 m. liepos 11 d. įsakymu Nr. V-428 „Dėl Privalomų medicinos prietaisų, vaistų, asmeninių apsaugos priemonių, gelbėjimo ir apsaugos bei ryšio priemonių greitosios medicinos pagalbos transporto priemonėse sąrašo patvirtinimo“</w:t>
                </w:r>
                <w:r>
                  <w:t xml:space="preserve"> (toliau – įsakymas Nr. V-428)</w:t>
                </w:r>
                <w:hyperlink r:id="rId13" w:history="1">
                  <w:r>
                    <w:rPr>
                      <w:color w:val="0563C1"/>
                      <w:szCs w:val="24"/>
                      <w:u w:val="single"/>
                      <w:vertAlign w:val="superscript"/>
                    </w:rPr>
                    <w:footnoteReference w:id="9"/>
                  </w:r>
                </w:hyperlink>
                <w:r>
                  <w:rPr>
                    <w:color w:val="000000"/>
                    <w:szCs w:val="24"/>
                    <w:lang w:eastAsia="lt-LT"/>
                  </w:rPr>
                  <w:t>;</w:t>
                </w:r>
              </w:p>
              <w:p>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color w:val="000000"/>
                    <w:szCs w:val="24"/>
                  </w:rPr>
                </w:pPr>
                <w:r>
                  <w:rPr>
                    <w:color w:val="000000"/>
                    <w:szCs w:val="24"/>
                    <w:lang w:eastAsia="lt-LT"/>
                  </w:rPr>
                  <w:t xml:space="preserve">1.3. </w:t>
                </w:r>
                <w:r>
                  <w:rPr>
                    <w:color w:val="000000"/>
                    <w:szCs w:val="24"/>
                  </w:rPr>
                  <w:t xml:space="preserve">GMP dispečerinių tarnybų veiklos aprašas, patvirtintas Lietuvos Respublikos sveikatos apsaugos ministro 2012 m.  7 d. įsakymu Nr. V-996 „Dėl Greitosios medicinos pagalbos dispečerinių tarnybų veiklos aprašo patvirtinimo“ (toliau – įsakymas Nr. V-996)</w:t>
                </w:r>
                <w:hyperlink r:id="rId14" w:history="1">
                  <w:r>
                    <w:rPr>
                      <w:color w:val="0563C1"/>
                      <w:szCs w:val="24"/>
                      <w:u w:val="single"/>
                      <w:vertAlign w:val="superscript"/>
                    </w:rPr>
                    <w:footnoteReference w:id="10"/>
                  </w:r>
                </w:hyperlink>
                <w:r>
                  <w:rPr>
                    <w:color w:val="000000"/>
                  </w:rPr>
                  <w:t>.</w:t>
                </w:r>
              </w:p>
              <w:p>
                <w:pPr>
                  <w:jc w:val="both"/>
                  <w:rPr>
                    <w:szCs w:val="24"/>
                  </w:rPr>
                </w:pPr>
                <w:r>
                  <w:rPr>
                    <w:szCs w:val="24"/>
                  </w:rPr>
                  <w:t>Apraše vartojamos sąvokos suprantamos taip, kaip jos apibrėžtos Apraše paminėtuose bendruosiuose teisės aktuose.</w:t>
                </w:r>
              </w:p>
              <w:p>
                <w:pPr>
                  <w:jc w:val="both"/>
                  <w:rPr>
                    <w:szCs w:val="24"/>
                  </w:rPr>
                </w:pPr>
              </w:p>
              <w:p>
                <w:pPr>
                  <w:jc w:val="both"/>
                  <w:rPr>
                    <w:i/>
                    <w:iCs/>
                    <w:sz w:val="22"/>
                    <w:szCs w:val="22"/>
                  </w:rPr>
                </w:pPr>
              </w:p>
            </w:tc>
          </w:tr>
          <w:tr>
            <w:tc>
              <w:tcPr>
                <w:tcW w:w="15134" w:type="dxa"/>
              </w:tcPr>
              <w:p>
                <w:pPr>
                  <w:rPr>
                    <w:b/>
                    <w:szCs w:val="24"/>
                  </w:rPr>
                </w:pPr>
                <w:r>
                  <w:rPr>
                    <w:b/>
                    <w:szCs w:val="24"/>
                  </w:rPr>
                  <w:t>2. Reikalavimai projektams, pareiškėjams ir partneriams</w:t>
                </w:r>
              </w:p>
            </w:tc>
          </w:tr>
          <w:tr>
            <w:tc>
              <w:tcPr>
                <w:tcW w:w="15134" w:type="dxa"/>
              </w:tcPr>
              <w:p>
                <w:pPr>
                  <w:jc w:val="both"/>
                </w:pPr>
                <w:r>
                  <w:t>2.1. Pagal šį Aprašą finansuojama veikla atitinka Pažangos priemonės aprašo III skyriaus „Plėtros programos pažangos priemonės veiklų suvestinė“ 9 veiklą „Greitosios medicinos pagalbos tinklo veiklos efektyvumo didinimas“, 9.2 poveiklę „Greitosios medicinos pagalbos automobilių, įrangos įsigijimas ir greitosios medicinos pagalbos stočių infrastruktūros pritaikymas, Sostinės regionas“ ir 9.3 poveiklę „Greitosios medicinos pagalbos automobilių, įrangos įsigijimas ir greitosios medicinos pagalbos stočių infrastruktūros pritaikymas, Vidurio ir vakarų Lietuvos regionas“.</w:t>
                </w:r>
              </w:p>
              <w:p>
                <w:pPr>
                  <w:jc w:val="both"/>
                </w:pPr>
                <w:r>
                  <w:rPr>
                    <w:color w:val="000000"/>
                    <w:szCs w:val="24"/>
                  </w:rPr>
                  <w:t xml:space="preserve">2.2. Įgyvendinant Pažangos priemonę </w:t>
                </w:r>
                <w:r>
                  <w:rPr>
                    <w:rFonts w:eastAsia="Calibri"/>
                    <w:szCs w:val="24"/>
                  </w:rPr>
                  <w:t xml:space="preserve">numatoma finansuoti B tipo </w:t>
                </w:r>
                <w:r>
                  <w:rPr>
                    <w:color w:val="000000"/>
                    <w:szCs w:val="24"/>
                  </w:rPr>
                  <w:t xml:space="preserve">GMP automobilių, specialios paskirties automobilių ir medicininės įrangos įsigijimą, </w:t>
                </w:r>
                <w:r>
                  <w:rPr>
                    <w:rFonts w:eastAsia="Calibri"/>
                    <w:szCs w:val="24"/>
                  </w:rPr>
                  <w:t>siekiant d</w:t>
                </w:r>
                <w:r>
                  <w:rPr>
                    <w:szCs w:val="24"/>
                  </w:rPr>
                  <w:t xml:space="preserve">idinti GMP tinklo veiklos efektyvumą, kad </w:t>
                </w:r>
                <w:r>
                  <w:rPr>
                    <w:szCs w:val="24"/>
                    <w:lang w:eastAsia="lt-LT"/>
                  </w:rPr>
                  <w:t xml:space="preserve">visiems Lietuvos gyventojams būtų </w:t>
                </w:r>
                <w:r>
                  <w:rPr>
                    <w:szCs w:val="24"/>
                  </w:rPr>
                  <w:t xml:space="preserve">užtikrintas GMP paslaugų </w:t>
                </w:r>
                <w:r>
                  <w:rPr>
                    <w:szCs w:val="24"/>
                    <w:lang w:eastAsia="lt-LT"/>
                  </w:rPr>
                  <w:t>suteikimas laiku</w:t>
                </w:r>
                <w:r>
                  <w:rPr>
                    <w:rFonts w:eastAsia="Calibri"/>
                    <w:szCs w:val="24"/>
                  </w:rPr>
                  <w:t xml:space="preserve">. </w:t>
                </w:r>
                <w:r>
                  <w:t xml:space="preserve">Specialios paskirties automobilis – tai automobilis, skirtas pagalbai masinių nelaimių metu teikti (kai į įvykio vietą atvyksta vienas automobilis), kuriame yra reikiama įranga pagalbai mažiausiai 20-čiai pacientų teikti.  </w:t>
                </w:r>
              </w:p>
              <w:p>
                <w:pPr>
                  <w:ind w:firstLine="62"/>
                  <w:jc w:val="both"/>
                  <w:rPr>
                    <w:color w:val="000000"/>
                    <w:szCs w:val="24"/>
                  </w:rPr>
                </w:pPr>
                <w:r>
                  <w:t>2.3.</w:t>
                </w:r>
                <w:r>
                  <w:rPr>
                    <w:color w:val="000000"/>
                    <w:szCs w:val="24"/>
                  </w:rPr>
                  <w:t xml:space="preserve"> Galimas pareiškėjas – Viešoji įstaiga Kauno miesto GMP stotis, kuri, kaip numatyta Lietuvos Respublikos Vyriausybės 2022 m. gruodžio 21 d. nutarime Nr. 1271</w:t>
                </w:r>
                <w:r>
                  <w:rPr>
                    <w:color w:val="000000"/>
                    <w:szCs w:val="24"/>
                    <w:vertAlign w:val="superscript"/>
                  </w:rPr>
                  <w:footnoteReference w:id="11"/>
                </w:r>
                <w:r>
                  <w:rPr>
                    <w:color w:val="000000"/>
                    <w:szCs w:val="24"/>
                  </w:rPr>
                  <w:t xml:space="preserve">, nuo 2023 m. liepos 1 d. </w:t>
                </w:r>
                <w:r>
                  <w:rPr>
                    <w:color w:val="000000"/>
                    <w:bdr w:val="none" w:sz="0" w:space="0" w:color="auto" w:frame="1"/>
                  </w:rPr>
                  <w:t>pervadinama į viešąją įstaigą GMP tarnybą ir kuri yra Lietuvos Respublikos sveikatos sistemos įstatymo 19</w:t>
                </w:r>
                <w:r>
                  <w:rPr>
                    <w:color w:val="000000"/>
                    <w:bdr w:val="none" w:sz="0" w:space="0" w:color="auto" w:frame="1"/>
                    <w:vertAlign w:val="superscript"/>
                  </w:rPr>
                  <w:t>1</w:t>
                </w:r>
                <w:r>
                  <w:rPr>
                    <w:color w:val="000000"/>
                    <w:bdr w:val="none" w:sz="0" w:space="0" w:color="auto" w:frame="1"/>
                  </w:rPr>
                  <w:t> straipsnio 1 dalyje</w:t>
                </w:r>
                <w:r>
                  <w:rPr>
                    <w:color w:val="000000"/>
                    <w:bdr w:val="none" w:sz="0" w:space="0" w:color="auto" w:frame="1"/>
                    <w:vertAlign w:val="superscript"/>
                  </w:rPr>
                  <w:footnoteReference w:id="12"/>
                </w:r>
                <w:r>
                  <w:rPr>
                    <w:color w:val="000000"/>
                    <w:bdr w:val="none" w:sz="0" w:space="0" w:color="auto" w:frame="1"/>
                  </w:rPr>
                  <w:t xml:space="preserve"> nurodyta GMP paslaugas Lietuvoje teikianti įstaiga.</w:t>
                </w:r>
              </w:p>
              <w:p>
                <w:pPr>
                  <w:jc w:val="both"/>
                  <w:rPr>
                    <w:color w:val="000000"/>
                    <w:szCs w:val="24"/>
                  </w:rPr>
                </w:pPr>
                <w:r>
                  <w:rPr>
                    <w:color w:val="000000"/>
                    <w:szCs w:val="24"/>
                  </w:rPr>
                  <w:t xml:space="preserve">2.4. Partneriai nėra galimi. </w:t>
                </w:r>
              </w:p>
              <w:p>
                <w:pPr>
                  <w:jc w:val="both"/>
                  <w:rPr>
                    <w:color w:val="000000"/>
                    <w:szCs w:val="24"/>
                  </w:rPr>
                </w:pPr>
                <w:r>
                  <w:rPr>
                    <w:rFonts w:eastAsia="Calibri"/>
                    <w:szCs w:val="24"/>
                  </w:rPr>
                  <w:t xml:space="preserve">2.5. </w:t>
                </w:r>
                <w:r>
                  <w:rPr>
                    <w:color w:val="000000"/>
                    <w:szCs w:val="24"/>
                  </w:rPr>
                  <w:t>Projekto veiklos turi būti vykdomos Lietuvos Respublikoje. V</w:t>
                </w:r>
                <w:r>
                  <w:rPr>
                    <w:szCs w:val="24"/>
                  </w:rPr>
                  <w:t>eiklos skirtinguose regionuose gali būti vykdomos įgyvendinant vieną projektą.</w:t>
                </w:r>
              </w:p>
              <w:p>
                <w:pPr>
                  <w:jc w:val="both"/>
                  <w:rPr>
                    <w:color w:val="000000"/>
                    <w:szCs w:val="24"/>
                  </w:rPr>
                </w:pPr>
                <w:r>
                  <w:rPr>
                    <w:color w:val="000000"/>
                    <w:szCs w:val="24"/>
                  </w:rPr>
                  <w:t>2.6. Projektui pagal šio Aprašo veiklą įgyvendinti skiriama iki 32 340 000,00 Eur (trisdešimt du milijonai trys šimtai keturiasdešimt tūkstančių Eur), iš kurių:</w:t>
                </w:r>
              </w:p>
              <w:p>
                <w:pPr>
                  <w:jc w:val="both"/>
                  <w:rPr>
                    <w:szCs w:val="24"/>
                  </w:rPr>
                </w:pPr>
                <w:r>
                  <w:rPr>
                    <w:color w:val="000000"/>
                    <w:szCs w:val="24"/>
                  </w:rPr>
                  <w:t>2.6.1. iki 24 654 000,00</w:t>
                </w:r>
                <w:r>
                  <w:rPr>
                    <w:b/>
                    <w:bCs/>
                    <w:color w:val="000000"/>
                    <w:szCs w:val="24"/>
                  </w:rPr>
                  <w:t xml:space="preserve"> </w:t>
                </w:r>
                <w:r>
                  <w:rPr>
                    <w:color w:val="000000"/>
                    <w:szCs w:val="24"/>
                  </w:rPr>
                  <w:t xml:space="preserve">Eur </w:t>
                </w:r>
                <w:r>
                  <w:rPr>
                    <w:szCs w:val="24"/>
                  </w:rPr>
                  <w:t>(dvidešimt keturi milijonai šeši šimtai penkiasdešimt keturi tūkstančiai Eur) ES lėšų, iš jų:</w:t>
                </w:r>
              </w:p>
              <w:p>
                <w:pPr>
                  <w:jc w:val="both"/>
                  <w:rPr>
                    <w:szCs w:val="24"/>
                  </w:rPr>
                </w:pPr>
                <w:r>
                  <w:rPr>
                    <w:szCs w:val="24"/>
                  </w:rPr>
                  <w:t>2.6.1.1. iki 4 050 000,00 Eur (keturi milijonai penkiasdešimt tūkstančių Eur) Sostinė regione;</w:t>
                </w:r>
              </w:p>
              <w:p>
                <w:pPr>
                  <w:jc w:val="both"/>
                  <w:rPr>
                    <w:szCs w:val="24"/>
                  </w:rPr>
                </w:pPr>
                <w:r>
                  <w:rPr>
                    <w:szCs w:val="24"/>
                  </w:rPr>
                  <w:t>2.6.1.2. iki 20 604 000,00 Eur (dvidešimt milijonų šeši šimtai keturi tūkstančiai Eur) VVL regione;</w:t>
                </w:r>
              </w:p>
              <w:p>
                <w:pPr>
                  <w:jc w:val="both"/>
                  <w:rPr>
                    <w:szCs w:val="24"/>
                  </w:rPr>
                </w:pPr>
                <w:r>
                  <w:rPr>
                    <w:szCs w:val="24"/>
                  </w:rPr>
                  <w:t>2.6.2. iki 7 686 000,00 Eur (septyni milijonai šeši šimtai aštuoniasdešimt šeši tūkstančiai Eur) BF lėšų, iš jų:</w:t>
                </w:r>
              </w:p>
              <w:p>
                <w:pPr>
                  <w:jc w:val="both"/>
                  <w:rPr>
                    <w:szCs w:val="24"/>
                  </w:rPr>
                </w:pPr>
                <w:r>
                  <w:rPr>
                    <w:szCs w:val="24"/>
                  </w:rPr>
                  <w:t>2.6.2.1. iki 4 050 000,00 Eur (keturi milijonai penkiasdešimt tūkstančių Eur) Sostinė regione;</w:t>
                </w:r>
              </w:p>
              <w:p>
                <w:pPr>
                  <w:jc w:val="both"/>
                  <w:rPr>
                    <w:szCs w:val="24"/>
                  </w:rPr>
                </w:pPr>
                <w:r>
                  <w:rPr>
                    <w:szCs w:val="24"/>
                  </w:rPr>
                  <w:t>2.6.2.2 iki 3 636 000,00 Eur (trys milijonai šeši šimtai trisdešimt šeši tūkstančiai Eur) VVL regione.</w:t>
                </w:r>
              </w:p>
              <w:p>
                <w:pPr>
                  <w:jc w:val="both"/>
                </w:pPr>
                <w:r>
                  <w:t>2.7. Didžiausia galima projekto finansuojamoji dalis sudaro 100 proc. visų tinkamų finansuoti projekto išlaidų. Pareiškėjas savo iniciatyva ir savo ir (arba) kitų šaltinių lėšomis gali prisidėti prie projekto įgyvendinimo.</w:t>
                </w:r>
              </w:p>
              <w:p>
                <w:pPr>
                  <w:jc w:val="both"/>
                </w:pPr>
                <w:r>
                  <w:t>2.8. Projektu nėra įgyvendinama viešojo ir privataus sektorių partnerystė.</w:t>
                </w:r>
              </w:p>
              <w:p>
                <w:pPr>
                  <w:jc w:val="both"/>
                  <w:rPr>
                    <w:color w:val="000000"/>
                    <w:szCs w:val="24"/>
                  </w:rPr>
                </w:pPr>
                <w:r>
                  <w:rPr>
                    <w:szCs w:val="24"/>
                    <w:lang w:val="en-US"/>
                  </w:rPr>
                  <w:t xml:space="preserve">2.9. </w:t>
                </w:r>
                <w:r>
                  <w:rPr>
                    <w:szCs w:val="24"/>
                  </w:rPr>
                  <w:t xml:space="preserve">Finansuojamos veiklos turi būti baigtos įgyvendinti </w:t>
                </w:r>
                <w:r>
                  <w:rPr>
                    <w:color w:val="000000"/>
                    <w:szCs w:val="24"/>
                  </w:rPr>
                  <w:t>iki 2029 metų rugpjūčio 31 d.</w:t>
                </w:r>
              </w:p>
              <w:p>
                <w:pPr>
                  <w:jc w:val="both"/>
                  <w:rPr>
                    <w:color w:val="000000"/>
                    <w:szCs w:val="24"/>
                  </w:rPr>
                </w:pPr>
                <w:r>
                  <w:rPr>
                    <w:color w:val="000000"/>
                    <w:szCs w:val="24"/>
                  </w:rPr>
                  <w:t>2.10. V</w:t>
                </w:r>
                <w:r>
                  <w:rPr>
                    <w:szCs w:val="24"/>
                  </w:rPr>
                  <w:t xml:space="preserve">isi stebėsenos rodikliai yra privalomi pareiškėjui ir turi būti siekiami projekto įgyvendinimo metu ir (ar) po jo. </w:t>
                </w:r>
              </w:p>
              <w:p>
                <w:pPr>
                  <w:tabs>
                    <w:tab w:val="left" w:pos="426"/>
                    <w:tab w:val="left" w:pos="709"/>
                  </w:tabs>
                  <w:jc w:val="both"/>
                  <w:rPr>
                    <w:rFonts w:eastAsia="Calibri"/>
                    <w:szCs w:val="24"/>
                    <w:lang w:eastAsia="en-GB" w:bidi="lt-LT"/>
                  </w:rPr>
                </w:pPr>
                <w:r>
                  <w:rPr>
                    <w:szCs w:val="24"/>
                  </w:rPr>
                  <w:t>2.11. Taikomi reikalavimai projekto įgyvendinimo metu – iki 2024 m. gruodžio 31 d. turi būti pasiekta tarpinė produkto rodiklio reikšmė „</w:t>
                </w:r>
                <w:r>
                  <w:rPr>
                    <w:bCs/>
                    <w:szCs w:val="24"/>
                  </w:rPr>
                  <w:t>GMP</w:t>
                </w:r>
                <w:r>
                  <w:rPr>
                    <w:rFonts w:eastAsia="Calibri"/>
                    <w:szCs w:val="24"/>
                    <w:lang w:eastAsia="en-GB" w:bidi="lt-LT"/>
                  </w:rPr>
                  <w:t xml:space="preserve"> paslaugų infrastruktūros, kuriai skirta parama, pajėgumas“:</w:t>
                </w:r>
              </w:p>
              <w:p>
                <w:pPr>
                  <w:jc w:val="both"/>
                  <w:rPr>
                    <w:rFonts w:eastAsia="Calibri"/>
                    <w:lang w:eastAsia="en-GB" w:bidi="lt-LT"/>
                  </w:rPr>
                </w:pPr>
                <w:r>
                  <w:rPr>
                    <w:rFonts w:eastAsia="Calibri"/>
                    <w:lang w:eastAsia="en-GB" w:bidi="lt-LT"/>
                  </w:rPr>
                  <w:t>2.11.1. Sostinės regione – ne mažiau kaip 158 000 asmenų per metus;</w:t>
                </w:r>
              </w:p>
              <w:p>
                <w:pPr>
                  <w:jc w:val="both"/>
                </w:pPr>
                <w:r>
                  <w:rPr>
                    <w:rFonts w:eastAsia="Calibri"/>
                    <w:lang w:eastAsia="en-GB" w:bidi="lt-LT"/>
                  </w:rPr>
                  <w:t>2.11. VVL regione – ne mažiau kaip 400 000 asmenų per metus.</w:t>
                </w:r>
              </w:p>
              <w:p>
                <w:pPr>
                  <w:jc w:val="both"/>
                  <w:rPr>
                    <w:color w:val="000000"/>
                  </w:rPr>
                </w:pPr>
                <w:r>
                  <w:rPr>
                    <w:color w:val="000000"/>
                  </w:rPr>
                  <w:t>2.12. Projektui taikomos matomumo ir informavimo priemonės, nurodytos PAFT VIII skyriaus „Kiti projektų reikalavimai“ pirmame skirsnyje „Informavimas apie projektą ir komunikacija“. Papildomi matomumo reikalavimai nenustatomi.</w:t>
                </w:r>
              </w:p>
              <w:p>
                <w:pPr>
                  <w:jc w:val="both"/>
                  <w:rPr>
                    <w:color w:val="000000"/>
                  </w:rPr>
                </w:pPr>
                <w:r>
                  <w:rPr>
                    <w:color w:val="000000"/>
                  </w:rPr>
                  <w:t>2.13. Kartu su PĮP administruojančiajai institucijai turi būti pateikti šie dokumentai:</w:t>
                </w:r>
              </w:p>
              <w:p>
                <w:pPr>
                  <w:jc w:val="both"/>
                  <w:rPr>
                    <w:color w:val="000000"/>
                  </w:rPr>
                </w:pPr>
                <w:r>
                  <w:rPr>
                    <w:color w:val="000000"/>
                  </w:rPr>
                  <w:t>2.13.1. įgaliojimas pasirašyti PĮP, jei jį pasirašo ne pareiškėjo įstaigos vadovas;</w:t>
                </w:r>
              </w:p>
              <w:p>
                <w:pPr>
                  <w:rPr>
                    <w:szCs w:val="24"/>
                  </w:rPr>
                </w:pPr>
                <w:r>
                  <w:t xml:space="preserve">2.13.2.  </w:t>
                </w:r>
                <w:r>
                  <w:rPr>
                    <w:szCs w:val="24"/>
                  </w:rPr>
                  <w:t>investicijų projektas, parengtas pagal Investicijų projektų, kuriems siekiama gauti finansavimą iš Europos Sąjungos struktūrinės paramos ir / ar valstybės biudžeto lėšų, rengimo metodiką</w:t>
                </w:r>
                <w:r>
                  <w:rPr>
                    <w:szCs w:val="24"/>
                    <w:vertAlign w:val="superscript"/>
                  </w:rPr>
                  <w:footnoteReference w:id="13"/>
                </w:r>
                <w:r>
                  <w:rPr>
                    <w:szCs w:val="24"/>
                  </w:rPr>
                  <w:t>, patvirtintą viešosios įstaigos Centrinės projektų valdymo agentūros (toliau – CPVA) direktoriaus 2014 m. gruodžio 31 d. įsakymu Nr. 2014/8-337, kuri paskelbta http://www.ppplietuva.lt/ skiltyje „Viešųjų investicijų projektų rengimas“ prie „Rengimas ir vertinimas“;</w:t>
                </w:r>
              </w:p>
              <w:p>
                <w:pPr>
                  <w:jc w:val="both"/>
                  <w:rPr>
                    <w:szCs w:val="24"/>
                  </w:rPr>
                </w:pPr>
                <w:r>
                  <w:rPr>
                    <w:szCs w:val="24"/>
                  </w:rPr>
                  <w:t xml:space="preserve">2.13.3. dokumentai, pagrindžiantys projekto išlaidų pagrįstumą (sudarytos sutartys, komerciniai pasiūlymai, nuorodos į rinkoje esančias kainas, </w:t>
                </w:r>
                <w:r>
                  <w:rPr>
                    <w:szCs w:val="24"/>
                    <w:lang w:eastAsia="lt-LT"/>
                  </w:rPr>
                  <w:t xml:space="preserve">pvz.,  Centrinėje viešųjų pirkimų informacinėje sistemoje</w:t>
                </w:r>
                <w:r>
                  <w:rPr>
                    <w:szCs w:val="24"/>
                  </w:rPr>
                  <w:t>), išlaidų skaičiavimai;</w:t>
                </w:r>
              </w:p>
              <w:p>
                <w:pPr>
                  <w:jc w:val="both"/>
                  <w:rPr>
                    <w:szCs w:val="24"/>
                    <w:lang w:eastAsia="lt-LT"/>
                  </w:rPr>
                </w:pPr>
                <w:r>
                  <w:rPr>
                    <w:szCs w:val="24"/>
                    <w:lang w:val="en-US"/>
                  </w:rPr>
                  <w:t xml:space="preserve">2.13.4. </w:t>
                </w:r>
                <w:r>
                  <w:rPr>
                    <w:szCs w:val="24"/>
                    <w:lang w:eastAsia="lt-LT"/>
                  </w:rPr>
                  <w:t xml:space="preserve">Pareiškėjo įsipareigojimo padengti netinkamas finansuoti, tačiau šiam projektui įgyvendinti būtinas išlaidas, ir tinkamas išlaidas, kurių nepadengia projekto finansavimas, pagrindimo dokumentai </w:t>
                </w:r>
                <w:r>
                  <w:rPr>
                    <w:szCs w:val="24"/>
                  </w:rPr>
                  <w:t>(</w:t>
                </w:r>
                <w:r>
                  <w:rPr>
                    <w:szCs w:val="24"/>
                    <w:lang w:eastAsia="lt-LT"/>
                  </w:rPr>
                  <w:t>įstaigos finansinės ataskaitos, teritorinei ligonių kasai teikta Lietuvos nacionalinės sveikatos sistemos asmens sveikatos priežiūros įstaigų finansinės veiklos ataskaita, banko sąskaitos išrašas ar kt. dokumentai).</w:t>
                </w:r>
              </w:p>
              <w:p>
                <w:pPr>
                  <w:rPr>
                    <w:rFonts w:ascii="Arial" w:hAnsi="Arial" w:cs="Arial"/>
                    <w:szCs w:val="24"/>
                  </w:rPr>
                </w:pPr>
                <w:r>
                  <w:rPr>
                    <w:color w:val="000000"/>
                  </w:rPr>
                  <w:t>2.</w:t>
                </w:r>
                <w:r>
                  <w:rPr>
                    <w:color w:val="000000"/>
                    <w:szCs w:val="24"/>
                  </w:rPr>
                  <w:t xml:space="preserve">14. </w:t>
                </w:r>
                <w:r>
                  <w:rPr>
                    <w:szCs w:val="24"/>
                  </w:rPr>
                  <w:t>CPVA PĮP vertinimo metu gali nustatyti papildomas finansavimo sutarties sąlygas taip pat ir dėl:</w:t>
                </w:r>
              </w:p>
              <w:p>
                <w:pPr>
                  <w:rPr>
                    <w:rFonts w:ascii="Arial" w:hAnsi="Arial" w:cs="Arial"/>
                    <w:szCs w:val="24"/>
                    <w:lang w:eastAsia="lt-LT"/>
                  </w:rPr>
                </w:pPr>
                <w:r>
                  <w:rPr>
                    <w:szCs w:val="24"/>
                    <w:lang w:eastAsia="lt-LT"/>
                  </w:rPr>
                  <w:t xml:space="preserve">2.14.1. pirkimų derinimo / vykdymo terminų; </w:t>
                </w:r>
              </w:p>
              <w:p>
                <w:pPr>
                  <w:rPr>
                    <w:rFonts w:ascii="Arial" w:hAnsi="Arial" w:cs="Arial"/>
                    <w:szCs w:val="24"/>
                    <w:lang w:eastAsia="lt-LT"/>
                  </w:rPr>
                </w:pPr>
                <w:r>
                  <w:rPr>
                    <w:szCs w:val="24"/>
                    <w:lang w:eastAsia="lt-LT"/>
                  </w:rPr>
                  <w:t xml:space="preserve">2.14.2. pirkimo sutarčių pasirašymo terminų; </w:t>
                </w:r>
              </w:p>
              <w:p>
                <w:pPr>
                  <w:rPr>
                    <w:rFonts w:ascii="Arial" w:hAnsi="Arial" w:cs="Arial"/>
                    <w:szCs w:val="24"/>
                    <w:lang w:eastAsia="lt-LT"/>
                  </w:rPr>
                </w:pPr>
                <w:r>
                  <w:rPr>
                    <w:szCs w:val="24"/>
                    <w:lang w:eastAsia="lt-LT"/>
                  </w:rPr>
                  <w:t>2.14.3. finansinio projekto įsisavinimo spartos.</w:t>
                </w:r>
              </w:p>
              <w:p>
                <w:pPr>
                  <w:jc w:val="both"/>
                  <w:rPr>
                    <w:color w:val="333333"/>
                    <w:shd w:val="clear" w:color="auto" w:fill="FFFFFF"/>
                  </w:rPr>
                </w:pPr>
                <w:r>
                  <w:rPr>
                    <w:color w:val="000000"/>
                    <w:szCs w:val="24"/>
                  </w:rPr>
                  <w:t xml:space="preserve">2.15. Planuojamos įsigyti transporto priemonės </w:t>
                </w:r>
                <w:r>
                  <w:rPr>
                    <w:bCs/>
                  </w:rPr>
                  <w:t xml:space="preserve">turi būti ne žemesnio nei euro VI standarto pagal 2009 m. birželio 18 d. Europos Parlamento ir Tarybos reglamentą </w:t>
                </w:r>
                <w:r>
                  <w:rPr>
                    <w:bCs/>
                    <w:color w:val="0563C1"/>
                    <w:u w:val="single"/>
                  </w:rPr>
                  <w:t>595/2009/EB</w:t>
                </w:r>
                <w:r>
                  <w:rPr>
                    <w:bCs/>
                  </w:rPr>
                  <w:t xml:space="preserve">, o padangos  </w:t>
                </w:r>
                <w:r>
                  <w:rPr>
                    <w:szCs w:val="24"/>
                  </w:rPr>
                  <w:t xml:space="preserve">– pagal </w:t>
                </w:r>
                <w:r>
                  <w:rPr>
                    <w:bCs/>
                  </w:rPr>
                  <w:t xml:space="preserve">2020 m. gegužės 25 d. </w:t>
                </w:r>
                <w:r>
                  <w:rPr>
                    <w:iCs/>
                    <w:szCs w:val="24"/>
                  </w:rPr>
                  <w:t xml:space="preserve">Europos Parlamento ir Tarybos reglamentą </w:t>
                </w:r>
                <w:r>
                  <w:rPr>
                    <w:iCs/>
                    <w:color w:val="0563C1"/>
                    <w:szCs w:val="24"/>
                    <w:u w:val="single"/>
                  </w:rPr>
                  <w:t>(ES) 2020/740</w:t>
                </w:r>
                <w:r>
                  <w:rPr>
                    <w:bCs/>
                  </w:rPr>
                  <w:t>.</w:t>
                </w:r>
              </w:p>
              <w:p>
                <w:pPr>
                  <w:jc w:val="both"/>
                </w:pPr>
                <w:r>
                  <w:rPr>
                    <w:color w:val="333333"/>
                    <w:shd w:val="clear" w:color="auto" w:fill="FFFFFF"/>
                  </w:rPr>
                  <w:t xml:space="preserve">2.16. </w:t>
                </w:r>
                <w:r>
                  <w:rPr>
                    <w:color w:val="000000"/>
                    <w:szCs w:val="24"/>
                  </w:rPr>
                  <w:t>Planuojama įsigyti įranga turi</w:t>
                </w:r>
                <w:r>
                  <w:rPr>
                    <w:color w:val="000000"/>
                  </w:rPr>
                  <w:t xml:space="preserve"> atitikti bendruosius saugos ir efektyvumo reikalavimus </w:t>
                </w:r>
                <w:r>
                  <w:rPr>
                    <w:bCs/>
                  </w:rPr>
                  <w:t xml:space="preserve">pagal </w:t>
                </w:r>
                <w:r>
                  <w:t xml:space="preserve">2017 m. balandžio 5 d. Europos Parlamento ir Tarybos reglamentą </w:t>
                </w:r>
                <w:r>
                  <w:rPr>
                    <w:color w:val="0563C1"/>
                    <w:u w:val="single"/>
                  </w:rPr>
                  <w:t>(ES) 2017/745</w:t>
                </w:r>
                <w:r>
                  <w:t>.</w:t>
                </w:r>
              </w:p>
              <w:p>
                <w:pPr>
                  <w:jc w:val="both"/>
                  <w:rPr>
                    <w:i/>
                    <w:iCs/>
                    <w:sz w:val="22"/>
                    <w:szCs w:val="22"/>
                  </w:rPr>
                </w:pPr>
                <w:r>
                  <w:t xml:space="preserve">2.17. Projektas turi atitikti </w:t>
                </w:r>
                <w:r>
                  <w:rPr>
                    <w:iCs/>
                    <w:color w:val="000000"/>
                  </w:rPr>
                  <w:t>Projektų administravimo ir finansavimo taisyklių 2 priede nustatytus projektų bendruosius atrankos kriterijus.</w:t>
                </w:r>
              </w:p>
            </w:tc>
          </w:tr>
          <w:tr>
            <w:tc>
              <w:tcPr>
                <w:tcW w:w="15134" w:type="dxa"/>
              </w:tcPr>
              <w:p>
                <w:pPr>
                  <w:jc w:val="both"/>
                  <w:rPr>
                    <w:iCs/>
                    <w:szCs w:val="24"/>
                  </w:rPr>
                </w:pPr>
                <w:r>
                  <w:rPr>
                    <w:b/>
                    <w:szCs w:val="24"/>
                  </w:rPr>
                  <w:t>3.</w:t>
                </w:r>
                <w:r>
                  <w:rPr>
                    <w:szCs w:val="24"/>
                  </w:rPr>
                  <w:t xml:space="preserve"> </w:t>
                </w:r>
                <w:r>
                  <w:rPr>
                    <w:b/>
                    <w:szCs w:val="24"/>
                  </w:rPr>
                  <w:t>Reikalavimai jungtinio projekto projektams ir jungtinio projekto projektų pareiškėjams</w:t>
                </w:r>
              </w:p>
            </w:tc>
          </w:tr>
          <w:tr>
            <w:trPr>
              <w:trHeight w:val="206"/>
            </w:trPr>
            <w:tc>
              <w:tcPr>
                <w:tcW w:w="15134" w:type="dxa"/>
              </w:tcPr>
              <w:p>
                <w:pPr>
                  <w:jc w:val="both"/>
                  <w:rPr>
                    <w:i/>
                    <w:iCs/>
                    <w:sz w:val="22"/>
                    <w:szCs w:val="22"/>
                  </w:rPr>
                </w:pPr>
                <w:r>
                  <w:rPr>
                    <w:szCs w:val="24"/>
                  </w:rPr>
                  <w:t>Netaikoma</w:t>
                </w:r>
              </w:p>
            </w:tc>
          </w:tr>
          <w:tr>
            <w:trPr>
              <w:trHeight w:val="285"/>
            </w:trPr>
            <w:tc>
              <w:tcPr>
                <w:tcW w:w="15134" w:type="dxa"/>
              </w:tcPr>
              <w:p>
                <w:pPr>
                  <w:rPr>
                    <w:b/>
                    <w:szCs w:val="24"/>
                  </w:rPr>
                </w:pPr>
                <w:r>
                  <w:rPr>
                    <w:b/>
                    <w:szCs w:val="24"/>
                  </w:rPr>
                  <w:t>4. Projekto tikslinės grupės</w:t>
                </w:r>
              </w:p>
            </w:tc>
          </w:tr>
          <w:tr>
            <w:trPr>
              <w:trHeight w:val="285"/>
            </w:trPr>
            <w:tc>
              <w:tcPr>
                <w:tcW w:w="15134" w:type="dxa"/>
              </w:tcPr>
              <w:p>
                <w:pPr>
                  <w:tabs>
                    <w:tab w:val="left" w:pos="860"/>
                  </w:tabs>
                  <w:jc w:val="both"/>
                  <w:rPr>
                    <w:sz w:val="22"/>
                    <w:szCs w:val="22"/>
                  </w:rPr>
                </w:pPr>
                <w:r>
                  <w:rPr>
                    <w:bCs/>
                    <w:color w:val="000000"/>
                    <w:szCs w:val="24"/>
                  </w:rPr>
                  <w:t xml:space="preserve">Tikslinės grupės – </w:t>
                </w:r>
                <w:r>
                  <w:rPr>
                    <w:iCs/>
                    <w:szCs w:val="24"/>
                  </w:rPr>
                  <w:t>Lietuvos Respublikos gyventojai, sveikatos priežiūros specialistai ir kiti sveikatos priežiūros srityje dirbantys specialistai.</w:t>
                </w:r>
              </w:p>
            </w:tc>
          </w:tr>
          <w:tr>
            <w:trPr>
              <w:trHeight w:val="285"/>
            </w:trPr>
            <w:tc>
              <w:tcPr>
                <w:tcW w:w="15134" w:type="dxa"/>
              </w:tcPr>
              <w:p>
                <w:pPr>
                  <w:rPr>
                    <w:sz w:val="22"/>
                    <w:szCs w:val="22"/>
                  </w:rPr>
                </w:pPr>
                <w:r>
                  <w:rPr>
                    <w:b/>
                    <w:szCs w:val="24"/>
                  </w:rPr>
                  <w:t>5</w:t>
                </w:r>
                <w:r>
                  <w:rPr>
                    <w:szCs w:val="24"/>
                  </w:rPr>
                  <w:t xml:space="preserve">. </w:t>
                </w:r>
                <w:r>
                  <w:rPr>
                    <w:b/>
                    <w:szCs w:val="24"/>
                  </w:rPr>
                  <w:t>Horizontaliųjų principų (toliau – HP) reikalavimai</w:t>
                </w:r>
              </w:p>
            </w:tc>
          </w:tr>
          <w:tr>
            <w:tc>
              <w:tcPr>
                <w:tcW w:w="15134" w:type="dxa"/>
              </w:tcPr>
              <w:p>
                <w:pPr>
                  <w:jc w:val="both"/>
                </w:pPr>
                <w:r>
                  <w:t>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pPr>
                  <w:jc w:val="both"/>
                  <w:rPr>
                    <w:i/>
                    <w:iCs/>
                    <w:sz w:val="22"/>
                    <w:szCs w:val="22"/>
                  </w:rPr>
                </w:pPr>
                <w:r>
                  <w:t xml:space="preserve">5.2.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r>
                  <w:rPr>
                    <w:color w:val="0563C1"/>
                    <w:u w:val="single"/>
                  </w:rPr>
                  <w:t>(ES) 2020/852</w:t>
                </w:r>
                <w:r>
                  <w:t xml:space="preserve"> dėl sistemos tvariam investavimui palengvinti sukūrimo, kuriuo iš dalies keičiamas Reglamentas </w:t>
                </w:r>
                <w:r>
                  <w:rPr>
                    <w:color w:val="0563C1"/>
                    <w:u w:val="single"/>
                  </w:rPr>
                  <w:t>(ES) 2019/2088</w:t>
                </w:r>
                <w:r>
                  <w:t>, 17 straipsnyje. Projekto atitikties reikšmingos žalos nedarymo HP vertinimo reikalavimai pateikiami Aprašo 1 priede „Projekto atitikties reikšmingos žalos nedarymo horizontaliajam principui vertinimo reikalavimų aprašas“.</w:t>
                </w:r>
              </w:p>
            </w:tc>
          </w:tr>
          <w:tr>
            <w:tc>
              <w:tcPr>
                <w:tcW w:w="15134" w:type="dxa"/>
              </w:tcPr>
              <w:p>
                <w:pPr>
                  <w:spacing w:line="259" w:lineRule="auto"/>
                  <w:jc w:val="both"/>
                  <w:rPr>
                    <w:b/>
                    <w:iCs/>
                    <w:szCs w:val="24"/>
                  </w:rPr>
                </w:pPr>
                <w:r>
                  <w:rPr>
                    <w:b/>
                    <w:iCs/>
                    <w:szCs w:val="24"/>
                  </w:rPr>
                  <w:t>6. Europos Sąjungos pagrindinių teisių chartijos (toliau – Chartija) reikalavimai</w:t>
                </w:r>
              </w:p>
            </w:tc>
          </w:tr>
          <w:tr>
            <w:tc>
              <w:tcPr>
                <w:tcW w:w="15134" w:type="dxa"/>
              </w:tcPr>
              <w:p>
                <w:pPr>
                  <w:jc w:val="both"/>
                  <w:rPr>
                    <w:color w:val="212529"/>
                  </w:rPr>
                </w:pPr>
                <w:r>
                  <w:t>Pagal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pPr>
                  <w:jc w:val="both"/>
                  <w:rPr>
                    <w:i/>
                    <w:iCs/>
                    <w:sz w:val="22"/>
                    <w:szCs w:val="22"/>
                  </w:rPr>
                </w:pPr>
                <w:r>
                  <w:rPr>
                    <w:color w:val="212529"/>
                  </w:rPr>
                  <w:t>Projektuose neturi būti numatyta veiksmų, kurie galėtų riboti ar pažeisti Chartijoje numatytas pagrindines teises.</w:t>
                </w:r>
              </w:p>
            </w:tc>
          </w:tr>
          <w:tr>
            <w:tc>
              <w:tcPr>
                <w:tcW w:w="15134" w:type="dxa"/>
              </w:tcPr>
              <w:p>
                <w:pPr>
                  <w:rPr>
                    <w:b/>
                    <w:szCs w:val="24"/>
                  </w:rPr>
                </w:pPr>
                <w:r>
                  <w:rPr>
                    <w:b/>
                    <w:szCs w:val="24"/>
                  </w:rPr>
                  <w:t>7. Apskritis, kurioje gali būti įgyvendinami projektai</w:t>
                </w:r>
              </w:p>
            </w:tc>
          </w:tr>
          <w:tr>
            <w:tc>
              <w:tcPr>
                <w:tcW w:w="15134" w:type="dxa"/>
              </w:tcPr>
              <w:p>
                <w:pPr>
                  <w:jc w:val="both"/>
                  <w:rPr>
                    <w:i/>
                    <w:sz w:val="22"/>
                    <w:szCs w:val="22"/>
                  </w:rPr>
                </w:pPr>
                <w:r>
                  <w:rPr>
                    <w:szCs w:val="24"/>
                  </w:rPr>
                  <w:t>Netaikoma.</w:t>
                </w:r>
              </w:p>
            </w:tc>
          </w:tr>
          <w:tr>
            <w:tc>
              <w:tcPr>
                <w:tcW w:w="15134" w:type="dxa"/>
              </w:tcPr>
              <w:p>
                <w:pPr>
                  <w:jc w:val="both"/>
                  <w:rPr>
                    <w:szCs w:val="24"/>
                  </w:rPr>
                </w:pPr>
                <w:r>
                  <w:rPr>
                    <w:b/>
                    <w:szCs w:val="24"/>
                  </w:rPr>
                  <w:t>8.</w:t>
                </w:r>
                <w:r>
                  <w:rPr>
                    <w:szCs w:val="24"/>
                  </w:rPr>
                  <w:t xml:space="preserve"> </w:t>
                </w:r>
                <w:r>
                  <w:rPr>
                    <w:b/>
                    <w:szCs w:val="24"/>
                  </w:rPr>
                  <w:t>Reikalavimai valstybės pagalbai (kurie nėra nurodyti kituose Aprašo punktuose)</w:t>
                </w:r>
              </w:p>
            </w:tc>
          </w:tr>
          <w:tr>
            <w:tc>
              <w:tcPr>
                <w:tcW w:w="15134" w:type="dxa"/>
              </w:tcPr>
              <w:p>
                <w:pPr>
                  <w:jc w:val="both"/>
                  <w:rPr>
                    <w:i/>
                    <w:iCs/>
                    <w:sz w:val="22"/>
                    <w:szCs w:val="22"/>
                  </w:rPr>
                </w:pPr>
                <w:r>
                  <w:rPr>
                    <w:szCs w:val="24"/>
                  </w:rPr>
                  <w:t xml:space="preserve">Pagal Aprašą valstybės pagalba, kaip ji apibrėžta Sutarties dėl Europos Sąjungos veikimo (OL 2010 C 83, p. 47) 107 straipsnyje, ir </w:t>
                </w:r>
                <w:r>
                  <w:rPr>
                    <w:i/>
                    <w:iCs/>
                    <w:szCs w:val="24"/>
                  </w:rPr>
                  <w:t>de minimis</w:t>
                </w:r>
                <w:r>
                  <w:rPr>
                    <w:szCs w:val="24"/>
                  </w:rPr>
                  <w:t xml:space="preserve"> pagalba, kuri atitinka 2013 m. gruodžio 18 d. Komisijos reglamento </w:t>
                </w:r>
                <w:r>
                  <w:rPr>
                    <w:color w:val="0563C1"/>
                    <w:szCs w:val="24"/>
                    <w:u w:val="single"/>
                  </w:rPr>
                  <w:t>(ES) Nr. 1407/2013</w:t>
                </w:r>
                <w:r>
                  <w:rPr>
                    <w:szCs w:val="24"/>
                  </w:rPr>
                  <w:t xml:space="preserve"> dėl Sutarties dėl Europos Sąjungos veikimo 107 ir 108 straipsnių taikymo </w:t>
                </w:r>
                <w:r>
                  <w:rPr>
                    <w:i/>
                    <w:iCs/>
                    <w:szCs w:val="24"/>
                  </w:rPr>
                  <w:t>de minimis</w:t>
                </w:r>
                <w:r>
                  <w:rPr>
                    <w:szCs w:val="24"/>
                  </w:rPr>
                  <w:t xml:space="preserve"> pagalbai (OL 2013 L 352, p. 1) nuostatas, neteikiama.</w:t>
                </w:r>
              </w:p>
            </w:tc>
          </w:tr>
          <w:tr>
            <w:tc>
              <w:tcPr>
                <w:tcW w:w="15134" w:type="dxa"/>
              </w:tcPr>
              <w:p>
                <w:pPr>
                  <w:jc w:val="both"/>
                  <w:rPr>
                    <w:i/>
                    <w:szCs w:val="24"/>
                    <w:lang w:val="en-US"/>
                  </w:rPr>
                </w:pPr>
                <w:r>
                  <w:rPr>
                    <w:b/>
                    <w:szCs w:val="24"/>
                  </w:rPr>
                  <w:t>9.</w:t>
                </w:r>
                <w:r>
                  <w:rPr>
                    <w:szCs w:val="24"/>
                  </w:rPr>
                  <w:t xml:space="preserve"> </w:t>
                </w:r>
                <w:r>
                  <w:rPr>
                    <w:b/>
                    <w:szCs w:val="24"/>
                  </w:rPr>
                  <w:t>Projektų atrankos kriterijai</w:t>
                </w:r>
              </w:p>
            </w:tc>
          </w:tr>
          <w:tr>
            <w:trPr>
              <w:trHeight w:val="195"/>
            </w:trPr>
            <w:tc>
              <w:tcPr>
                <w:tcW w:w="15134" w:type="dxa"/>
              </w:tcPr>
              <w:p>
                <w:pPr>
                  <w:jc w:val="both"/>
                  <w:rPr>
                    <w:i/>
                    <w:szCs w:val="24"/>
                  </w:rPr>
                </w:pPr>
                <w:r>
                  <w:rPr>
                    <w:szCs w:val="24"/>
                  </w:rPr>
                  <w:t>Kriterijai nėra nustatomi / netaikoma</w:t>
                </w:r>
                <w:r>
                  <w:rPr>
                    <w:iCs/>
                    <w:szCs w:val="24"/>
                  </w:rPr>
                  <w:t>.</w:t>
                </w:r>
              </w:p>
            </w:tc>
          </w:tr>
          <w:tr>
            <w:trPr>
              <w:trHeight w:val="309"/>
            </w:trPr>
            <w:tc>
              <w:tcPr>
                <w:tcW w:w="15134" w:type="dxa"/>
              </w:tcPr>
              <w:p>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trPr>
              <w:trHeight w:val="197"/>
            </w:trPr>
            <w:tc>
              <w:tcPr>
                <w:tcW w:w="15134" w:type="dxa"/>
              </w:tcPr>
              <w:p>
                <w:pPr>
                  <w:jc w:val="both"/>
                  <w:rPr>
                    <w:i/>
                    <w:sz w:val="22"/>
                    <w:szCs w:val="22"/>
                  </w:rPr>
                </w:pPr>
                <w:r>
                  <w:rPr>
                    <w:iCs/>
                    <w:szCs w:val="22"/>
                  </w:rPr>
                  <w:t>Netaikoma.</w:t>
                </w:r>
              </w:p>
            </w:tc>
          </w:tr>
          <w:tr>
            <w:tc>
              <w:tcPr>
                <w:tcW w:w="15134" w:type="dxa"/>
              </w:tcPr>
              <w:p>
                <w:pPr>
                  <w:rPr>
                    <w:szCs w:val="24"/>
                  </w:rPr>
                </w:pPr>
                <w:r>
                  <w:rPr>
                    <w:b/>
                    <w:szCs w:val="24"/>
                  </w:rPr>
                  <w:t>11.</w:t>
                </w:r>
                <w:r>
                  <w:rPr>
                    <w:szCs w:val="24"/>
                  </w:rPr>
                  <w:t xml:space="preserve"> </w:t>
                </w:r>
                <w:r>
                  <w:rPr>
                    <w:b/>
                    <w:szCs w:val="24"/>
                  </w:rPr>
                  <w:t>Reikalavimai įgyvendinus projektų veiklas</w:t>
                </w:r>
              </w:p>
            </w:tc>
          </w:tr>
          <w:tr>
            <w:tc>
              <w:tcPr>
                <w:tcW w:w="15134" w:type="dxa"/>
              </w:tcPr>
              <w:p>
                <w:pPr>
                  <w:jc w:val="both"/>
                  <w:rPr>
                    <w:i/>
                    <w:sz w:val="22"/>
                    <w:szCs w:val="22"/>
                  </w:rPr>
                </w:pPr>
                <w:r>
                  <w:rPr>
                    <w:iCs/>
                    <w:szCs w:val="24"/>
                  </w:rPr>
                  <w:t>Papildomi reikalavimai, kurie nėra nurodyti PAFT, nenustatyti.</w:t>
                </w:r>
              </w:p>
            </w:tc>
          </w:tr>
          <w:tr>
            <w:tc>
              <w:tcPr>
                <w:tcW w:w="15134" w:type="dxa"/>
              </w:tcPr>
              <w:p>
                <w:pPr>
                  <w:rPr>
                    <w:szCs w:val="24"/>
                  </w:rPr>
                </w:pPr>
                <w:r>
                  <w:rPr>
                    <w:b/>
                    <w:szCs w:val="24"/>
                  </w:rPr>
                  <w:t>12.</w:t>
                </w:r>
                <w:r>
                  <w:rPr>
                    <w:szCs w:val="24"/>
                  </w:rPr>
                  <w:t xml:space="preserve"> </w:t>
                </w:r>
                <w:r>
                  <w:rPr>
                    <w:b/>
                    <w:szCs w:val="24"/>
                  </w:rPr>
                  <w:t>Kiti reikalavimai</w:t>
                </w:r>
              </w:p>
            </w:tc>
          </w:tr>
          <w:tr>
            <w:tc>
              <w:tcPr>
                <w:tcW w:w="15134" w:type="dxa"/>
              </w:tcPr>
              <w:p>
                <w:pPr>
                  <w:jc w:val="both"/>
                </w:pPr>
                <w:r>
                  <w:t>12.1. Vadovaudamasi Administravimo taisyklių 99.4 papunkčiu projektą administruojanti institucija gali priimti PĮP, pateiktą po kvietime teikti projekto įgyvendinimo planus nustatyto PĮP pateikimo termino pabaigos, gavusi ir įvertinusi pareiškėjo argumentus.</w:t>
                </w:r>
              </w:p>
              <w:p>
                <w:pPr>
                  <w:tabs>
                    <w:tab w:val="left" w:pos="1134"/>
                  </w:tabs>
                  <w:jc w:val="both"/>
                  <w:rPr>
                    <w:iCs/>
                    <w:szCs w:val="24"/>
                  </w:rPr>
                </w:pPr>
                <w:r>
                  <w:rPr>
                    <w:iCs/>
                    <w:szCs w:val="24"/>
                  </w:rPr>
                  <w:t>12.2. Projekto lėšomis įsigytos transporto priemonės turi būti pažymėtos, kad jos finansuojamos Europos Sąjungos fondų investicijų programos lėšomis.</w:t>
                </w:r>
              </w:p>
              <w:p>
                <w:pPr>
                  <w:tabs>
                    <w:tab w:val="left" w:pos="1134"/>
                  </w:tabs>
                  <w:jc w:val="both"/>
                  <w:rPr>
                    <w:i/>
                    <w:sz w:val="22"/>
                    <w:szCs w:val="22"/>
                  </w:rPr>
                </w:pPr>
                <w:r>
                  <w:rPr>
                    <w:iCs/>
                    <w:szCs w:val="24"/>
                  </w:rPr>
                  <w:t xml:space="preserve">12.3. </w:t>
                </w:r>
                <w:r>
                  <w:rPr>
                    <w:szCs w:val="24"/>
                  </w:rPr>
                  <w:t>Projekto vykdytojas turi surengti komunikacinį renginį ar veiklą, įtraukdamas Europos Komisijos ir vadovaujančiosios institucijos atstovus.</w:t>
                </w:r>
              </w:p>
            </w:tc>
          </w:tr>
          <w:tr>
            <w:tc>
              <w:tcPr>
                <w:tcW w:w="15134" w:type="dxa"/>
              </w:tcPr>
              <w:p>
                <w:pPr>
                  <w:rPr>
                    <w:b/>
                    <w:szCs w:val="24"/>
                  </w:rPr>
                </w:pPr>
                <w:r>
                  <w:rPr>
                    <w:b/>
                    <w:szCs w:val="24"/>
                  </w:rPr>
                  <w:t>IŠLAIDŲ TINKAMUMO FINANSUOTI REIKALAVIMAI</w:t>
                </w:r>
              </w:p>
            </w:tc>
          </w:tr>
          <w:tr>
            <w:tc>
              <w:tcPr>
                <w:tcW w:w="15134" w:type="dxa"/>
              </w:tcPr>
              <w:p>
                <w:pPr>
                  <w:jc w:val="both"/>
                  <w:rPr>
                    <w:b/>
                    <w:szCs w:val="24"/>
                  </w:rPr>
                </w:pPr>
                <w:r>
                  <w:rPr>
                    <w:b/>
                    <w:szCs w:val="24"/>
                  </w:rPr>
                  <w:t>13. Išlaidų tinkamumo finansuoti reikalavimai</w:t>
                </w:r>
              </w:p>
            </w:tc>
          </w:tr>
          <w:tr>
            <w:tc>
              <w:tcPr>
                <w:tcW w:w="15134" w:type="dxa"/>
              </w:tcPr>
              <w:p>
                <w:pPr>
                  <w:jc w:val="both"/>
                </w:pPr>
                <w:r>
                  <w:t xml:space="preserve">Maksimali projektui skiriama suma – iki 24 654 000,00 Eur (ES lėšų) ir iki 7 686 000,00 Eur (BF lėšų). Detali informacija pagal regionus ir finansavimo šaltinius pateikta Aprašo 2.6 papunktyje. </w:t>
                </w:r>
              </w:p>
              <w:p>
                <w:pPr>
                  <w:jc w:val="both"/>
                </w:pPr>
                <w:r>
                  <w:t>13.1. Kryžminis finansavimas netaikomas.</w:t>
                </w:r>
              </w:p>
              <w:p>
                <w:pPr>
                  <w:jc w:val="both"/>
                </w:pPr>
                <w:r>
                  <w:t>13.2. Projekto tinkamų finansuoti išlaidų dalis, kurios nepadengia projektui skiriamo finansavimo lėšos, turi būti finansuojama iš projekto vykdytojo lėšų.</w:t>
                </w:r>
              </w:p>
              <w:p>
                <w:pPr>
                  <w:jc w:val="both"/>
                </w:pPr>
                <w:r>
                  <w:t>13.3. Projekto vykdytojui, vadovaujantis PAFT numatytomis sąlygomis, gali būti mokamas avansas.</w:t>
                </w:r>
              </w:p>
              <w:p>
                <w:pPr>
                  <w:jc w:val="both"/>
                </w:pPr>
                <w:r>
                  <w:t>13.4. Projekto išlaidos įgyvendinimo metu apmokamos išlaidų kompensavimo būdu projekto vykdytojui deklaruojant patirtas ir apmokėtas išlaidas, supaprastintai apmokamas išlaidas arba kartu derinant šias abi apmokėjimo formas.</w:t>
                </w:r>
              </w:p>
              <w:p>
                <w:pPr>
                  <w:jc w:val="both"/>
                </w:pPr>
                <w:r>
                  <w:t>13.5. Išlaidų tinkamumo finansuoti reikalavimai nustatyti PAFT VII skyriuje „Projektų išlaidų reikalavimai“.</w:t>
                </w:r>
              </w:p>
              <w:p>
                <w:pPr>
                  <w:jc w:val="both"/>
                </w:pPr>
                <w:r>
                  <w:t xml:space="preserve">13.6. Projektui taikomi supaprastinti išlaidų dydžiai, kurie nurodyti  Aprašo 14 punkte „Projektų veiklų ir jungtinio projekto projektų įgyvendinimui taikomi supaprastintai apmokamų išlaidų dydžiai“:</w:t>
                </w:r>
              </w:p>
              <w:p>
                <w:pPr>
                  <w:jc w:val="both"/>
                </w:pPr>
                <w:r>
                  <w:t xml:space="preserve">13.6.1. privalomoms </w:t>
                </w:r>
                <w:r>
                  <w:rPr>
                    <w:color w:val="000000"/>
                  </w:rPr>
                  <w:t>matomumo ir informavimo priemonių</w:t>
                </w:r>
                <w:r>
                  <w:t xml:space="preserve"> išlaidoms; </w:t>
                </w:r>
              </w:p>
              <w:p>
                <w:pPr>
                  <w:jc w:val="both"/>
                </w:pPr>
                <w:r>
                  <w:t>13.6.2. netiesioginėms išlaidoms taikoma 1 proc. fiksuotoji norma nuo tinkamų finansuoti tiesioginių projekto išlaidų.</w:t>
                </w:r>
              </w:p>
              <w:p>
                <w:pPr>
                  <w:jc w:val="both"/>
                </w:pPr>
                <w:r>
                  <w:t>13.7. Tinkamos išlaidos, skirtos komunikaciniam renginiui ar veiklai surengti, kur privalo dalyvauti Europos Komisijos ir vadovaujančiosios institucijos atstovai.</w:t>
                </w:r>
              </w:p>
              <w:p>
                <w:pPr>
                  <w:jc w:val="both"/>
                </w:pPr>
                <w:r>
                  <w:t>13.8. Pagal Aprašą netinkamos finansuoti projekto išlaidos:</w:t>
                </w:r>
              </w:p>
              <w:p>
                <w:pPr>
                  <w:jc w:val="both"/>
                </w:pPr>
                <w:r>
                  <w:t>13.8.1. žemės ir kito nekilnojamojo turto įsigijimo išlaidos;</w:t>
                </w:r>
              </w:p>
              <w:p>
                <w:pPr>
                  <w:jc w:val="both"/>
                </w:pPr>
                <w:r>
                  <w:t>13.8.2. baldai ir medicinos įranga, išskyrus įsakymo Nr. V-428 II skyriuje numatytą privalomą medicinos prietaisų (išskyrus infuzijos medžiagas, tvarsliavą ir slaugos priemones) sąrašą ir VI skyriuje numatytą ryšio priemonių GMP automobiliams (išskyrus mobiliuosius telefonus) sąrašą;</w:t>
                </w:r>
              </w:p>
              <w:p>
                <w:pPr>
                  <w:jc w:val="both"/>
                </w:pPr>
                <w:r>
                  <w:t>13.8.3. programinė ir techninė įranga, išskyrus įsakymo Nr. V-996 priedo 3 punkte numatytą GMP brigadų programinę ir techninę įrangą;</w:t>
                </w:r>
              </w:p>
              <w:p>
                <w:pPr>
                  <w:jc w:val="both"/>
                </w:pPr>
                <w:r>
                  <w:t>13.8.4. transporto priemonių išperkamoji nuoma, eksploatavimo ir susijusios išlaidos;</w:t>
                </w:r>
              </w:p>
              <w:p>
                <w:pPr>
                  <w:jc w:val="both"/>
                </w:pPr>
                <w:r>
                  <w:t>13.8.5. vienkartinės priemonės, higienos prekės ir kitos panašios paslaugų teikimui reikalingos priemonės;</w:t>
                </w:r>
              </w:p>
              <w:p>
                <w:pPr>
                  <w:jc w:val="both"/>
                </w:pPr>
                <w:r>
                  <w:t>13.8.6. naudojamo ilgalaikio turto nusidėvėjimo (amortizacijos) sąnaudos;</w:t>
                </w:r>
              </w:p>
              <w:p>
                <w:pPr>
                  <w:jc w:val="both"/>
                </w:pPr>
                <w:r>
                  <w:t>13.8.7. PĮP rengimo išlaidos (išskyrus investicijų projekto ar kitų su PĮP privalomų teikti dokumentų rengimo išlaidas);</w:t>
                </w:r>
              </w:p>
              <w:p>
                <w:pPr>
                  <w:jc w:val="both"/>
                  <w:rPr>
                    <w:sz w:val="22"/>
                    <w:szCs w:val="22"/>
                  </w:rPr>
                </w:pPr>
                <w:r>
                  <w:t>13.8.8. remonto / rekonstrukcijos darbai.</w:t>
                </w:r>
              </w:p>
            </w:tc>
          </w:tr>
          <w:tr>
            <w:trPr>
              <w:trHeight w:val="349"/>
            </w:trPr>
            <w:tc>
              <w:tcPr>
                <w:tcW w:w="15134" w:type="dxa"/>
              </w:tcPr>
              <w:p>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tc>
              <w:tcPr>
                <w:tcW w:w="15134"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5103"/>
                  <w:gridCol w:w="1944"/>
                </w:tblGrid>
                <w:tr>
                  <w:tc>
                    <w:tcPr>
                      <w:tcW w:w="14449" w:type="dxa"/>
                      <w:gridSpan w:val="5"/>
                    </w:tcPr>
                    <w:p>
                      <w:r>
                        <w:rPr>
                          <w:rFonts w:ascii="Segoe UI Symbol" w:eastAsia="MS Gothic" w:hAnsi="Segoe UI Symbol" w:cs="Segoe UI Symbol"/>
                        </w:rPr>
                        <w:t>☐</w:t>
                      </w:r>
                      <w:r>
                        <w:t xml:space="preserve"> Indeksuojama</w:t>
                      </w:r>
                    </w:p>
                    <w:p>
                      <w:r>
                        <w:rPr>
                          <w:rFonts w:eastAsia="MS Gothic"/>
                        </w:rPr>
                        <w:t>X</w:t>
                      </w:r>
                      <w:r>
                        <w:t xml:space="preserve"> Neindeksuojama</w:t>
                      </w:r>
                    </w:p>
                  </w:tc>
                </w:tr>
                <w:tr>
                  <w:tc>
                    <w:tcPr>
                      <w:tcW w:w="2889" w:type="dxa"/>
                      <w:vAlign w:val="center"/>
                    </w:tcPr>
                    <w:p>
                      <w:r>
                        <w:t>Veiklos ir (ar) išlaidos, kurioms taikomi supaprastintai apmokamų išlaidų dydžiai</w:t>
                      </w:r>
                    </w:p>
                  </w:tc>
                  <w:tc>
                    <w:tcPr>
                      <w:tcW w:w="2245" w:type="dxa"/>
                      <w:vAlign w:val="center"/>
                    </w:tcPr>
                    <w:p>
                      <w:r>
                        <w:t>Supaprastintai apmokamų išlaidų dydžio kodas</w:t>
                      </w:r>
                    </w:p>
                  </w:tc>
                  <w:tc>
                    <w:tcPr>
                      <w:tcW w:w="2268" w:type="dxa"/>
                      <w:vAlign w:val="center"/>
                    </w:tcPr>
                    <w:p>
                      <w:pPr>
                        <w:rPr>
                          <w:i/>
                          <w:iCs/>
                          <w:color w:val="808080"/>
                        </w:rPr>
                      </w:pPr>
                      <w:r>
                        <w:t>Supaprastintai apmokamų išlaidų dydžio versija</w:t>
                      </w:r>
                    </w:p>
                  </w:tc>
                  <w:tc>
                    <w:tcPr>
                      <w:tcW w:w="5103" w:type="dxa"/>
                      <w:vAlign w:val="center"/>
                    </w:tcPr>
                    <w:p>
                      <w:r>
                        <w:t>Supaprastintai apmokamų išlaidų dydžio pavadinimas</w:t>
                      </w:r>
                    </w:p>
                  </w:tc>
                  <w:tc>
                    <w:tcPr>
                      <w:tcW w:w="1944" w:type="dxa"/>
                      <w:vAlign w:val="center"/>
                    </w:tcPr>
                    <w:p>
                      <w:r>
                        <w:t>Papildoma informacija</w:t>
                      </w:r>
                    </w:p>
                  </w:tc>
                </w:tr>
                <w:tr>
                  <w:trPr>
                    <w:trHeight w:val="852"/>
                  </w:trPr>
                  <w:tc>
                    <w:tcPr>
                      <w:tcW w:w="2889" w:type="dxa"/>
                    </w:tcPr>
                    <w:p>
                      <w:r>
                        <w:t>14.1. Matomumo ir informavimo priemonės</w:t>
                      </w:r>
                    </w:p>
                    <w:p/>
                  </w:tc>
                  <w:tc>
                    <w:tcPr>
                      <w:tcW w:w="2245" w:type="dxa"/>
                    </w:tcPr>
                    <w:p>
                      <w:pPr>
                        <w:jc w:val="center"/>
                      </w:pPr>
                      <w:r>
                        <w:t>FS-01-04</w:t>
                      </w:r>
                    </w:p>
                    <w:p>
                      <w:pPr>
                        <w:jc w:val="center"/>
                      </w:pPr>
                    </w:p>
                  </w:tc>
                  <w:tc>
                    <w:tcPr>
                      <w:tcW w:w="2268" w:type="dxa"/>
                    </w:tcPr>
                    <w:p>
                      <w:pPr>
                        <w:jc w:val="center"/>
                      </w:pPr>
                      <w:r>
                        <w:t>01</w:t>
                      </w:r>
                    </w:p>
                  </w:tc>
                  <w:tc>
                    <w:tcPr>
                      <w:tcW w:w="5103" w:type="dxa"/>
                    </w:tcPr>
                    <w:p>
                      <w:r>
                        <w:t>Įgyvendintų privalomų matomumo ir informavimo priemonių apie ES fondų investicijų veiklas fiksuotoji suma, antrojo rinkinio FS su PVM</w:t>
                      </w:r>
                    </w:p>
                  </w:tc>
                  <w:tc>
                    <w:tcPr>
                      <w:tcW w:w="1944" w:type="dxa"/>
                    </w:tcPr>
                    <w:p/>
                  </w:tc>
                </w:tr>
                <w:tr>
                  <w:trPr>
                    <w:trHeight w:val="952"/>
                  </w:trPr>
                  <w:tc>
                    <w:tcPr>
                      <w:tcW w:w="2889" w:type="dxa"/>
                    </w:tcPr>
                    <w:p>
                      <w:r>
                        <w:t>14.2. Matomumo ir informavimo priemonės</w:t>
                      </w:r>
                    </w:p>
                  </w:tc>
                  <w:tc>
                    <w:tcPr>
                      <w:tcW w:w="2245" w:type="dxa"/>
                    </w:tcPr>
                    <w:p>
                      <w:pPr>
                        <w:jc w:val="center"/>
                      </w:pPr>
                      <w:r>
                        <w:t>FS-01-03</w:t>
                      </w:r>
                    </w:p>
                  </w:tc>
                  <w:tc>
                    <w:tcPr>
                      <w:tcW w:w="2268" w:type="dxa"/>
                    </w:tcPr>
                    <w:p>
                      <w:pPr>
                        <w:jc w:val="center"/>
                      </w:pPr>
                      <w:r>
                        <w:t>01</w:t>
                      </w:r>
                    </w:p>
                  </w:tc>
                  <w:tc>
                    <w:tcPr>
                      <w:tcW w:w="5103" w:type="dxa"/>
                    </w:tcPr>
                    <w:p>
                      <w:pPr>
                        <w:rPr>
                          <w:lang w:val="en-US"/>
                        </w:rPr>
                      </w:pPr>
                      <w:r>
                        <w:t>Įgyvendintų privalomų matomumo ir informavimo priemonių apie ES fondų investicijų veiklas fiksuotoji suma, antrojo rinkinio FS be PVM</w:t>
                      </w:r>
                    </w:p>
                  </w:tc>
                  <w:tc>
                    <w:tcPr>
                      <w:tcW w:w="1944" w:type="dxa"/>
                    </w:tcPr>
                    <w:p/>
                  </w:tc>
                </w:tr>
                <w:tr>
                  <w:tc>
                    <w:tcPr>
                      <w:tcW w:w="2889" w:type="dxa"/>
                    </w:tcPr>
                    <w:p>
                      <w:r>
                        <w:t>14.3. Netiesioginės išlaidos</w:t>
                      </w:r>
                    </w:p>
                  </w:tc>
                  <w:tc>
                    <w:tcPr>
                      <w:tcW w:w="2245" w:type="dxa"/>
                    </w:tcPr>
                    <w:p>
                      <w:pPr>
                        <w:jc w:val="center"/>
                      </w:pPr>
                      <w:r>
                        <w:t>FN-01</w:t>
                      </w:r>
                    </w:p>
                  </w:tc>
                  <w:tc>
                    <w:tcPr>
                      <w:tcW w:w="2268" w:type="dxa"/>
                    </w:tcPr>
                    <w:p>
                      <w:pPr>
                        <w:jc w:val="center"/>
                      </w:pPr>
                      <w:r>
                        <w:t>01</w:t>
                      </w:r>
                    </w:p>
                  </w:tc>
                  <w:tc>
                    <w:tcPr>
                      <w:tcW w:w="5103" w:type="dxa"/>
                    </w:tcPr>
                    <w:p>
                      <w:r>
                        <w:t>Iki 7 proc. netiesioginių išlaidų fiksuotoji norma</w:t>
                      </w:r>
                    </w:p>
                    <w:p/>
                    <w:p/>
                    <w:p/>
                    <w:p/>
                  </w:tc>
                  <w:tc>
                    <w:tcPr>
                      <w:tcW w:w="1944" w:type="dxa"/>
                    </w:tcPr>
                    <w:p>
                      <w:pPr>
                        <w:rPr>
                          <w:highlight w:val="yellow"/>
                        </w:rPr>
                      </w:pPr>
                      <w:r>
                        <w:t>Netiesioginėms išlaidoms taikoma 13.6.2 papunktyje nurodyta fiksuotoji norma</w:t>
                      </w:r>
                    </w:p>
                  </w:tc>
                </w:tr>
              </w:tbl>
              <w:p>
                <w:pPr>
                  <w:jc w:val="both"/>
                  <w:rPr>
                    <w:i/>
                    <w:iCs/>
                    <w:sz w:val="22"/>
                    <w:szCs w:val="22"/>
                  </w:rPr>
                </w:pPr>
              </w:p>
              <w:p>
                <w:pPr>
                  <w:jc w:val="both"/>
                  <w:rPr>
                    <w:i/>
                    <w:iCs/>
                    <w:sz w:val="22"/>
                    <w:szCs w:val="22"/>
                  </w:rPr>
                </w:pPr>
              </w:p>
            </w:tc>
          </w:tr>
        </w:tbl>
        <w:p>
          <w:pPr>
            <w:spacing w:line="276" w:lineRule="auto"/>
            <w:jc w:val="center"/>
            <w:rPr>
              <w:rFonts w:eastAsia="Calibri"/>
              <w:sz w:val="22"/>
              <w:szCs w:val="22"/>
            </w:rPr>
          </w:pPr>
        </w:p>
        <w:p>
          <w:pPr>
            <w:rPr>
              <w:sz w:val="18"/>
              <w:szCs w:val="18"/>
            </w:rPr>
          </w:pPr>
        </w:p>
        <w:sdt>
          <w:sdtPr>
            <w:alias w:val="pabaiga"/>
            <w:tag w:val="part_25eb238d7c824bad9ad80e0575521ba8"/>
            <w:lock w:val="sdtLocked"/>
            <w:richText/>
          </w:sdtPr>
          <w:sdtContent>
            <w:p>
              <w:pPr>
                <w:spacing w:line="276" w:lineRule="auto"/>
                <w:jc w:val="center"/>
                <w:rPr>
                  <w:rFonts w:eastAsia="Calibri"/>
                  <w:szCs w:val="24"/>
                </w:rPr>
              </w:pPr>
              <w:r>
                <w:rPr>
                  <w:rFonts w:eastAsia="Calibri"/>
                  <w:szCs w:val="24"/>
                </w:rPr>
                <w:t>________________</w:t>
              </w:r>
            </w:p>
            <w:p>
              <w:pPr>
                <w:spacing w:line="276" w:lineRule="auto"/>
                <w:rPr>
                  <w:sz w:val="22"/>
                  <w:szCs w:val="22"/>
                </w:rPr>
              </w:pPr>
            </w:p>
            <w:p>
              <w:pPr>
                <w:spacing w:line="276" w:lineRule="auto"/>
                <w:rPr>
                  <w:sz w:val="22"/>
                  <w:szCs w:val="22"/>
                </w:rPr>
              </w:pPr>
            </w:p>
            <w:p>
              <w:pPr>
                <w:spacing w:line="276" w:lineRule="auto"/>
                <w:rPr>
                  <w:sz w:val="22"/>
                  <w:szCs w:val="22"/>
                </w:rPr>
              </w:pPr>
            </w:p>
            <w:p>
              <w:pPr>
                <w:ind w:left="9923"/>
                <w:rPr>
                  <w:szCs w:val="24"/>
                </w:rPr>
                <w:sectPr>
                  <w:headerReference w:type="even" r:id="rId21"/>
                  <w:headerReference w:type="default" r:id="rId22"/>
                  <w:footerReference w:type="even" r:id="rId23"/>
                  <w:footerReference w:type="default" r:id="rId24"/>
                  <w:headerReference w:type="first" r:id="rId25"/>
                  <w:footerReference w:type="first" r:id="rId26"/>
                  <w:pgSz w:w="16838" w:h="11906" w:orient="landscape"/>
                  <w:pgMar w:top="1701" w:right="567" w:bottom="992" w:left="1134" w:header="567" w:footer="567" w:gutter="0"/>
                  <w:cols w:space="1296"/>
                  <w:titlePg/>
                  <w:docGrid w:linePitch="360"/>
                </w:sectPr>
              </w:pPr>
            </w:p>
            <w:p>
              <w:pPr>
                <w:tabs>
                  <w:tab w:val="center" w:pos="4819"/>
                  <w:tab w:val="right" w:pos="9638"/>
                </w:tabs>
              </w:pPr>
            </w:p>
            <w:p>
              <w:pPr>
                <w:tabs>
                  <w:tab w:val="center" w:pos="4819"/>
                  <w:tab w:val="right" w:pos="9638"/>
                </w:tabs>
                <w:jc w:val="center"/>
              </w:pPr>
            </w:p>
            <w:p>
              <w:pPr>
                <w:tabs>
                  <w:tab w:val="center" w:pos="4986"/>
                  <w:tab w:val="right" w:pos="9972"/>
                </w:tabs>
              </w:pPr>
            </w:p>
          </w:sdtContent>
        </w:sdt>
      </w:sdtContent>
    </w:sdt>
    <w:sdt>
      <w:sdtPr>
        <w:alias w:val="pr."/>
        <w:tag w:val="part_9efd88660d4049318796722ff93a0328"/>
        <w:lock w:val="sdtLocked"/>
        <w:richText/>
      </w:sdtPr>
      <w:sdtContent>
        <w:p>
          <w:pPr>
            <w:ind w:left="10206"/>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10</w:t>
          </w:r>
        </w:p>
        <w:p>
          <w:pPr>
            <w:ind w:left="10206"/>
            <w:rPr>
              <w:szCs w:val="24"/>
            </w:rPr>
          </w:pPr>
          <w:r>
            <w:rPr>
              <w:szCs w:val="24"/>
            </w:rPr>
            <w:t>priedas</w:t>
          </w:r>
        </w:p>
        <w:p>
          <w:pPr>
            <w:rPr>
              <w:rFonts w:eastAsia="Calibri"/>
              <w:b/>
              <w:bCs/>
              <w:szCs w:val="24"/>
            </w:rPr>
          </w:pPr>
        </w:p>
        <w:p>
          <w:pPr>
            <w:rPr>
              <w:rFonts w:eastAsia="Calibri"/>
              <w:b/>
              <w:bCs/>
              <w:szCs w:val="24"/>
            </w:rPr>
          </w:pPr>
        </w:p>
        <w:p>
          <w:pPr>
            <w:jc w:val="center"/>
            <w:rPr>
              <w:rFonts w:eastAsia="Calibri"/>
              <w:b/>
              <w:bCs/>
              <w:szCs w:val="24"/>
            </w:rPr>
          </w:pPr>
          <w:sdt>
            <w:sdtPr>
              <w:alias w:val="Pavadinimas"/>
              <w:tag w:val="title_9efd88660d4049318796722ff93a0328"/>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pPr>
            <w:spacing w:line="276" w:lineRule="auto"/>
            <w:jc w:val="both"/>
            <w:rPr>
              <w:rFonts w:eastAsia="Calibri"/>
              <w:bCs/>
              <w:szCs w:val="24"/>
            </w:rPr>
          </w:pPr>
          <w:r>
            <w:sym w:font="Wingdings 2" w:char="00A3"/>
            <w:t xml:space="preserve">  </w:t>
          </w:r>
          <w:r>
            <w:rPr>
              <w:rFonts w:eastAsia="Calibri"/>
              <w:bCs/>
              <w:szCs w:val="24"/>
            </w:rPr>
            <w:t>Ekonomikos gaivinimo ir atsparumo didinimo priemonė (toliau – EGADP)</w:t>
          </w:r>
        </w:p>
        <w:p>
          <w:pPr>
            <w:spacing w:line="276" w:lineRule="auto"/>
            <w:jc w:val="both"/>
            <w:rPr>
              <w:rFonts w:eastAsia="Calibri"/>
              <w:bCs/>
              <w:szCs w:val="24"/>
            </w:rPr>
          </w:pPr>
          <w:r>
            <w:t xml:space="preserve">X   Europos Sąjungos fondų i</w:t>
          </w:r>
          <w:r>
            <w:rPr>
              <w:rFonts w:eastAsia="Calibri"/>
              <w:bCs/>
              <w:szCs w:val="24"/>
            </w:rPr>
            <w:t>nvesticijų programa (toliau – ESFIP)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tc>
              <w:tcPr>
                <w:tcW w:w="3545"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2020/852</w:t>
                </w:r>
                <w:r>
                  <w:rPr>
                    <w:rFonts w:eastAsia="Calibri"/>
                    <w:i/>
                    <w:szCs w:val="24"/>
                  </w:rPr>
                  <w:t xml:space="preserve"> dėl sistemos tvariam investavimui palengvinti sukūrimo, kuriuo iš dalies keičiamas Reglamentas </w:t>
                </w:r>
                <w:r>
                  <w:rPr>
                    <w:rFonts w:eastAsia="Calibri"/>
                    <w:i/>
                    <w:color w:val="0563C1"/>
                    <w:szCs w:val="24"/>
                    <w:u w:val="single"/>
                  </w:rPr>
                  <w:t>(ES) Nr. 2019/2088</w:t>
                </w:r>
                <w:r>
                  <w:rPr>
                    <w:rFonts w:eastAsia="Calibri"/>
                    <w:i/>
                    <w:szCs w:val="24"/>
                  </w:rPr>
                  <w:t>)</w:t>
                </w:r>
              </w:p>
            </w:tc>
            <w:tc>
              <w:tcPr>
                <w:tcW w:w="5528" w:type="dxa"/>
              </w:tcPr>
              <w:p>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pPr>
                  <w:jc w:val="center"/>
                  <w:rPr>
                    <w:rFonts w:eastAsia="Calibri"/>
                    <w:i/>
                    <w:sz w:val="20"/>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3545" w:type="dxa"/>
              </w:tcPr>
              <w:p>
                <w:pPr>
                  <w:rPr>
                    <w:rFonts w:eastAsia="Calibri"/>
                  </w:rPr>
                </w:pPr>
                <w:r>
                  <w:rPr>
                    <w:rFonts w:eastAsia="Calibri"/>
                  </w:rPr>
                  <w:t>1. Klimato kaitos švelninimas</w:t>
                </w:r>
              </w:p>
              <w:p>
                <w:pPr>
                  <w:rPr>
                    <w:rFonts w:eastAsia="Calibri"/>
                  </w:rPr>
                </w:pPr>
              </w:p>
              <w:p>
                <w:pPr>
                  <w:rPr>
                    <w:rFonts w:eastAsia="Calibri"/>
                  </w:rPr>
                </w:pPr>
              </w:p>
              <w:p>
                <w:pPr>
                  <w:rPr>
                    <w:rFonts w:eastAsia="Calibri"/>
                  </w:rPr>
                </w:pPr>
              </w:p>
              <w:p>
                <w:pPr>
                  <w:rPr>
                    <w:rFonts w:eastAsia="Calibri"/>
                  </w:rPr>
                </w:pPr>
              </w:p>
              <w:p>
                <w:pPr>
                  <w:ind w:firstLine="62"/>
                  <w:rPr>
                    <w:rFonts w:eastAsia="Calibri"/>
                  </w:rPr>
                </w:pPr>
              </w:p>
            </w:tc>
            <w:tc>
              <w:tcPr>
                <w:tcW w:w="5528" w:type="dxa"/>
              </w:tcPr>
              <w:p>
                <w:pPr>
                  <w:jc w:val="both"/>
                  <w:rPr>
                    <w:rFonts w:eastAsia="Calibri"/>
                    <w:szCs w:val="24"/>
                  </w:rPr>
                </w:pPr>
                <w:r>
                  <w:rPr>
                    <w:bCs/>
                  </w:rPr>
                  <w:t xml:space="preserve">Vertinama, kad planuojamos įgyvendinti veiklos (GMP automobilių kartu su įranga bei specialios paskirtis automobilių su įranga įsigijimas)  neturi jokio tiesioginio ar netiesioginio neigiamo poveikio klimato kaitos švelninimo tikslui, kadangi p</w:t>
                </w:r>
                <w:r>
                  <w:rPr>
                    <w:rFonts w:eastAsia="Calibri"/>
                    <w:szCs w:val="24"/>
                  </w:rPr>
                  <w:t xml:space="preserve">lanuojamos įsigyti transporto priemonės, kurios bus ne žemesnio nei euro VI standarto, kuris reglamentuoja teršalų išmetimo iš sunkiųjų transporto priemonių ribojimą. Šis reikalavimas bus įrašytas transporto priemonių pirkimo dokumentuose, paslaugų įsigijimo ir kituose dokumentuose. </w:t>
                </w:r>
              </w:p>
              <w:p>
                <w:pPr>
                  <w:jc w:val="both"/>
                  <w:rPr>
                    <w:bCs/>
                  </w:rPr>
                </w:pPr>
                <w:r>
                  <w:rPr>
                    <w:bCs/>
                  </w:rPr>
                  <w:t xml:space="preserve">Planuojama įsigyti įranga, priemonės privalės atitikti (tai bus numatoma atitinkamuose įrangos įsigijimo dokumentuose) bendruosius saugos ir veiksmingumo reikalavimus pagal </w:t>
                </w:r>
                <w:r>
                  <w:t xml:space="preserve">2017 m. balandžio 5 d. Europos Parlamento ir Tarybos reglamentą </w:t>
                </w:r>
                <w:r>
                  <w:rPr>
                    <w:color w:val="0563C1"/>
                    <w:u w:val="single"/>
                  </w:rPr>
                  <w:t>(ES) 2017/745</w:t>
                </w:r>
                <w:r>
                  <w:t xml:space="preserve"> dėl žmonėms skirtų medicinos priemonių ir šių priemonių priedų pateikimo rinkai, tiekimo rinkai ar naudojimo pradžios Europos Sąjungoje.</w:t>
                </w:r>
              </w:p>
              <w:p>
                <w:pPr>
                  <w:jc w:val="both"/>
                  <w:rPr>
                    <w:bCs/>
                  </w:rPr>
                </w:pPr>
                <w:r>
                  <w:rPr>
                    <w:bCs/>
                  </w:rPr>
                  <w:t>Projektų vykdytojas ir kiti dalyviai bei tarpininkai privalo laikytis pagrindimo skiltyje nurodytų teisės aktų reikalavimų.</w:t>
                </w:r>
              </w:p>
            </w:tc>
            <w:tc>
              <w:tcPr>
                <w:tcW w:w="5776" w:type="dxa"/>
              </w:tcPr>
              <w:p>
                <w:pPr>
                  <w:jc w:val="both"/>
                  <w:rPr>
                    <w:bCs/>
                  </w:rPr>
                </w:pPr>
                <w:r>
                  <w:rPr>
                    <w:bCs/>
                  </w:rPr>
                  <w:t>Pagrindimo dokumentai su PĮP nėra teikiami.</w:t>
                </w:r>
              </w:p>
              <w:p>
                <w:pPr>
                  <w:jc w:val="both"/>
                  <w:rPr>
                    <w:bCs/>
                  </w:rPr>
                </w:pPr>
              </w:p>
              <w:p>
                <w:pPr>
                  <w:jc w:val="both"/>
                  <w:rPr>
                    <w:color w:val="333333"/>
                    <w:shd w:val="clear" w:color="auto" w:fill="FFFFFF"/>
                  </w:rPr>
                </w:pPr>
                <w:r>
                  <w:rPr>
                    <w:bCs/>
                  </w:rPr>
                  <w:t xml:space="preserve">PĮP pateikiamas įsipareigojimas pirkimo dokumentuose: 1. Kelti reikalavimą, kad įsigyjami automobiliai turi atitikti 2009 m. birželio 18 d. Europos Parlamento ir Tarybos reglamento  595/2009, nustatančio </w:t>
                </w:r>
                <w:r>
                  <w:rPr>
                    <w:color w:val="333333"/>
                    <w:shd w:val="clear" w:color="auto" w:fill="FFFFFF"/>
                  </w:rPr>
                  <w:t>motorinių transporto priemonių ir variklių tipo patvirtinimo atsižvelgiant į sunkiųjų transporto priemonių išmetamų teršalų kiekį (euro VI) ir dėl galimybės naudotis transporto priemonių remonto ir priežiūros informacija, nuostatas.</w:t>
                </w:r>
              </w:p>
              <w:p>
                <w:pPr>
                  <w:jc w:val="both"/>
                  <w:rPr>
                    <w:color w:val="333333"/>
                    <w:shd w:val="clear" w:color="auto" w:fill="FFFFFF"/>
                  </w:rPr>
                </w:pPr>
              </w:p>
              <w:p>
                <w:pPr>
                  <w:jc w:val="both"/>
                  <w:rPr>
                    <w:bCs/>
                    <w:lang w:val="en-US"/>
                  </w:rPr>
                </w:pPr>
                <w:r>
                  <w:rPr>
                    <w:bCs/>
                  </w:rPr>
                  <w:t xml:space="preserve">2. Kelti reikalavimą, kad įsigyjama įranga turi atitikti </w:t>
                </w:r>
                <w:r>
                  <w:t xml:space="preserve">2017 m. balandžio 5 d. Europos Parlamento ir Tarybos reglamento </w:t>
                </w:r>
                <w:r>
                  <w:rPr>
                    <w:color w:val="0563C1"/>
                    <w:u w:val="single"/>
                  </w:rPr>
                  <w:t>(ES) 2017/745</w:t>
                </w:r>
                <w:r>
                  <w:rPr>
                    <w:bCs/>
                  </w:rPr>
                  <w:t>, nustatančio medicinos įrangai taikomus bendruosius saugos ir veiksmingumo reikalavimus, atsižvelgiant į jos numatytą paskirtį (priemonė paženklinta CE atitikties ženklu ar CE ženklu), nuostatas.</w:t>
                </w:r>
              </w:p>
            </w:tc>
          </w:tr>
          <w:tr>
            <w:tc>
              <w:tcPr>
                <w:tcW w:w="3545" w:type="dxa"/>
              </w:tcPr>
              <w:p>
                <w:pPr>
                  <w:rPr>
                    <w:rFonts w:eastAsia="Calibri"/>
                  </w:rPr>
                </w:pPr>
                <w:r>
                  <w:rPr>
                    <w:rFonts w:eastAsia="Calibri"/>
                  </w:rPr>
                  <w:t>2. Prisitaikymas prie klimato kaitos</w:t>
                </w:r>
              </w:p>
            </w:tc>
            <w:tc>
              <w:tcPr>
                <w:tcW w:w="5528" w:type="dxa"/>
              </w:tcPr>
              <w:p>
                <w:pPr>
                  <w:jc w:val="both"/>
                  <w:rPr>
                    <w:bCs/>
                  </w:rPr>
                </w:pPr>
                <w:r>
                  <w:rPr>
                    <w:bCs/>
                  </w:rPr>
                  <w:t xml:space="preserve">Vertinama, kad planuojamos įgyvendinti veiklos per visą gyvavimo ciklą neturės neigiamos įtakos prisitaikymo prie klimato kaitos tikslui, nedidins neigiamo poveikio žmonėms, gamtai ar turtui rizikos, kadangi numatomas automobilių įsigijimas / atnaujinimas. Vykdant veiklas nebus sukuriamas turtas, kuriuo trukdoma pasiekti ilgalaikius aplinkos tikslus, bus laikomasi aplinkos apsaugą reglamentuojančių teisės aktų. Numatoma atlikti planuojamos ūkinės veiklos poveikio aplinkai vertinimą, kaip tai numatyta Lietuvos Respublikos planuojamos ūkinės veiklos vertinimo įstatyme. Vykdant veiklas bus vadovaujamasi 2009 m. birželio 18 d. Europos Parlamento ir Tarybos direktyvos 595/2009 reglamentu, kuriame įtvirtinti ir aplinkos apsaugos reikalavimai, atsakomybės ir kontrolė. Tai užtikrins rizikos dėl neigiamo poveikio klimatui, žmonėms, gamtai ar turtui eliminavimą. </w:t>
                </w:r>
              </w:p>
            </w:tc>
            <w:tc>
              <w:tcPr>
                <w:tcW w:w="5776" w:type="dxa"/>
              </w:tcPr>
              <w:p>
                <w:pPr>
                  <w:jc w:val="both"/>
                  <w:rPr>
                    <w:bCs/>
                  </w:rPr>
                </w:pPr>
                <w:r>
                  <w:rPr>
                    <w:bCs/>
                  </w:rPr>
                  <w:t>Netaikoma, nes įgyvendinant veiklas neplanuojama statyti jokios infrastruktūros, turinčios poveikį aplinkai.</w:t>
                </w:r>
              </w:p>
              <w:p>
                <w:pPr>
                  <w:jc w:val="both"/>
                  <w:rPr>
                    <w:bCs/>
                  </w:rPr>
                </w:pPr>
              </w:p>
              <w:p>
                <w:pPr>
                  <w:jc w:val="both"/>
                  <w:rPr>
                    <w:rFonts w:eastAsia="Calibri"/>
                    <w:bCs/>
                    <w:iCs/>
                  </w:rPr>
                </w:pPr>
              </w:p>
              <w:p>
                <w:pPr>
                  <w:jc w:val="both"/>
                  <w:rPr>
                    <w:rFonts w:eastAsia="Calibri"/>
                    <w:b/>
                  </w:rPr>
                </w:pPr>
              </w:p>
            </w:tc>
          </w:tr>
          <w:tr>
            <w:tc>
              <w:tcPr>
                <w:tcW w:w="3545" w:type="dxa"/>
                <w:shd w:val="clear" w:color="auto" w:fill="auto"/>
              </w:tcPr>
              <w:p>
                <w:pPr>
                  <w:rPr>
                    <w:rFonts w:eastAsia="Calibri"/>
                  </w:rPr>
                </w:pPr>
                <w:r>
                  <w:rPr>
                    <w:rFonts w:eastAsia="Calibri"/>
                  </w:rPr>
                  <w:t>3. Tausus vandens ir jūrų išteklių naudojimas ir apsauga</w:t>
                </w:r>
              </w:p>
            </w:tc>
            <w:tc>
              <w:tcPr>
                <w:tcW w:w="5528" w:type="dxa"/>
                <w:shd w:val="clear" w:color="auto" w:fill="auto"/>
              </w:tcPr>
              <w:p>
                <w:pPr>
                  <w:jc w:val="both"/>
                  <w:rPr>
                    <w:rFonts w:eastAsia="Calibri"/>
                    <w:b/>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5776" w:type="dxa"/>
              </w:tcPr>
              <w:p>
                <w:pPr>
                  <w:jc w:val="both"/>
                  <w:rPr>
                    <w:rFonts w:eastAsia="Calibri"/>
                    <w:bCs/>
                  </w:rPr>
                </w:pPr>
                <w:r>
                  <w:rPr>
                    <w:bCs/>
                  </w:rPr>
                  <w:t>Netaikoma, nes įgyvendinant veiklas neplanuojama statyti jokios infrastruktūros vandens telkinių apsaugos zonose arba arti vandens telkinių, kas galėtų turėti neigiamą poveikį tausiam vandens ir jūrų išteklių naudojimui.</w:t>
                </w:r>
              </w:p>
            </w:tc>
          </w:tr>
          <w:tr>
            <w:trPr>
              <w:trHeight w:val="2609"/>
            </w:trPr>
            <w:tc>
              <w:tcPr>
                <w:tcW w:w="3545" w:type="dxa"/>
              </w:tcPr>
              <w:p>
                <w:pPr>
                  <w:rPr>
                    <w:rFonts w:eastAsia="Calibri"/>
                  </w:rPr>
                </w:pPr>
                <w:r>
                  <w:rPr>
                    <w:rFonts w:eastAsia="Calibri"/>
                  </w:rPr>
                  <w:t>4. Perėjimas prie žiedinės ekonomikos, įskaitant atliekų prevenciją ir perdirbimą</w:t>
                </w:r>
              </w:p>
            </w:tc>
            <w:tc>
              <w:tcPr>
                <w:tcW w:w="5528" w:type="dxa"/>
              </w:tcPr>
              <w:p>
                <w:pPr>
                  <w:jc w:val="both"/>
                  <w:rPr>
                    <w:bCs/>
                  </w:rPr>
                </w:pPr>
                <w:r>
                  <w:rPr>
                    <w:bCs/>
                    <w:szCs w:val="24"/>
                  </w:rPr>
                  <w:t xml:space="preserve">Vertinama, kad planuojama įgyvendinti  priemonė ir numatytos veiklos neturės jokio neigiamo tiesioginio ar netiesioginio poveikio žiedinės ekonomikos, įskaitant atliekų prevenciją ir perdirbimą, tikslui, nes nenumatoma, kad atliekant planuojamas veiklas susidarys atliekų. Pasibaigus naudingam įrangos ir automobilių tarnavimo laikui, jie bus sutvarkomi vadovaujantis Lietuvos Respublikos įstatymais ir kitais teisės aktais.</w:t>
                </w:r>
              </w:p>
            </w:tc>
            <w:tc>
              <w:tcPr>
                <w:tcW w:w="5776" w:type="dxa"/>
              </w:tcPr>
              <w:p>
                <w:pPr>
                  <w:jc w:val="both"/>
                  <w:rPr>
                    <w:bCs/>
                    <w:szCs w:val="24"/>
                  </w:rPr>
                </w:pPr>
                <w:r>
                  <w:rPr>
                    <w:bCs/>
                    <w:szCs w:val="24"/>
                  </w:rPr>
                  <w:t xml:space="preserve">Netaikoma, nes priemonės veikla </w:t>
                </w:r>
                <w:r>
                  <w:rPr>
                    <w:rFonts w:eastAsia="Calibri"/>
                    <w:bCs/>
                    <w:szCs w:val="24"/>
                  </w:rPr>
                  <w:t>neturės jokio neigiamo tiesioginio ar netiesioginio poveikio žiedinės ekonomikos, įskaitant atliekų prevenciją ir perdirbimą, tikslui, nes planuojamų veiklų atlikimo metu nenumatomas atliekų susidarymas.</w:t>
                </w:r>
              </w:p>
              <w:p>
                <w:pPr>
                  <w:jc w:val="both"/>
                  <w:rPr>
                    <w:rFonts w:eastAsia="Calibri"/>
                  </w:rPr>
                </w:pPr>
              </w:p>
            </w:tc>
          </w:tr>
          <w:tr>
            <w:tc>
              <w:tcPr>
                <w:tcW w:w="3545" w:type="dxa"/>
              </w:tcPr>
              <w:p>
                <w:pPr>
                  <w:rPr>
                    <w:rFonts w:eastAsia="Calibri"/>
                  </w:rPr>
                </w:pPr>
                <w:r>
                  <w:rPr>
                    <w:rFonts w:eastAsia="Calibri"/>
                  </w:rPr>
                  <w:t xml:space="preserve">5. </w:t>
                </w:r>
                <w:r>
                  <w:rPr>
                    <w:rFonts w:eastAsia="Calibri"/>
                    <w:bCs/>
                  </w:rPr>
                  <w:t>Oro, vandens ar žemės taršos prevencija ir kontrolė</w:t>
                </w:r>
              </w:p>
            </w:tc>
            <w:tc>
              <w:tcPr>
                <w:tcW w:w="5528" w:type="dxa"/>
              </w:tcPr>
              <w:p>
                <w:pPr>
                  <w:jc w:val="both"/>
                  <w:rPr>
                    <w:bCs/>
                  </w:rPr>
                </w:pPr>
                <w:r>
                  <w:rPr>
                    <w:bCs/>
                  </w:rPr>
                  <w:t xml:space="preserve">Vertinama, kad planuojamos įgyvendinti veiklos neturi jokio numatomo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įsigyjamos transporto priemonės ir įranga turės atitikti visus aukščiausius kokybės reikalavimus.</w:t>
                </w:r>
              </w:p>
              <w:p>
                <w:pPr>
                  <w:jc w:val="both"/>
                  <w:rPr>
                    <w:bCs/>
                  </w:rPr>
                </w:pPr>
                <w:r>
                  <w:rPr>
                    <w:szCs w:val="24"/>
                  </w:rPr>
                  <w:t xml:space="preserve">Transporto priemonių atveju padangos atitiks aukščiausios klasės padangoms taikomus išorinio riedėjimo triukšmo reikalavimus ir dviejų aukščiausių klasių padangoms taikomą riedėjimo varžos koeficientą (darantį įtaką energijos vartojimo efektyvumui), nustatytą Europos Parlamento ir Tarybos reglamente </w:t>
                </w:r>
                <w:r>
                  <w:rPr>
                    <w:color w:val="0563C1"/>
                    <w:szCs w:val="24"/>
                    <w:u w:val="single"/>
                    <w:shd w:val="clear" w:color="auto" w:fill="FFFFFF"/>
                  </w:rPr>
                  <w:t>(ES) 2020/740</w:t>
                </w:r>
                <w:r>
                  <w:rPr>
                    <w:szCs w:val="24"/>
                  </w:rPr>
                  <w:t xml:space="preserve"> (231), kurį taip pat galima patikrinti Europos gaminių energijos vartojimo efektyvumo ženklinimo duomenų bazėje (EPREL).</w:t>
                </w:r>
              </w:p>
            </w:tc>
            <w:tc>
              <w:tcPr>
                <w:tcW w:w="5776" w:type="dxa"/>
              </w:tcPr>
              <w:p>
                <w:pPr>
                  <w:jc w:val="both"/>
                  <w:rPr>
                    <w:bCs/>
                  </w:rPr>
                </w:pPr>
                <w:r>
                  <w:rPr>
                    <w:bCs/>
                  </w:rPr>
                  <w:t>Pagrindžiantys dokumentai su PĮP neteikiami.</w:t>
                </w:r>
              </w:p>
              <w:p>
                <w:pPr>
                  <w:jc w:val="both"/>
                  <w:rPr>
                    <w:bCs/>
                  </w:rPr>
                </w:pPr>
              </w:p>
              <w:p>
                <w:pPr>
                  <w:jc w:val="both"/>
                  <w:rPr>
                    <w:iCs/>
                    <w:szCs w:val="24"/>
                  </w:rPr>
                </w:pPr>
                <w:r>
                  <w:rPr>
                    <w:bCs/>
                  </w:rPr>
                  <w:t xml:space="preserve">PĮP pateikiamas įsipareigojimas pirkimo dokumentuose: kelti reikalavimą, </w:t>
                </w:r>
                <w:r>
                  <w:rPr>
                    <w:iCs/>
                    <w:szCs w:val="24"/>
                  </w:rPr>
                  <w:t xml:space="preserve">kad padangos turi atitikti aukščiausios klasės padangoms taikomus išorinio riedėjimo triukšmo reikalavimus ir dviejų aukščiausių klasių padangoms taikomą riedėjimo varžos koeficientą (darantį įtaką energijos vartojimo efektyvumui), nustatytą Europos Parlamento ir Tarybos reglamente </w:t>
                </w:r>
                <w:r>
                  <w:rPr>
                    <w:color w:val="0563C1"/>
                    <w:szCs w:val="24"/>
                    <w:u w:val="single"/>
                    <w:shd w:val="clear" w:color="auto" w:fill="FFFFFF"/>
                  </w:rPr>
                  <w:t>(ES) 2020/740</w:t>
                </w:r>
                <w:r>
                  <w:rPr>
                    <w:iCs/>
                    <w:szCs w:val="24"/>
                  </w:rPr>
                  <w:t xml:space="preserve"> (231), kurį taip pat galima patikrinti Europos gaminių energijos vartojimo efektyvumo ženklinimo duomenų bazėje (EPREL).</w:t>
                </w:r>
              </w:p>
              <w:p>
                <w:pPr>
                  <w:jc w:val="both"/>
                  <w:rPr>
                    <w:szCs w:val="24"/>
                  </w:rPr>
                </w:pPr>
              </w:p>
              <w:p>
                <w:pPr>
                  <w:jc w:val="both"/>
                  <w:rPr>
                    <w:rFonts w:eastAsia="Calibri"/>
                  </w:rPr>
                </w:pPr>
              </w:p>
            </w:tc>
          </w:tr>
          <w:tr>
            <w:tc>
              <w:tcPr>
                <w:tcW w:w="3545" w:type="dxa"/>
              </w:tcPr>
              <w:p>
                <w:pPr>
                  <w:rPr>
                    <w:rFonts w:eastAsia="Calibri"/>
                  </w:rPr>
                </w:pPr>
                <w:r>
                  <w:rPr>
                    <w:rFonts w:eastAsia="Calibri"/>
                  </w:rPr>
                  <w:t>6. Biologinės įvairovės ir ekosistemų apsauga ir atkūrimas</w:t>
                </w:r>
              </w:p>
            </w:tc>
            <w:tc>
              <w:tcPr>
                <w:tcW w:w="5528" w:type="dxa"/>
              </w:tcPr>
              <w:p>
                <w:pPr>
                  <w:jc w:val="both"/>
                  <w:rPr>
                    <w:rFonts w:eastAsia="Calibri"/>
                    <w:bCs/>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veiklos bus vykdomos jau urbanizuotose vietovėse.</w:t>
                </w:r>
              </w:p>
            </w:tc>
            <w:tc>
              <w:tcPr>
                <w:tcW w:w="5776" w:type="dxa"/>
              </w:tcPr>
              <w:p>
                <w:pPr>
                  <w:jc w:val="both"/>
                  <w:rPr>
                    <w:bCs/>
                  </w:rPr>
                </w:pPr>
                <w:r>
                  <w:rPr>
                    <w:bCs/>
                  </w:rPr>
                  <w:t>Netaikoma, nes nenumatoma kurti ar modernizuoti infrastruktūros „Natura 2000“, UNESCO pasaulinio paveldo ar kitose saugomose teritorijose.</w:t>
                </w:r>
              </w:p>
              <w:p>
                <w:pPr>
                  <w:jc w:val="both"/>
                  <w:rPr>
                    <w:rFonts w:eastAsia="Calibri"/>
                    <w:bCs/>
                    <w:iCs/>
                  </w:rPr>
                </w:pPr>
              </w:p>
            </w:tc>
          </w:tr>
        </w:tbl>
        <w:p>
          <w:pPr>
            <w:spacing w:line="276" w:lineRule="auto"/>
            <w:jc w:val="center"/>
            <w:rPr>
              <w:rFonts w:ascii="Calibri" w:eastAsia="Calibri" w:hAnsi="Calibri"/>
              <w:sz w:val="22"/>
              <w:szCs w:val="22"/>
              <w:u w:val="single"/>
            </w:rPr>
          </w:pPr>
        </w:p>
        <w:sdt>
          <w:sdtPr>
            <w:alias w:val="pabaiga"/>
            <w:tag w:val="part_11e736d8d728496299c0f8d654722712"/>
            <w:lock w:val="sdtLocked"/>
            <w:richText/>
          </w:sdtPr>
          <w:sdtContent>
            <w:p>
              <w:pPr>
                <w:spacing w:line="276" w:lineRule="auto"/>
                <w:jc w:val="center"/>
                <w:rPr>
                  <w:sz w:val="22"/>
                  <w:szCs w:val="22"/>
                  <w:u w:val="single"/>
                </w:rPr>
              </w:pPr>
              <w:r>
                <w:rPr>
                  <w:rFonts w:ascii="Calibri" w:eastAsia="Calibri" w:hAnsi="Calibri"/>
                  <w:sz w:val="22"/>
                  <w:szCs w:val="22"/>
                  <w:u w:val="single"/>
                </w:rPr>
                <w:t>________________</w:t>
              </w:r>
            </w:p>
            <w:p>
              <w:pPr>
                <w:spacing w:line="276" w:lineRule="auto"/>
                <w:rPr>
                  <w:sz w:val="22"/>
                  <w:szCs w:val="22"/>
                </w:rPr>
              </w:pPr>
            </w:p>
          </w:sdtContent>
        </w:sdt>
      </w:sdtContent>
    </w:sdt>
    <w:sectPr>
      <w:headerReference w:type="first" r:id="rId33"/>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10022FF" w:usb1="C000E47F" w:usb2="00000029" w:usb3="00000000" w:csb0="000001DF" w:csb1="00000000"/>
  </w:font>
  <w:font w:name="Arial">
    <w:panose1 w:val="020B0604020202020204"/>
    <w:charset w:val="BA"/>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20B0502040204020203"/>
    <w:charset w:val="00"/>
    <w:family w:val="swiss"/>
    <w:pitch w:val="variable"/>
    <w:sig w:usb0="00010003" w:usb1="00000000" w:usb2="00000000" w:usb3="00000000" w:csb0="0000000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 w:id="2">
    <w:p>
      <w:pPr>
        <w:rPr>
          <w:sz w:val="20"/>
        </w:rPr>
      </w:pPr>
      <w:r>
        <w:rPr>
          <w:sz w:val="20"/>
          <w:vertAlign w:val="superscript"/>
        </w:rPr>
        <w:footnoteRef/>
      </w:r>
      <w:r>
        <w:rPr>
          <w:sz w:val="20"/>
        </w:rPr>
        <w:t xml:space="preserve"> Sostinės regionas (Vilniaus apskritis)</w:t>
      </w:r>
    </w:p>
  </w:footnote>
  <w:footnote w:id="3">
    <w:p>
      <w:pPr>
        <w:rPr>
          <w:sz w:val="20"/>
        </w:rPr>
      </w:pPr>
      <w:r>
        <w:rPr>
          <w:sz w:val="20"/>
          <w:vertAlign w:val="superscript"/>
        </w:rPr>
        <w:footnoteRef/>
      </w:r>
      <w:r>
        <w:rPr>
          <w:sz w:val="20"/>
        </w:rPr>
        <w:t xml:space="preserve"> </w:t>
      </w:r>
      <w:r>
        <w:rPr>
          <w:rFonts w:eastAsia="Calibri"/>
          <w:sz w:val="20"/>
        </w:rPr>
        <w:t>Vidurio i</w:t>
      </w:r>
      <w:r>
        <w:rPr>
          <w:rFonts w:ascii="Segoe UI" w:hAnsi="Segoe UI" w:cs="Segoe UI"/>
          <w:sz w:val="18"/>
          <w:szCs w:val="18"/>
        </w:rPr>
        <w:t>r vakarų Lietuvos regione (visos apskritys, išskyrus Vilniaus apskritį)</w:t>
      </w:r>
    </w:p>
  </w:footnote>
  <w:footnote w:id="4">
    <w:p>
      <w:pPr>
        <w:rPr>
          <w:sz w:val="20"/>
        </w:rPr>
      </w:pPr>
      <w:r>
        <w:rPr>
          <w:sz w:val="20"/>
          <w:vertAlign w:val="superscript"/>
        </w:rPr>
        <w:footnoteRef/>
      </w:r>
      <w:r>
        <w:rPr>
          <w:sz w:val="20"/>
        </w:rPr>
        <w:t xml:space="preserve"> </w:t>
      </w:r>
      <w:hyperlink r:id="rId1" w:history="1">
        <w:r>
          <w:rPr>
            <w:color w:val="0563C1"/>
            <w:sz w:val="20"/>
            <w:u w:val="single"/>
          </w:rPr>
          <w:t>https://www.e-tar.lt/portal/lt/legalAct/0431bbf0d83411ec8d9390588bf2de65/asr</w:t>
        </w:r>
      </w:hyperlink>
      <w:r>
        <w:rPr>
          <w:sz w:val="20"/>
        </w:rPr>
        <w:t xml:space="preserve"> </w:t>
      </w:r>
    </w:p>
  </w:footnote>
  <w:footnote w:id="5">
    <w:p>
      <w:pPr>
        <w:rPr>
          <w:sz w:val="20"/>
        </w:rPr>
      </w:pPr>
      <w:r>
        <w:rPr>
          <w:sz w:val="20"/>
          <w:vertAlign w:val="superscript"/>
        </w:rPr>
        <w:footnoteRef/>
      </w:r>
      <w:r>
        <w:rPr>
          <w:color w:val="0563C1"/>
          <w:sz w:val="20"/>
          <w:u w:val="single"/>
        </w:rPr>
        <w:t>https://eur-lex.europa.eu/legal-content/LT/TXT/?uri=CELEX%3A32021R1060</w:t>
      </w:r>
    </w:p>
  </w:footnote>
  <w:footnote w:id="6">
    <w:p>
      <w:pPr>
        <w:rPr>
          <w:sz w:val="20"/>
        </w:rPr>
      </w:pPr>
      <w:r>
        <w:rPr>
          <w:sz w:val="20"/>
          <w:vertAlign w:val="superscript"/>
        </w:rPr>
        <w:footnoteRef/>
      </w:r>
      <w:r>
        <w:rPr>
          <w:sz w:val="20"/>
        </w:rPr>
        <w:t xml:space="preserve"> </w:t>
      </w:r>
      <w:r>
        <w:rPr>
          <w:color w:val="0563C1"/>
          <w:sz w:val="20"/>
          <w:u w:val="single"/>
        </w:rPr>
        <w:t>https://2021.esinvesticijos.lt/dokumentai/2021-2027-m-es-fondu-investiciju-programa</w:t>
      </w:r>
    </w:p>
  </w:footnote>
  <w:footnote w:id="7">
    <w:p>
      <w:pPr>
        <w:rPr>
          <w:sz w:val="20"/>
        </w:rPr>
      </w:pPr>
      <w:r>
        <w:rPr>
          <w:sz w:val="20"/>
          <w:vertAlign w:val="superscript"/>
        </w:rPr>
        <w:footnoteRef/>
      </w:r>
      <w:r>
        <w:rPr>
          <w:sz w:val="20"/>
        </w:rPr>
        <w:t xml:space="preserve"> </w:t>
      </w:r>
      <w:hyperlink r:id="rId2" w:history="1">
        <w:r>
          <w:rPr>
            <w:color w:val="0563C1"/>
            <w:sz w:val="20"/>
            <w:u w:val="single"/>
          </w:rPr>
          <w:t>https://www.e-tar.lt/portal/lt/legalAct/14e33320f1ed11ec8fa7d02a65c371ad</w:t>
        </w:r>
      </w:hyperlink>
      <w:r>
        <w:rPr>
          <w:sz w:val="20"/>
          <w:u w:val="single"/>
        </w:rPr>
        <w:t xml:space="preserve"> </w:t>
      </w:r>
    </w:p>
  </w:footnote>
  <w:footnote w:id="8">
    <w:p>
      <w:pPr>
        <w:rPr>
          <w:sz w:val="20"/>
        </w:rPr>
      </w:pPr>
      <w:r>
        <w:rPr>
          <w:sz w:val="20"/>
          <w:vertAlign w:val="superscript"/>
        </w:rPr>
        <w:footnoteRef/>
      </w:r>
      <w:r>
        <w:rPr>
          <w:sz w:val="20"/>
        </w:rPr>
        <w:t xml:space="preserve"> </w:t>
      </w:r>
      <w:hyperlink r:id="rId3" w:history="1">
        <w:r>
          <w:rPr>
            <w:color w:val="0563C1"/>
            <w:sz w:val="20"/>
            <w:u w:val="single"/>
          </w:rPr>
          <w:t>https://www.e-tar.lt/portal/lt/legalAct/TAR.7E55A3172D3A</w:t>
        </w:r>
      </w:hyperlink>
      <w:r>
        <w:rPr>
          <w:sz w:val="20"/>
          <w:u w:val="single"/>
        </w:rPr>
        <w:t xml:space="preserve"> </w:t>
      </w:r>
    </w:p>
  </w:footnote>
  <w:footnote w:id="9">
    <w:p>
      <w:pPr>
        <w:rPr>
          <w:sz w:val="20"/>
        </w:rPr>
      </w:pPr>
      <w:r>
        <w:rPr>
          <w:sz w:val="20"/>
          <w:vertAlign w:val="superscript"/>
        </w:rPr>
        <w:footnoteRef/>
      </w:r>
      <w:r>
        <w:rPr>
          <w:sz w:val="20"/>
        </w:rPr>
        <w:t xml:space="preserve"> </w:t>
      </w:r>
      <w:hyperlink r:id="rId4" w:history="1">
        <w:r>
          <w:rPr>
            <w:color w:val="0563C1"/>
            <w:sz w:val="20"/>
            <w:u w:val="single"/>
          </w:rPr>
          <w:t>https://www.e-tar.lt/portal/lt/legalAct/TAR.2CB5394F7CDD/asr</w:t>
        </w:r>
      </w:hyperlink>
      <w:r>
        <w:rPr>
          <w:sz w:val="20"/>
          <w:u w:val="single"/>
        </w:rPr>
        <w:t xml:space="preserve"> </w:t>
      </w:r>
    </w:p>
  </w:footnote>
  <w:footnote w:id="10">
    <w:p>
      <w:pPr>
        <w:rPr>
          <w:sz w:val="20"/>
        </w:rPr>
      </w:pPr>
      <w:r>
        <w:rPr>
          <w:sz w:val="20"/>
          <w:vertAlign w:val="superscript"/>
        </w:rPr>
        <w:footnoteRef/>
      </w:r>
      <w:r>
        <w:rPr>
          <w:sz w:val="20"/>
        </w:rPr>
        <w:t xml:space="preserve"> </w:t>
      </w:r>
      <w:hyperlink r:id="rId5" w:history="1">
        <w:r>
          <w:rPr>
            <w:color w:val="0563C1"/>
            <w:sz w:val="20"/>
            <w:u w:val="single"/>
          </w:rPr>
          <w:t>https://www.e-tar.lt/portal/lt/legalAct/TAR.3E2EAD30BDE6/asr</w:t>
        </w:r>
      </w:hyperlink>
      <w:r>
        <w:rPr>
          <w:sz w:val="20"/>
          <w:u w:val="single"/>
        </w:rPr>
        <w:t xml:space="preserve"> </w:t>
      </w:r>
    </w:p>
  </w:footnote>
  <w:footnote w:id="11">
    <w:p>
      <w:pPr>
        <w:rPr>
          <w:sz w:val="20"/>
        </w:rPr>
      </w:pPr>
      <w:r>
        <w:rPr>
          <w:sz w:val="20"/>
          <w:vertAlign w:val="superscript"/>
        </w:rPr>
        <w:footnoteRef/>
      </w:r>
      <w:r>
        <w:rPr>
          <w:sz w:val="20"/>
        </w:rPr>
        <w:t xml:space="preserve"> </w:t>
      </w:r>
      <w:hyperlink r:id="rId6" w:history="1">
        <w:r>
          <w:rPr>
            <w:color w:val="0563C1"/>
            <w:sz w:val="20"/>
            <w:u w:val="single"/>
          </w:rPr>
          <w:t>https://www.e-tar.lt/portal/lt/legalAct/260ad8f081cc11ed8df094f359a60216</w:t>
        </w:r>
      </w:hyperlink>
    </w:p>
  </w:footnote>
  <w:footnote w:id="12">
    <w:p>
      <w:pPr>
        <w:rPr>
          <w:sz w:val="20"/>
        </w:rPr>
      </w:pPr>
      <w:r>
        <w:rPr>
          <w:sz w:val="20"/>
          <w:vertAlign w:val="superscript"/>
        </w:rPr>
        <w:footnoteRef/>
      </w:r>
      <w:r>
        <w:rPr>
          <w:sz w:val="20"/>
        </w:rPr>
        <w:t xml:space="preserve"> </w:t>
      </w:r>
      <w:hyperlink r:id="rId7" w:history="1">
        <w:r>
          <w:rPr>
            <w:color w:val="0563C1"/>
            <w:sz w:val="20"/>
            <w:u w:val="single"/>
          </w:rPr>
          <w:t>https://www.e-tar.lt/portal/lt/legalAct/46172830e1ac11ec8d9390588bf2de65</w:t>
        </w:r>
      </w:hyperlink>
    </w:p>
    <w:p>
      <w:pPr>
        <w:rPr>
          <w:sz w:val="20"/>
        </w:rPr>
      </w:pPr>
    </w:p>
  </w:footnote>
  <w:footnote w:id="13">
    <w:p>
      <w:pPr>
        <w:rPr>
          <w:sz w:val="20"/>
        </w:rPr>
      </w:pPr>
      <w:r>
        <w:rPr>
          <w:sz w:val="20"/>
          <w:vertAlign w:val="superscript"/>
        </w:rPr>
        <w:footnoteRef/>
      </w:r>
      <w:r>
        <w:rPr>
          <w:sz w:val="20"/>
        </w:rPr>
        <w:t xml:space="preserve"> </w:t>
      </w:r>
      <w:r>
        <w:rPr>
          <w:color w:val="0563C1"/>
          <w:sz w:val="20"/>
          <w:u w:val="single"/>
        </w:rPr>
        <w:t>https://ppplietuva.lt/lt/viesuju-investiciju-projektu-rengimas/rengimas-ir-vertinimas-1</w:t>
      </w:r>
      <w:r>
        <w:rPr>
          <w:sz w:val="20"/>
        </w:rPr>
        <w:t xml:space="preserve">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9</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7342151C-8942-4D17-904D-A36A84FE3D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2" Type="http://schemas.openxmlformats.org/officeDocument/2006/relationships/hyperlink" TargetMode="External" Target="https://www.e-tar.lt/portal/lt/legalAct/14e33320f1ed11ec8fa7d02a65c371ad"/>
  <Relationship Id="rId13" Type="http://schemas.openxmlformats.org/officeDocument/2006/relationships/hyperlink" TargetMode="External" Target="https://www.e-tar.lt/portal/lt/legalAct/TAR.7E55A3172D3A"/>
  <Relationship Id="rId14" Type="http://schemas.openxmlformats.org/officeDocument/2006/relationships/hyperlink" TargetMode="External" Target="https://www.e-tar.lt/portal/lt/legalAct/TAR.7E55A3172D3A"/>
  <Relationship Id="rId2" Type="http://schemas.openxmlformats.org/officeDocument/2006/relationships/customXml" Target="../customXml/item2.xml"/>
  <Relationship Id="rId21" Type="http://schemas.openxmlformats.org/officeDocument/2006/relationships/header" Target="header1.xml"/>
  <Relationship Id="rId22" Type="http://schemas.openxmlformats.org/officeDocument/2006/relationships/header" Target="header2.xml"/>
  <Relationship Id="rId23" Type="http://schemas.openxmlformats.org/officeDocument/2006/relationships/footer" Target="footer1.xml"/>
  <Relationship Id="rId24" Type="http://schemas.openxmlformats.org/officeDocument/2006/relationships/footer" Target="footer2.xml"/>
  <Relationship Id="rId25" Type="http://schemas.openxmlformats.org/officeDocument/2006/relationships/header" Target="header3.xml"/>
  <Relationship Id="rId26" Type="http://schemas.openxmlformats.org/officeDocument/2006/relationships/footer" Target="footer3.xml"/>
  <Relationship Id="rId27" Type="http://schemas.openxmlformats.org/officeDocument/2006/relationships/customXml" Target="../customXml/item5.xml"/>
  <Relationship Id="rId3" Type="http://schemas.openxmlformats.org/officeDocument/2006/relationships/customXml" Target="../customXml/item3.xml"/>
  <Relationship Id="rId33" Type="http://schemas.openxmlformats.org/officeDocument/2006/relationships/header" Target="header4.xml"/>
  <Relationship Id="rId34" Type="http://schemas.openxmlformats.org/officeDocument/2006/relationships/fontTable" Target="fontTable.xml"/>
  <Relationship Id="rId35" Type="http://schemas.openxmlformats.org/officeDocument/2006/relationships/theme" Target="theme/theme1.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0431bbf0d83411ec8d9390588bf2de65/asr"/>
  <Relationship Id="rId2" Type="http://schemas.openxmlformats.org/officeDocument/2006/relationships/hyperlink" TargetMode="External" Target="https://www.e-tar.lt/portal/lt/legalAct/14e33320f1ed11ec8fa7d02a65c371ad"/>
  <Relationship Id="rId3" Type="http://schemas.openxmlformats.org/officeDocument/2006/relationships/hyperlink" TargetMode="External" Target="https://www.e-tar.lt/portal/lt/legalAct/TAR.7E55A3172D3A"/>
  <Relationship Id="rId4" Type="http://schemas.openxmlformats.org/officeDocument/2006/relationships/hyperlink" TargetMode="External" Target="https://www.e-tar.lt/portal/lt/legalAct/TAR.2CB5394F7CDD/asr"/>
  <Relationship Id="rId5" Type="http://schemas.openxmlformats.org/officeDocument/2006/relationships/hyperlink" TargetMode="External" Target="https://www.e-tar.lt/portal/lt/legalAct/TAR.3E2EAD30BDE6/asr"/>
  <Relationship Id="rId6" Type="http://schemas.openxmlformats.org/officeDocument/2006/relationships/hyperlink" TargetMode="External" Target="https://www.e-tar.lt/portal/lt/legalAct/260ad8f081cc11ed8df094f359a60216"/>
  <Relationship Id="rId7" Type="http://schemas.openxmlformats.org/officeDocument/2006/relationships/hyperlink" TargetMode="External" Target="https://www.e-tar.lt/portal/lt/legalAct/46172830e1ac11ec8d9390588bf2de65"/>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10" Abbr="10 pr." Title="2022–2030 METŲ SVEIKATOS PRIEŽIŪROS KOKYBĖS IR EFEKTYVUMO DIDINIMO PLĖTROS PROGRAMOS PAŽANGOS PRIEMONĖS NR. 11-002-02-11-01 „GERINTI SVEIKATOS PRIEŽIŪROS PASLAUGŲ KOKYBĘ IR PRIEINAMUMĄ“ PROJEKTŲ FINANSAVIMO SĄLYGŲ APRAŠAS Nr. 10" DocPartId="80001fb47ac84aa6b615f10385293223" PartId="2ab81924822d4ce19201b436c7f8dc83">
    <Part Type="pabaiga" DocPartId="990c840b8314401a963ce6c7c9aec26a" PartId="25eb238d7c824bad9ad80e0575521ba8"/>
  </Part>
  <Part Type="priedas" Abbr="pr." Title="PROJEKTO (ĮSKAITANT JUNGTINĮ PROJEKTĄ) ATITIKTIES REIKŠMINGOS ŽALOS NEDARYMO HORIZONTALIAJAM PRINCIPUI VERTINIMO REIKALAVIMŲ APRAŠAS" DocPartId="07b43663ab4e46d9a4c15a7e2cc59395" PartId="9efd88660d4049318796722ff93a0328">
    <Part Type="pabaiga" DocPartId="c6139a32cc034c158e5acc9514996a38" PartId="11e736d8d728496299c0f8d654722712"/>
  </Part>
</Part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1DDF28C-701D-4B75-AC74-AC17B0A47359}">
  <ds:schemaRefs>
    <ds:schemaRef ds:uri="http://schemas.openxmlformats.org/officeDocument/2006/bibliography"/>
  </ds:schemaRefs>
</ds:datastoreItem>
</file>

<file path=customXml/itemProps5.xml><?xml version="1.0" encoding="utf-8"?>
<ds:datastoreItem xmlns:ds="http://schemas.openxmlformats.org/officeDocument/2006/customXml" ds:itemID="{A2D8C8F4-0AFA-4927-8FE9-A86B877265B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3719</Words>
  <Characters>26447</Characters>
  <Application>Microsoft Office Word</Application>
  <DocSecurity>4</DocSecurity>
  <Lines>734</Lines>
  <Paragraphs>317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29849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2023-05-19T07:04:00Z</dcterms:created>
  <dc:creator>Virginija Levinskienė</dc:creator>
  <lastModifiedBy>adlibuser</lastModifiedBy>
  <dcterms:modified xsi:type="dcterms:W3CDTF">2023-05-19T07:04:00Z</dcterms:modified>
  <revision>2</revision>
  <dc:title>KLASTERIO PFSA (pastaboms)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Lasickienė;#306;#Neringa Žemaitienė;#1119;#Mantas Bernotas;#166;#Margarita Kairienė;#1188;#Laura Jurevičienė;#1089;#Rasa Mockutė</vt:lpwstr>
  </property>
  <property fmtid="{D5CDD505-2E9C-101B-9397-08002B2CF9AE}" pid="7" name="DmsDocPrepDocSendRegReal">
    <vt:bool>false</vt:bool>
  </property>
  <property fmtid="{D5CDD505-2E9C-101B-9397-08002B2CF9AE}" pid="8" name="DmsWaitingForSign">
    <vt:bool>true</vt:bool>
  </property>
  <property fmtid="{D5CDD505-2E9C-101B-9397-08002B2CF9AE}" pid="9" name="DmsPermissionsConfid">
    <vt:bool>false</vt:bool>
  </property>
</Properties>
</file>