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002D" w:rsidRPr="0010002D" w:rsidRDefault="0010002D" w:rsidP="0010002D">
      <w:pPr>
        <w:spacing w:after="0" w:line="240" w:lineRule="auto"/>
        <w:ind w:left="9639"/>
        <w:jc w:val="both"/>
        <w:rPr>
          <w:rFonts w:eastAsia="Times New Roman" w:cs="Times New Roman"/>
          <w:sz w:val="24"/>
          <w:szCs w:val="24"/>
          <w:lang w:val="en-US"/>
        </w:rPr>
      </w:pPr>
      <w:r w:rsidRPr="0010002D">
        <w:rPr>
          <w:rFonts w:eastAsia="Times New Roman" w:cs="Times New Roman"/>
          <w:sz w:val="24"/>
          <w:szCs w:val="24"/>
        </w:rPr>
        <w:t>022–2030 metų sveikatos priežiūros kokybės ir efektyvumo didinimo plėtros programos pažangos priemonės Nr. 11-002-11-01 „Gerinti sveikatos priežiūros paslaugų kokybę ir prieinamumą“ projektų finansavimo sąlygų aprašo Nr. 21</w:t>
      </w:r>
    </w:p>
    <w:p w:rsidR="0010002D" w:rsidRPr="0010002D" w:rsidRDefault="0010002D" w:rsidP="0010002D">
      <w:pPr>
        <w:spacing w:after="0" w:line="240" w:lineRule="auto"/>
        <w:ind w:left="9639"/>
        <w:jc w:val="both"/>
        <w:rPr>
          <w:rFonts w:eastAsia="Times New Roman" w:cs="Times New Roman"/>
          <w:sz w:val="24"/>
          <w:szCs w:val="24"/>
        </w:rPr>
      </w:pPr>
      <w:r w:rsidRPr="0010002D">
        <w:rPr>
          <w:rFonts w:eastAsia="Times New Roman" w:cs="Times New Roman"/>
          <w:sz w:val="24"/>
          <w:szCs w:val="24"/>
        </w:rPr>
        <w:t>21.1 priedas</w:t>
      </w:r>
    </w:p>
    <w:p w:rsidR="0010002D" w:rsidRPr="0010002D" w:rsidRDefault="0010002D" w:rsidP="0010002D">
      <w:pPr>
        <w:spacing w:after="0" w:line="240" w:lineRule="auto"/>
        <w:jc w:val="center"/>
        <w:rPr>
          <w:rFonts w:eastAsia="Times New Roman" w:cs="Times New Roman"/>
          <w:i/>
          <w:iCs/>
          <w:sz w:val="24"/>
          <w:szCs w:val="24"/>
        </w:rPr>
      </w:pPr>
    </w:p>
    <w:p w:rsidR="0010002D" w:rsidRPr="0010002D" w:rsidRDefault="0010002D" w:rsidP="0010002D">
      <w:pPr>
        <w:spacing w:after="0" w:line="240" w:lineRule="auto"/>
        <w:jc w:val="center"/>
        <w:rPr>
          <w:rFonts w:eastAsia="Calibri" w:cs="Times New Roman"/>
          <w:b/>
          <w:bCs/>
          <w:sz w:val="24"/>
          <w:szCs w:val="24"/>
        </w:rPr>
      </w:pPr>
    </w:p>
    <w:p w:rsidR="0010002D" w:rsidRPr="0010002D" w:rsidRDefault="0010002D" w:rsidP="0010002D">
      <w:pPr>
        <w:spacing w:after="0" w:line="240" w:lineRule="auto"/>
        <w:jc w:val="center"/>
        <w:rPr>
          <w:rFonts w:eastAsia="Calibri" w:cs="Times New Roman"/>
          <w:b/>
          <w:bCs/>
          <w:sz w:val="24"/>
          <w:szCs w:val="24"/>
        </w:rPr>
      </w:pPr>
      <w:r w:rsidRPr="0010002D">
        <w:rPr>
          <w:rFonts w:eastAsia="Calibri" w:cs="Times New Roman"/>
          <w:b/>
          <w:bCs/>
          <w:sz w:val="24"/>
          <w:szCs w:val="24"/>
        </w:rPr>
        <w:t>PROJEKTO ATITIKTIES REIKŠMINGOS ŽALOS NEDARYMO HORIZONTALIAJAM PRINCIPUI VERTINIMO REIKALAVIMŲ APRAŠAS</w:t>
      </w:r>
    </w:p>
    <w:p w:rsidR="0010002D" w:rsidRPr="0010002D" w:rsidRDefault="0010002D" w:rsidP="0010002D">
      <w:pPr>
        <w:spacing w:after="0" w:line="240" w:lineRule="auto"/>
        <w:jc w:val="center"/>
        <w:rPr>
          <w:rFonts w:eastAsia="Calibri" w:cs="Times New Roman"/>
          <w:b/>
          <w:bCs/>
          <w:sz w:val="24"/>
          <w:szCs w:val="24"/>
        </w:rPr>
      </w:pPr>
    </w:p>
    <w:p w:rsidR="0010002D" w:rsidRPr="0010002D" w:rsidRDefault="0010002D" w:rsidP="0010002D">
      <w:pPr>
        <w:spacing w:after="0" w:line="276" w:lineRule="auto"/>
        <w:jc w:val="both"/>
        <w:rPr>
          <w:rFonts w:eastAsia="Calibri" w:cs="Times New Roman"/>
          <w:bCs/>
          <w:sz w:val="24"/>
          <w:szCs w:val="24"/>
        </w:rPr>
      </w:pPr>
      <w:r w:rsidRPr="0010002D">
        <w:rPr>
          <w:rFonts w:eastAsia="Calibri" w:cs="Times New Roman"/>
          <w:bCs/>
          <w:sz w:val="24"/>
          <w:szCs w:val="24"/>
        </w:rPr>
        <w:t>Finansavimo šaltinis, pagal kurį finansuojamas projektas (</w:t>
      </w:r>
      <w:r w:rsidRPr="0010002D">
        <w:rPr>
          <w:rFonts w:eastAsia="Calibri" w:cs="Times New Roman"/>
          <w:bCs/>
          <w:i/>
          <w:sz w:val="24"/>
          <w:szCs w:val="24"/>
        </w:rPr>
        <w:t>pažymėkite tinkamą</w:t>
      </w:r>
      <w:r w:rsidRPr="0010002D">
        <w:rPr>
          <w:rFonts w:eastAsia="Calibri" w:cs="Times New Roman"/>
          <w:bCs/>
          <w:sz w:val="24"/>
          <w:szCs w:val="24"/>
        </w:rPr>
        <w:t>):</w:t>
      </w:r>
    </w:p>
    <w:p w:rsidR="0010002D" w:rsidRPr="0010002D" w:rsidRDefault="0010002D" w:rsidP="0010002D">
      <w:pPr>
        <w:spacing w:after="0" w:line="276" w:lineRule="auto"/>
        <w:jc w:val="both"/>
        <w:rPr>
          <w:rFonts w:eastAsia="Calibri" w:cs="Times New Roman"/>
          <w:bCs/>
          <w:sz w:val="24"/>
          <w:szCs w:val="24"/>
        </w:rPr>
      </w:pPr>
      <w:r w:rsidRPr="0010002D">
        <w:rPr>
          <w:rFonts w:eastAsia="Times New Roman" w:cs="Times New Roman"/>
          <w:noProof/>
          <w:sz w:val="24"/>
          <w:szCs w:val="24"/>
          <w:lang w:eastAsia="lt-LT"/>
        </w:rPr>
        <mc:AlternateContent>
          <mc:Choice Requires="wps">
            <w:drawing>
              <wp:anchor distT="0" distB="0" distL="114300" distR="114300" simplePos="0" relativeHeight="251659264" behindDoc="0" locked="0" layoutInCell="1" allowOverlap="1" wp14:anchorId="1D95D14A" wp14:editId="178AB364">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E670CF"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" fillcolor="window" strokecolor="windowText" strokeweight="1pt"/>
            </w:pict>
          </mc:Fallback>
        </mc:AlternateContent>
      </w:r>
      <w:r w:rsidRPr="0010002D">
        <w:rPr>
          <w:rFonts w:eastAsia="Times New Roman" w:cs="Times New Roman"/>
          <w:sz w:val="24"/>
          <w:szCs w:val="24"/>
        </w:rPr>
        <w:t xml:space="preserve">   </w:t>
      </w:r>
      <w:r w:rsidRPr="0010002D">
        <w:rPr>
          <w:rFonts w:eastAsia="Calibri" w:cs="Times New Roman"/>
          <w:bCs/>
          <w:sz w:val="24"/>
          <w:szCs w:val="24"/>
        </w:rPr>
        <w:t>Ekonomikos gaivinimo ir atsparumo didinimo priemonė (toliau – EGADP)</w:t>
      </w:r>
    </w:p>
    <w:p w:rsidR="0010002D" w:rsidRPr="0010002D" w:rsidRDefault="0010002D" w:rsidP="0010002D">
      <w:pPr>
        <w:spacing w:after="0" w:line="276" w:lineRule="auto"/>
        <w:jc w:val="both"/>
        <w:rPr>
          <w:rFonts w:eastAsia="Calibri" w:cs="Times New Roman"/>
          <w:bCs/>
          <w:sz w:val="24"/>
          <w:szCs w:val="24"/>
        </w:rPr>
      </w:pPr>
      <w:r w:rsidRPr="0010002D">
        <w:rPr>
          <w:rFonts w:eastAsia="Times New Roman" w:cs="Times New Roman"/>
          <w:sz w:val="24"/>
          <w:szCs w:val="24"/>
        </w:rPr>
        <w:t>X Europos Sąjungos fondų i</w:t>
      </w:r>
      <w:r w:rsidRPr="0010002D">
        <w:rPr>
          <w:rFonts w:eastAsia="Calibri" w:cs="Times New Roman"/>
          <w:bCs/>
          <w:sz w:val="24"/>
          <w:szCs w:val="24"/>
        </w:rPr>
        <w:t>nvesticijų programa (toliau – ESIP)</w:t>
      </w:r>
    </w:p>
    <w:p w:rsidR="0010002D" w:rsidRPr="0010002D" w:rsidRDefault="0010002D" w:rsidP="0010002D">
      <w:pPr>
        <w:spacing w:after="0" w:line="276" w:lineRule="auto"/>
        <w:jc w:val="both"/>
        <w:rPr>
          <w:rFonts w:eastAsia="Calibri" w:cs="Times New Roman"/>
          <w:b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4"/>
        <w:gridCol w:w="4476"/>
        <w:gridCol w:w="5132"/>
      </w:tblGrid>
      <w:tr w:rsidR="0010002D" w:rsidRPr="0010002D" w:rsidTr="00394903">
        <w:tc>
          <w:tcPr>
            <w:tcW w:w="4885" w:type="dxa"/>
          </w:tcPr>
          <w:p w:rsidR="0010002D" w:rsidRPr="0010002D" w:rsidRDefault="0010002D" w:rsidP="0010002D">
            <w:pPr>
              <w:spacing w:after="0" w:line="240" w:lineRule="auto"/>
              <w:jc w:val="center"/>
              <w:rPr>
                <w:rFonts w:eastAsia="Calibri" w:cs="Times New Roman"/>
                <w:b/>
                <w:sz w:val="24"/>
                <w:szCs w:val="24"/>
              </w:rPr>
            </w:pPr>
            <w:r w:rsidRPr="0010002D">
              <w:rPr>
                <w:rFonts w:eastAsia="Calibri" w:cs="Times New Roman"/>
                <w:b/>
                <w:sz w:val="24"/>
                <w:szCs w:val="24"/>
              </w:rPr>
              <w:t>Aplinkos tikslai</w:t>
            </w:r>
          </w:p>
          <w:p w:rsidR="0010002D" w:rsidRPr="0010002D" w:rsidRDefault="0010002D" w:rsidP="0010002D">
            <w:pPr>
              <w:spacing w:after="0" w:line="240" w:lineRule="auto"/>
              <w:jc w:val="both"/>
              <w:rPr>
                <w:rFonts w:eastAsia="Calibri" w:cs="Times New Roman"/>
                <w:b/>
                <w:sz w:val="24"/>
                <w:szCs w:val="24"/>
              </w:rPr>
            </w:pPr>
            <w:r w:rsidRPr="0010002D">
              <w:rPr>
                <w:rFonts w:eastAsia="Calibri" w:cs="Times New Roman"/>
                <w:sz w:val="24"/>
                <w:szCs w:val="24"/>
              </w:rPr>
              <w:t>(</w:t>
            </w:r>
            <w:r w:rsidRPr="0010002D">
              <w:rPr>
                <w:rFonts w:eastAsia="Calibri" w:cs="Times New Roman"/>
                <w:i/>
                <w:sz w:val="24"/>
                <w:szCs w:val="24"/>
              </w:rPr>
              <w:t xml:space="preserve">pagal 2020 m. birželio 18 d. Europos Parlamento ir Tarybos reglamentą </w:t>
            </w:r>
            <w:hyperlink r:id="rId6" w:tgtFrame="_blank" w:history="1">
              <w:r w:rsidRPr="0010002D">
                <w:rPr>
                  <w:rFonts w:eastAsia="Calibri" w:cs="Times New Roman"/>
                  <w:i/>
                  <w:sz w:val="24"/>
                  <w:szCs w:val="24"/>
                </w:rPr>
                <w:t>(ES) Nr. 2020/852</w:t>
              </w:r>
            </w:hyperlink>
            <w:r w:rsidRPr="0010002D">
              <w:rPr>
                <w:rFonts w:eastAsia="Calibri" w:cs="Times New Roman"/>
                <w:i/>
                <w:sz w:val="24"/>
                <w:szCs w:val="24"/>
              </w:rPr>
              <w:t xml:space="preserve"> dėl sistemos tvariam investavimui palengvinti sukūrimo, kuriuo iš dalies keičiamas Reglamentas </w:t>
            </w:r>
            <w:hyperlink r:id="rId7" w:tgtFrame="_blank" w:history="1">
              <w:r w:rsidRPr="0010002D">
                <w:rPr>
                  <w:rFonts w:eastAsia="Calibri" w:cs="Times New Roman"/>
                  <w:i/>
                  <w:sz w:val="24"/>
                  <w:szCs w:val="24"/>
                </w:rPr>
                <w:t>(ES) Nr. 2019/2088</w:t>
              </w:r>
            </w:hyperlink>
            <w:r w:rsidRPr="0010002D">
              <w:rPr>
                <w:rFonts w:eastAsia="Calibri" w:cs="Times New Roman"/>
                <w:i/>
                <w:sz w:val="24"/>
                <w:szCs w:val="24"/>
              </w:rPr>
              <w:t>)</w:t>
            </w:r>
          </w:p>
        </w:tc>
        <w:tc>
          <w:tcPr>
            <w:tcW w:w="4633" w:type="dxa"/>
          </w:tcPr>
          <w:p w:rsidR="0010002D" w:rsidRPr="0010002D" w:rsidRDefault="0010002D" w:rsidP="0010002D">
            <w:pPr>
              <w:spacing w:after="0" w:line="240" w:lineRule="auto"/>
              <w:jc w:val="center"/>
              <w:rPr>
                <w:rFonts w:eastAsia="Calibri" w:cs="Times New Roman"/>
                <w:b/>
                <w:sz w:val="24"/>
                <w:szCs w:val="24"/>
              </w:rPr>
            </w:pPr>
            <w:r w:rsidRPr="0010002D">
              <w:rPr>
                <w:rFonts w:eastAsia="Calibri" w:cs="Times New Roman"/>
                <w:b/>
                <w:sz w:val="24"/>
                <w:szCs w:val="24"/>
              </w:rPr>
              <w:t>Pagrindimas</w:t>
            </w:r>
          </w:p>
          <w:p w:rsidR="0010002D" w:rsidRPr="0010002D" w:rsidRDefault="0010002D" w:rsidP="0010002D">
            <w:pPr>
              <w:spacing w:after="0" w:line="240" w:lineRule="auto"/>
              <w:jc w:val="both"/>
              <w:rPr>
                <w:rFonts w:eastAsia="Calibri" w:cs="Times New Roman"/>
                <w:b/>
                <w:sz w:val="24"/>
                <w:szCs w:val="24"/>
              </w:rPr>
            </w:pPr>
            <w:r w:rsidRPr="0010002D">
              <w:rPr>
                <w:rFonts w:eastAsia="Calibri" w:cs="Times New Roman"/>
                <w:bCs/>
                <w:i/>
                <w:sz w:val="24"/>
                <w:szCs w:val="24"/>
              </w:rPr>
              <w:t>(remdamiesi priemonių (kai finansavimo šaltinis EGADP) arba veiksmų (veiklų) (kai finansavimo šaltinis ESIFP) vertinimo klausimynais, nurodykite tik tą klausimyno vertinimo dalį, kuri aktuali finansuotinai veiklai)</w:t>
            </w:r>
          </w:p>
        </w:tc>
        <w:tc>
          <w:tcPr>
            <w:tcW w:w="5331" w:type="dxa"/>
          </w:tcPr>
          <w:p w:rsidR="0010002D" w:rsidRPr="0010002D" w:rsidRDefault="0010002D" w:rsidP="0010002D">
            <w:pPr>
              <w:spacing w:after="0" w:line="240" w:lineRule="auto"/>
              <w:jc w:val="center"/>
              <w:rPr>
                <w:rFonts w:eastAsia="Calibri" w:cs="Times New Roman"/>
                <w:i/>
                <w:sz w:val="24"/>
                <w:szCs w:val="24"/>
              </w:rPr>
            </w:pPr>
            <w:r w:rsidRPr="0010002D">
              <w:rPr>
                <w:rFonts w:eastAsia="Calibri" w:cs="Times New Roman"/>
                <w:b/>
                <w:sz w:val="24"/>
                <w:szCs w:val="24"/>
              </w:rPr>
              <w:t>Pagrindimo dokumentai</w:t>
            </w:r>
          </w:p>
          <w:p w:rsidR="0010002D" w:rsidRPr="0010002D" w:rsidRDefault="0010002D" w:rsidP="0010002D">
            <w:pPr>
              <w:spacing w:after="0" w:line="240" w:lineRule="auto"/>
              <w:jc w:val="both"/>
              <w:rPr>
                <w:rFonts w:eastAsia="Calibri" w:cs="Times New Roman"/>
                <w:i/>
                <w:sz w:val="24"/>
                <w:szCs w:val="24"/>
              </w:rPr>
            </w:pPr>
            <w:r w:rsidRPr="0010002D">
              <w:rPr>
                <w:rFonts w:eastAsia="Calibri" w:cs="Times New Roman"/>
                <w:i/>
                <w:sz w:val="24"/>
                <w:szCs w:val="24"/>
              </w:rPr>
              <w:t>(nurodomas dokumentas, kuris bus vertinamas siekiant įvertinti projekto atitiktį aplinkos tikslams, arba pateikiama šią atitiktį pagrindžianti informacija)</w:t>
            </w:r>
          </w:p>
        </w:tc>
      </w:tr>
      <w:tr w:rsidR="0010002D" w:rsidRPr="0010002D" w:rsidTr="00394903">
        <w:tc>
          <w:tcPr>
            <w:tcW w:w="4885" w:type="dxa"/>
          </w:tcPr>
          <w:p w:rsidR="0010002D" w:rsidRPr="0010002D" w:rsidRDefault="0010002D" w:rsidP="0010002D">
            <w:pPr>
              <w:tabs>
                <w:tab w:val="left" w:pos="289"/>
              </w:tabs>
              <w:spacing w:after="0" w:line="240" w:lineRule="auto"/>
              <w:ind w:firstLine="5"/>
              <w:jc w:val="both"/>
              <w:rPr>
                <w:rFonts w:eastAsia="Calibri" w:cs="Times New Roman"/>
                <w:sz w:val="24"/>
                <w:szCs w:val="24"/>
              </w:rPr>
            </w:pPr>
            <w:r w:rsidRPr="0010002D">
              <w:rPr>
                <w:rFonts w:eastAsia="Calibri" w:cs="Times New Roman"/>
                <w:sz w:val="24"/>
                <w:szCs w:val="24"/>
              </w:rPr>
              <w:t>1.</w:t>
            </w:r>
            <w:r w:rsidRPr="0010002D">
              <w:rPr>
                <w:rFonts w:eastAsia="Calibri" w:cs="Times New Roman"/>
                <w:sz w:val="24"/>
                <w:szCs w:val="24"/>
              </w:rPr>
              <w:tab/>
              <w:t>Klimato kaitos švelninimas</w:t>
            </w:r>
          </w:p>
        </w:tc>
        <w:tc>
          <w:tcPr>
            <w:tcW w:w="4633" w:type="dxa"/>
          </w:tcPr>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bCs/>
                <w:iCs/>
                <w:sz w:val="24"/>
                <w:szCs w:val="24"/>
              </w:rPr>
              <w:t>Vertinama, kad planuojamos įgyvendinti veiklos –</w:t>
            </w:r>
            <w:r w:rsidRPr="0010002D">
              <w:rPr>
                <w:rFonts w:eastAsia="Calibri" w:cs="Times New Roman"/>
                <w:bCs/>
                <w:sz w:val="24"/>
                <w:szCs w:val="24"/>
              </w:rPr>
              <w:t xml:space="preserve"> asmens sveikatos priežiūros įstaigų modernizavimas (</w:t>
            </w:r>
            <w:r w:rsidRPr="0010002D">
              <w:rPr>
                <w:rFonts w:eastAsia="Times New Roman" w:cs="Times New Roman"/>
                <w:sz w:val="24"/>
                <w:szCs w:val="24"/>
              </w:rPr>
              <w:t xml:space="preserve">pastatų statyba ir / ar rekonstrukcija, ir / ar patalpų remontas, ir / ar </w:t>
            </w:r>
            <w:r w:rsidRPr="0010002D">
              <w:rPr>
                <w:rFonts w:eastAsia="Calibri" w:cs="Times New Roman"/>
                <w:bCs/>
                <w:sz w:val="24"/>
                <w:szCs w:val="24"/>
              </w:rPr>
              <w:t>įrangos įsigijimas)</w:t>
            </w:r>
            <w:r w:rsidRPr="0010002D">
              <w:rPr>
                <w:rFonts w:eastAsia="Calibri" w:cs="Times New Roman"/>
                <w:bCs/>
                <w:iCs/>
                <w:sz w:val="24"/>
                <w:szCs w:val="24"/>
              </w:rPr>
              <w:t xml:space="preserve"> – n</w:t>
            </w:r>
            <w:r w:rsidRPr="0010002D">
              <w:rPr>
                <w:rFonts w:eastAsia="Times New Roman" w:cs="Times New Roman"/>
                <w:sz w:val="24"/>
                <w:szCs w:val="20"/>
              </w:rPr>
              <w:t xml:space="preserve">eturės jokio neigiamo tiesioginio ar netiesioginio poveikio klimato kaitos švelninimo tikslui. </w:t>
            </w:r>
            <w:r w:rsidRPr="0010002D">
              <w:rPr>
                <w:rFonts w:eastAsia="Calibri" w:cs="Times New Roman"/>
                <w:bCs/>
                <w:iCs/>
                <w:sz w:val="24"/>
                <w:szCs w:val="24"/>
              </w:rPr>
              <w:t xml:space="preserve">Planuojama įsigyti įranga privalės atitikti (tai bus numatoma atitinkamuose įrangos įsigijimo dokumentuose) efektyvumo, tvarumo, ilgaamžiškumo reikalavimus pagal </w:t>
            </w:r>
            <w:r w:rsidRPr="0010002D">
              <w:rPr>
                <w:rFonts w:eastAsia="Calibri" w:cs="Times New Roman"/>
                <w:bCs/>
                <w:iCs/>
                <w:sz w:val="24"/>
                <w:szCs w:val="24"/>
              </w:rPr>
              <w:lastRenderedPageBreak/>
              <w:t>Direktyvą 2009/125/EC ir Direktyvą 2011/65/EU.</w:t>
            </w:r>
          </w:p>
          <w:p w:rsidR="0010002D" w:rsidRPr="0010002D" w:rsidRDefault="0010002D" w:rsidP="0010002D">
            <w:pPr>
              <w:spacing w:after="0" w:line="240" w:lineRule="auto"/>
              <w:jc w:val="both"/>
              <w:rPr>
                <w:rFonts w:eastAsia="Calibri" w:cs="Times New Roman"/>
                <w:bCs/>
                <w:i/>
                <w:sz w:val="24"/>
                <w:szCs w:val="24"/>
              </w:rPr>
            </w:pPr>
            <w:r w:rsidRPr="0010002D">
              <w:rPr>
                <w:rFonts w:eastAsia="Calibri" w:cs="Times New Roman"/>
                <w:bCs/>
                <w:iCs/>
                <w:sz w:val="24"/>
                <w:szCs w:val="24"/>
              </w:rPr>
              <w:t>Projektų vykdytojai ir kiti dalyviai bei tarpininkai privalo laiky</w:t>
            </w:r>
            <w:bookmarkStart w:id="0" w:name="_GoBack"/>
            <w:bookmarkEnd w:id="0"/>
            <w:r w:rsidRPr="0010002D">
              <w:rPr>
                <w:rFonts w:eastAsia="Calibri" w:cs="Times New Roman"/>
                <w:bCs/>
                <w:iCs/>
                <w:sz w:val="24"/>
                <w:szCs w:val="24"/>
              </w:rPr>
              <w:t>tis pagrindimo skiltyje nurodytų teisės aktų reikalavimų.</w:t>
            </w:r>
          </w:p>
        </w:tc>
        <w:tc>
          <w:tcPr>
            <w:tcW w:w="5331" w:type="dxa"/>
          </w:tcPr>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bCs/>
                <w:iCs/>
                <w:sz w:val="24"/>
                <w:szCs w:val="24"/>
              </w:rPr>
              <w:lastRenderedPageBreak/>
              <w:t xml:space="preserve">Pagrindžiantys dokumentai neteikiami. </w:t>
            </w:r>
          </w:p>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bCs/>
                <w:iCs/>
                <w:sz w:val="24"/>
                <w:szCs w:val="24"/>
              </w:rPr>
              <w:t>Kai projektuose finansuojamos veiklos, susijusios su įrangos įsigijimu, į</w:t>
            </w:r>
            <w:r w:rsidRPr="0010002D">
              <w:rPr>
                <w:rFonts w:eastAsia="Times New Roman" w:cs="Times New Roman"/>
                <w:bCs/>
                <w:sz w:val="24"/>
                <w:szCs w:val="24"/>
              </w:rPr>
              <w:t xml:space="preserve">sigyjama </w:t>
            </w:r>
            <w:r w:rsidRPr="0010002D">
              <w:rPr>
                <w:rFonts w:eastAsia="Calibri" w:cs="Times New Roman"/>
                <w:bCs/>
                <w:iCs/>
                <w:sz w:val="24"/>
                <w:szCs w:val="24"/>
              </w:rPr>
              <w:t>įranga turi būti paženklinta CE ženklu pagal reglamentų nuostatas</w:t>
            </w:r>
            <w:r w:rsidRPr="0010002D">
              <w:rPr>
                <w:rFonts w:eastAsia="Times New Roman" w:cs="Times New Roman"/>
                <w:bCs/>
                <w:sz w:val="24"/>
                <w:szCs w:val="24"/>
              </w:rPr>
              <w:t xml:space="preserve">. Atitiktis bus vertinama pagal PĮP nurodytą informaciją ir projektų įgyvendinimo metu pateikiamų pirkimo dokumentų informaciją. </w:t>
            </w:r>
          </w:p>
          <w:p w:rsidR="0010002D" w:rsidRPr="0010002D" w:rsidRDefault="0010002D" w:rsidP="0010002D">
            <w:pPr>
              <w:tabs>
                <w:tab w:val="left" w:pos="802"/>
              </w:tabs>
              <w:spacing w:after="0" w:line="240" w:lineRule="auto"/>
              <w:jc w:val="both"/>
              <w:rPr>
                <w:rFonts w:eastAsia="Calibri" w:cs="Times New Roman"/>
                <w:bCs/>
                <w:iCs/>
                <w:sz w:val="24"/>
                <w:szCs w:val="24"/>
              </w:rPr>
            </w:pPr>
          </w:p>
          <w:p w:rsidR="0010002D" w:rsidRPr="0010002D" w:rsidRDefault="0010002D" w:rsidP="0010002D">
            <w:pPr>
              <w:tabs>
                <w:tab w:val="left" w:pos="802"/>
              </w:tabs>
              <w:spacing w:after="0" w:line="240" w:lineRule="auto"/>
              <w:jc w:val="both"/>
              <w:rPr>
                <w:rFonts w:eastAsia="Times New Roman" w:cs="Times New Roman"/>
                <w:bCs/>
                <w:sz w:val="24"/>
                <w:szCs w:val="24"/>
              </w:rPr>
            </w:pPr>
            <w:r w:rsidRPr="0010002D">
              <w:rPr>
                <w:rFonts w:eastAsia="Calibri" w:cs="Times New Roman"/>
                <w:bCs/>
                <w:iCs/>
                <w:sz w:val="24"/>
                <w:szCs w:val="24"/>
              </w:rPr>
              <w:t xml:space="preserve">Vykdant statybos rangos darbus turi būti vadovaujamasi Lietuvos Respublikos statybos įstatymu ir (ar) </w:t>
            </w:r>
            <w:r w:rsidRPr="0010002D">
              <w:rPr>
                <w:rFonts w:eastAsia="Times New Roman" w:cs="Times New Roman"/>
                <w:color w:val="000000"/>
                <w:sz w:val="24"/>
                <w:szCs w:val="24"/>
              </w:rPr>
              <w:t xml:space="preserve">statybos techniniu reglamentu STR </w:t>
            </w:r>
            <w:r w:rsidRPr="0010002D">
              <w:rPr>
                <w:rFonts w:eastAsia="Times New Roman" w:cs="Times New Roman"/>
                <w:color w:val="000000"/>
                <w:sz w:val="24"/>
                <w:szCs w:val="24"/>
              </w:rPr>
              <w:lastRenderedPageBreak/>
              <w:t>2.01.02:2016 „Pastatų energinio naudingumo projektavimas ir sertifikavimas</w:t>
            </w:r>
            <w:r w:rsidRPr="0010002D">
              <w:rPr>
                <w:rFonts w:eastAsia="Calibri" w:cs="Times New Roman"/>
                <w:bCs/>
                <w:iCs/>
                <w:sz w:val="24"/>
                <w:szCs w:val="24"/>
              </w:rPr>
              <w:t>“.</w:t>
            </w:r>
            <w:r w:rsidRPr="0010002D">
              <w:rPr>
                <w:rFonts w:eastAsia="Times New Roman" w:cs="Times New Roman"/>
                <w:bCs/>
                <w:sz w:val="24"/>
                <w:szCs w:val="24"/>
              </w:rPr>
              <w:t xml:space="preserve"> </w:t>
            </w:r>
          </w:p>
          <w:p w:rsidR="0010002D" w:rsidRPr="0010002D" w:rsidRDefault="0010002D" w:rsidP="0010002D">
            <w:pPr>
              <w:spacing w:after="0" w:line="240" w:lineRule="auto"/>
              <w:jc w:val="both"/>
              <w:rPr>
                <w:rFonts w:eastAsia="Calibri" w:cs="Times New Roman"/>
                <w:i/>
                <w:sz w:val="24"/>
                <w:szCs w:val="24"/>
              </w:rPr>
            </w:pPr>
            <w:r w:rsidRPr="0010002D">
              <w:rPr>
                <w:rFonts w:eastAsia="Times New Roman" w:cs="Times New Roman"/>
                <w:bCs/>
                <w:sz w:val="24"/>
                <w:szCs w:val="24"/>
              </w:rPr>
              <w:t xml:space="preserve">Atitiktis bus vertinama pagal PĮP nurodytą informaciją ir projektų įgyvendinimo metu pateikiamų pirkimo dokumentų informaciją, nurodant planuojamą pasiekti energetinio efektyvumo klasę. </w:t>
            </w:r>
          </w:p>
        </w:tc>
      </w:tr>
      <w:tr w:rsidR="0010002D" w:rsidRPr="0010002D" w:rsidTr="00394903">
        <w:tc>
          <w:tcPr>
            <w:tcW w:w="4885" w:type="dxa"/>
          </w:tcPr>
          <w:p w:rsidR="0010002D" w:rsidRPr="0010002D" w:rsidRDefault="0010002D" w:rsidP="0010002D">
            <w:pPr>
              <w:tabs>
                <w:tab w:val="left" w:pos="289"/>
              </w:tabs>
              <w:spacing w:after="0" w:line="240" w:lineRule="auto"/>
              <w:ind w:firstLine="5"/>
              <w:jc w:val="both"/>
              <w:rPr>
                <w:rFonts w:eastAsia="Calibri" w:cs="Times New Roman"/>
                <w:sz w:val="24"/>
                <w:szCs w:val="24"/>
              </w:rPr>
            </w:pPr>
            <w:r w:rsidRPr="0010002D">
              <w:rPr>
                <w:rFonts w:eastAsia="Calibri" w:cs="Times New Roman"/>
                <w:sz w:val="24"/>
                <w:szCs w:val="24"/>
              </w:rPr>
              <w:lastRenderedPageBreak/>
              <w:t>2.</w:t>
            </w:r>
            <w:r w:rsidRPr="0010002D">
              <w:rPr>
                <w:rFonts w:eastAsia="Calibri" w:cs="Times New Roman"/>
                <w:sz w:val="24"/>
                <w:szCs w:val="24"/>
              </w:rPr>
              <w:tab/>
              <w:t>Prisitaikymas prie klimato kaitos</w:t>
            </w:r>
          </w:p>
        </w:tc>
        <w:tc>
          <w:tcPr>
            <w:tcW w:w="4633" w:type="dxa"/>
          </w:tcPr>
          <w:p w:rsidR="0010002D" w:rsidRPr="0010002D" w:rsidRDefault="0010002D" w:rsidP="0010002D">
            <w:pPr>
              <w:spacing w:after="0" w:line="240" w:lineRule="auto"/>
              <w:jc w:val="both"/>
              <w:rPr>
                <w:rFonts w:eastAsia="Calibri" w:cs="Times New Roman"/>
                <w:bCs/>
                <w:sz w:val="24"/>
                <w:szCs w:val="24"/>
              </w:rPr>
            </w:pPr>
            <w:r w:rsidRPr="0010002D">
              <w:rPr>
                <w:rFonts w:eastAsia="Times New Roman" w:cs="Times New Roman"/>
                <w:bCs/>
                <w:sz w:val="24"/>
                <w:szCs w:val="24"/>
              </w:rPr>
              <w:t>Vertinama, kad planuojamos įgyvendinti veiklos per visą gyvavimo ciklą</w:t>
            </w:r>
            <w:r w:rsidRPr="0010002D">
              <w:rPr>
                <w:rFonts w:eastAsia="Times New Roman" w:cs="Times New Roman"/>
                <w:sz w:val="24"/>
                <w:szCs w:val="24"/>
              </w:rPr>
              <w:t xml:space="preserve"> neturės neigiamos įtakos prisitaikymo prie klimato kaitos tikslui, nedidins neigiamo</w:t>
            </w:r>
            <w:r w:rsidRPr="0010002D">
              <w:rPr>
                <w:rFonts w:eastAsia="Times New Roman" w:cs="Times New Roman"/>
                <w:sz w:val="24"/>
                <w:szCs w:val="24"/>
              </w:rPr>
              <w:br/>
              <w:t>poveikio žmonėms, gamtai ar turtui rizikos</w:t>
            </w:r>
            <w:r w:rsidRPr="0010002D">
              <w:rPr>
                <w:rFonts w:eastAsia="Times New Roman" w:cs="Times New Roman"/>
                <w:bCs/>
                <w:sz w:val="24"/>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10002D" w:rsidRPr="0010002D" w:rsidRDefault="0010002D" w:rsidP="0010002D">
            <w:pPr>
              <w:spacing w:after="0" w:line="240" w:lineRule="auto"/>
              <w:jc w:val="both"/>
              <w:rPr>
                <w:rFonts w:eastAsia="Times New Roman" w:cs="Times New Roman"/>
                <w:bCs/>
                <w:sz w:val="24"/>
                <w:szCs w:val="24"/>
              </w:rPr>
            </w:pPr>
            <w:r w:rsidRPr="0010002D">
              <w:rPr>
                <w:rFonts w:eastAsia="Times New Roman" w:cs="Times New Roman"/>
                <w:bCs/>
                <w:sz w:val="24"/>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10002D" w:rsidRPr="0010002D" w:rsidRDefault="0010002D" w:rsidP="0010002D">
            <w:pPr>
              <w:spacing w:after="0" w:line="240" w:lineRule="auto"/>
              <w:jc w:val="both"/>
              <w:rPr>
                <w:rFonts w:eastAsia="Calibri" w:cs="Times New Roman"/>
                <w:bCs/>
                <w:iCs/>
                <w:sz w:val="24"/>
                <w:szCs w:val="24"/>
              </w:rPr>
            </w:pPr>
            <w:r w:rsidRPr="0010002D">
              <w:rPr>
                <w:rFonts w:eastAsia="Times New Roman" w:cs="Times New Roman"/>
                <w:bCs/>
                <w:sz w:val="24"/>
                <w:szCs w:val="24"/>
              </w:rPr>
              <w:t>Teikiamas Aprašo 2.12.11 papunktyje numatytas priedas, jei yra pildomas.</w:t>
            </w:r>
          </w:p>
          <w:p w:rsidR="0010002D" w:rsidRPr="0010002D" w:rsidRDefault="0010002D" w:rsidP="0010002D">
            <w:pPr>
              <w:spacing w:after="0" w:line="240" w:lineRule="auto"/>
              <w:jc w:val="both"/>
              <w:rPr>
                <w:rFonts w:eastAsia="Calibri" w:cs="Times New Roman"/>
                <w:bCs/>
                <w:iCs/>
                <w:sz w:val="24"/>
                <w:szCs w:val="24"/>
              </w:rPr>
            </w:pPr>
          </w:p>
          <w:p w:rsidR="0010002D" w:rsidRPr="0010002D" w:rsidRDefault="0010002D" w:rsidP="0010002D">
            <w:pPr>
              <w:spacing w:after="0" w:line="240" w:lineRule="auto"/>
              <w:jc w:val="both"/>
              <w:rPr>
                <w:rFonts w:eastAsia="Calibri" w:cs="Times New Roman"/>
                <w:b/>
                <w:sz w:val="24"/>
                <w:szCs w:val="24"/>
              </w:rPr>
            </w:pPr>
          </w:p>
        </w:tc>
      </w:tr>
      <w:tr w:rsidR="0010002D" w:rsidRPr="0010002D" w:rsidTr="00394903">
        <w:tc>
          <w:tcPr>
            <w:tcW w:w="4885" w:type="dxa"/>
            <w:shd w:val="clear" w:color="auto" w:fill="auto"/>
          </w:tcPr>
          <w:p w:rsidR="0010002D" w:rsidRPr="0010002D" w:rsidRDefault="0010002D" w:rsidP="0010002D">
            <w:pPr>
              <w:tabs>
                <w:tab w:val="left" w:pos="289"/>
              </w:tabs>
              <w:spacing w:after="0" w:line="240" w:lineRule="auto"/>
              <w:ind w:firstLine="5"/>
              <w:jc w:val="both"/>
              <w:rPr>
                <w:rFonts w:eastAsia="Calibri" w:cs="Times New Roman"/>
                <w:sz w:val="24"/>
                <w:szCs w:val="24"/>
              </w:rPr>
            </w:pPr>
            <w:r w:rsidRPr="0010002D">
              <w:rPr>
                <w:rFonts w:eastAsia="Calibri" w:cs="Times New Roman"/>
                <w:sz w:val="24"/>
                <w:szCs w:val="24"/>
              </w:rPr>
              <w:t>3.</w:t>
            </w:r>
            <w:r w:rsidRPr="0010002D">
              <w:rPr>
                <w:rFonts w:eastAsia="Calibri" w:cs="Times New Roman"/>
                <w:sz w:val="24"/>
                <w:szCs w:val="24"/>
              </w:rPr>
              <w:tab/>
              <w:t>Tausus vandens ir jūrų išteklių naudojimas ir apsauga</w:t>
            </w:r>
          </w:p>
        </w:tc>
        <w:tc>
          <w:tcPr>
            <w:tcW w:w="4633" w:type="dxa"/>
            <w:shd w:val="clear" w:color="auto" w:fill="auto"/>
          </w:tcPr>
          <w:p w:rsidR="0010002D" w:rsidRPr="0010002D" w:rsidRDefault="0010002D" w:rsidP="0010002D">
            <w:pPr>
              <w:spacing w:after="0" w:line="240" w:lineRule="auto"/>
              <w:jc w:val="both"/>
              <w:rPr>
                <w:rFonts w:eastAsia="Calibri" w:cs="Times New Roman"/>
                <w:b/>
                <w:sz w:val="24"/>
                <w:szCs w:val="24"/>
              </w:rPr>
            </w:pPr>
            <w:r w:rsidRPr="0010002D">
              <w:rPr>
                <w:rFonts w:eastAsia="Calibri" w:cs="Times New Roman"/>
                <w:bCs/>
                <w:sz w:val="24"/>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10002D" w:rsidRPr="0010002D" w:rsidRDefault="0010002D" w:rsidP="0010002D">
            <w:pPr>
              <w:spacing w:after="0" w:line="240" w:lineRule="auto"/>
              <w:jc w:val="both"/>
              <w:rPr>
                <w:rFonts w:eastAsia="Calibri" w:cs="Times New Roman"/>
                <w:bCs/>
                <w:sz w:val="24"/>
                <w:szCs w:val="24"/>
              </w:rPr>
            </w:pPr>
            <w:r w:rsidRPr="0010002D">
              <w:rPr>
                <w:rFonts w:eastAsia="Calibri" w:cs="Times New Roman"/>
                <w:iCs/>
                <w:sz w:val="24"/>
                <w:szCs w:val="24"/>
              </w:rPr>
              <w:t xml:space="preserve">Netaikoma, nes planuojamos veiklos apima įrangos, skirtos </w:t>
            </w:r>
            <w:r w:rsidRPr="0010002D">
              <w:rPr>
                <w:rFonts w:eastAsia="Times New Roman" w:cs="Times New Roman"/>
                <w:sz w:val="24"/>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sidRPr="0010002D">
              <w:rPr>
                <w:rFonts w:eastAsia="Calibri" w:cs="Times New Roman"/>
                <w:iCs/>
                <w:sz w:val="24"/>
                <w:szCs w:val="24"/>
              </w:rPr>
              <w:t xml:space="preserve">neplanuojama statyti jokios infrastruktūros vandens telkinių apsaugos zonose arba arti vandens telkinių, kas galėtų turėti neigiamą poveikį tausiam vandens ir jūrų išteklių naudojimui. </w:t>
            </w:r>
          </w:p>
        </w:tc>
      </w:tr>
      <w:tr w:rsidR="0010002D" w:rsidRPr="0010002D" w:rsidTr="00394903">
        <w:tc>
          <w:tcPr>
            <w:tcW w:w="4885" w:type="dxa"/>
          </w:tcPr>
          <w:p w:rsidR="0010002D" w:rsidRPr="0010002D" w:rsidRDefault="0010002D" w:rsidP="0010002D">
            <w:pPr>
              <w:tabs>
                <w:tab w:val="left" w:pos="289"/>
              </w:tabs>
              <w:spacing w:after="0" w:line="240" w:lineRule="auto"/>
              <w:ind w:firstLine="5"/>
              <w:jc w:val="both"/>
              <w:rPr>
                <w:rFonts w:eastAsia="Calibri" w:cs="Times New Roman"/>
                <w:sz w:val="24"/>
                <w:szCs w:val="24"/>
              </w:rPr>
            </w:pPr>
            <w:r w:rsidRPr="0010002D">
              <w:rPr>
                <w:rFonts w:eastAsia="Calibri" w:cs="Times New Roman"/>
                <w:sz w:val="24"/>
                <w:szCs w:val="24"/>
              </w:rPr>
              <w:t>4.</w:t>
            </w:r>
            <w:r w:rsidRPr="0010002D">
              <w:rPr>
                <w:rFonts w:eastAsia="Calibri" w:cs="Times New Roman"/>
                <w:sz w:val="24"/>
                <w:szCs w:val="24"/>
              </w:rPr>
              <w:tab/>
              <w:t>Perėjimas prie žiedinės ekonomikos, įskaitant atliekų prevenciją ir perdirbimą</w:t>
            </w:r>
          </w:p>
        </w:tc>
        <w:tc>
          <w:tcPr>
            <w:tcW w:w="4633" w:type="dxa"/>
          </w:tcPr>
          <w:p w:rsidR="0010002D" w:rsidRPr="0010002D" w:rsidRDefault="0010002D" w:rsidP="0010002D">
            <w:pPr>
              <w:spacing w:after="0" w:line="240" w:lineRule="auto"/>
              <w:jc w:val="both"/>
              <w:rPr>
                <w:rFonts w:eastAsia="Calibri" w:cs="Times New Roman"/>
                <w:bCs/>
                <w:sz w:val="24"/>
                <w:szCs w:val="24"/>
              </w:rPr>
            </w:pPr>
            <w:r w:rsidRPr="0010002D">
              <w:rPr>
                <w:rFonts w:eastAsia="Calibri" w:cs="Times New Roman"/>
                <w:bCs/>
                <w:sz w:val="24"/>
                <w:szCs w:val="24"/>
              </w:rPr>
              <w:t xml:space="preserve">Vertinama, kad planuojamos įgyvendinti veiklos (asmens sveikatos priežiūros įstaigų modernizavimas (įrangos įsigijimas) neturi jokio poveikio šiam aplinkos tikslui arba </w:t>
            </w:r>
            <w:r w:rsidRPr="0010002D">
              <w:rPr>
                <w:rFonts w:eastAsia="Calibri" w:cs="Times New Roman"/>
                <w:bCs/>
                <w:sz w:val="24"/>
                <w:szCs w:val="24"/>
              </w:rPr>
              <w:lastRenderedPageBreak/>
              <w:t xml:space="preserve">numatomas jos poveikis yra nereikšmingas, t. y. nedaro tiesioginio ir pirminio netiesioginio poveikio per visą gyvavimo ciklą, todėl laikoma, kad ši investicija atitinka žiedinės ekonomikos, įskaitant atliekų prevenciją ir perdirbimą, tikslą. </w:t>
            </w:r>
          </w:p>
          <w:p w:rsidR="0010002D" w:rsidRPr="0010002D" w:rsidRDefault="0010002D" w:rsidP="0010002D">
            <w:pPr>
              <w:tabs>
                <w:tab w:val="left" w:pos="600"/>
              </w:tabs>
              <w:spacing w:after="0" w:line="240" w:lineRule="auto"/>
              <w:jc w:val="both"/>
              <w:rPr>
                <w:rFonts w:eastAsia="Calibri" w:cs="Times New Roman"/>
                <w:bCs/>
                <w:sz w:val="24"/>
                <w:szCs w:val="24"/>
              </w:rPr>
            </w:pPr>
            <w:r w:rsidRPr="0010002D">
              <w:rPr>
                <w:rFonts w:eastAsia="Calibri" w:cs="Times New Roman"/>
                <w:bCs/>
                <w:sz w:val="24"/>
                <w:szCs w:val="24"/>
              </w:rPr>
              <w:t>Tvarkant atliekas bus vadovaujamasi Europos Sąjungoje geriausiais prieinamais gamybos būdais (GPGB) atliekoms apdoroti.</w:t>
            </w:r>
          </w:p>
          <w:p w:rsidR="0010002D" w:rsidRPr="0010002D" w:rsidRDefault="0010002D" w:rsidP="0010002D">
            <w:pPr>
              <w:spacing w:after="0" w:line="240" w:lineRule="auto"/>
              <w:jc w:val="both"/>
              <w:rPr>
                <w:rFonts w:eastAsia="Calibri" w:cs="Times New Roman"/>
                <w:bCs/>
                <w:sz w:val="24"/>
                <w:szCs w:val="24"/>
              </w:rPr>
            </w:pPr>
            <w:r w:rsidRPr="0010002D">
              <w:rPr>
                <w:rFonts w:eastAsia="Calibri" w:cs="Times New Roman"/>
                <w:bCs/>
                <w:sz w:val="24"/>
                <w:szCs w:val="24"/>
              </w:rPr>
              <w:t>Planuojama įsigyti įranga ir priemonės  privalės atitikti (tai bus numatoma atitinkamuose įrangos įsigijimo dokumentuose) efektyvumo, tvarumo, ilgaamžiškumo reikalavimus pagal Direktyvą 2009/125/EC ir Direktyvą 2011/65/EU.</w:t>
            </w:r>
          </w:p>
          <w:p w:rsidR="0010002D" w:rsidRPr="0010002D" w:rsidRDefault="0010002D" w:rsidP="0010002D">
            <w:pPr>
              <w:spacing w:after="0" w:line="240" w:lineRule="auto"/>
              <w:jc w:val="both"/>
              <w:rPr>
                <w:rFonts w:eastAsia="Calibri" w:cs="Times New Roman"/>
                <w:bCs/>
                <w:sz w:val="24"/>
                <w:szCs w:val="24"/>
              </w:rPr>
            </w:pPr>
            <w:r w:rsidRPr="0010002D">
              <w:rPr>
                <w:rFonts w:eastAsia="Calibri" w:cs="Times New Roman"/>
                <w:bCs/>
                <w:iCs/>
                <w:sz w:val="24"/>
                <w:szCs w:val="24"/>
              </w:rPr>
              <w:t>Projektų vykdytojai ir kiti dalyviai bei tarpininkai privalo laikytis pagrindimo skiltyje nurodytų teisės aktų reikalavimų.</w:t>
            </w:r>
          </w:p>
        </w:tc>
        <w:tc>
          <w:tcPr>
            <w:tcW w:w="5331" w:type="dxa"/>
          </w:tcPr>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bCs/>
                <w:iCs/>
                <w:sz w:val="24"/>
                <w:szCs w:val="24"/>
              </w:rPr>
              <w:lastRenderedPageBreak/>
              <w:t>Pagrindžiantys dokumentai neteikiami.</w:t>
            </w:r>
          </w:p>
          <w:p w:rsidR="0010002D" w:rsidRPr="0010002D" w:rsidRDefault="0010002D" w:rsidP="0010002D">
            <w:pPr>
              <w:tabs>
                <w:tab w:val="left" w:pos="802"/>
              </w:tabs>
              <w:spacing w:after="0" w:line="240" w:lineRule="auto"/>
              <w:jc w:val="both"/>
              <w:rPr>
                <w:rFonts w:eastAsia="Calibri" w:cs="Times New Roman"/>
                <w:bCs/>
                <w:sz w:val="24"/>
                <w:szCs w:val="24"/>
              </w:rPr>
            </w:pPr>
            <w:r w:rsidRPr="0010002D">
              <w:rPr>
                <w:rFonts w:eastAsia="Calibri" w:cs="Times New Roman"/>
                <w:bCs/>
                <w:iCs/>
                <w:sz w:val="24"/>
                <w:szCs w:val="24"/>
              </w:rPr>
              <w:t xml:space="preserve">Vykdant statybos rangos darbus turi būti vadovaujamasi Lietuvos Respublikos atliekų tvarkymo įstatymu ir  </w:t>
            </w:r>
            <w:r w:rsidRPr="0010002D">
              <w:rPr>
                <w:rFonts w:eastAsia="Calibri" w:cs="Times New Roman"/>
                <w:bCs/>
                <w:sz w:val="24"/>
                <w:szCs w:val="24"/>
              </w:rPr>
              <w:t xml:space="preserve">Statybinių atliekų tvarkymo </w:t>
            </w:r>
            <w:r w:rsidRPr="0010002D">
              <w:rPr>
                <w:rFonts w:eastAsia="Calibri" w:cs="Times New Roman"/>
                <w:bCs/>
                <w:sz w:val="24"/>
                <w:szCs w:val="24"/>
              </w:rPr>
              <w:lastRenderedPageBreak/>
              <w:t>taisyklėmis, patvirtintomis Lietuvos Respublikos aplinkos ministro 2006 m. gruodžio 29 d. įsakymu Nr. D1-637 „Dėl Statybinių atliekų tvarkymo taisyklių patvirtinimo“.</w:t>
            </w:r>
          </w:p>
          <w:p w:rsidR="0010002D" w:rsidRPr="0010002D" w:rsidRDefault="0010002D" w:rsidP="0010002D">
            <w:pPr>
              <w:spacing w:after="0" w:line="240" w:lineRule="auto"/>
              <w:jc w:val="both"/>
              <w:rPr>
                <w:rFonts w:eastAsia="Calibri" w:cs="Times New Roman"/>
                <w:sz w:val="24"/>
                <w:szCs w:val="24"/>
              </w:rPr>
            </w:pPr>
            <w:r w:rsidRPr="0010002D">
              <w:rPr>
                <w:rFonts w:eastAsia="Times New Roman" w:cs="Times New Roman"/>
                <w:bCs/>
                <w:sz w:val="24"/>
                <w:szCs w:val="24"/>
              </w:rPr>
              <w:t>Atitiktis bus vertinama pagal PĮP nurodytą informaciją ir projektų įgyvendinimo metu pateikiamų pirkimo dokumentų informaciją.</w:t>
            </w:r>
          </w:p>
        </w:tc>
      </w:tr>
      <w:tr w:rsidR="0010002D" w:rsidRPr="0010002D" w:rsidTr="00394903">
        <w:tc>
          <w:tcPr>
            <w:tcW w:w="4885" w:type="dxa"/>
          </w:tcPr>
          <w:p w:rsidR="0010002D" w:rsidRPr="0010002D" w:rsidRDefault="0010002D" w:rsidP="0010002D">
            <w:pPr>
              <w:tabs>
                <w:tab w:val="left" w:pos="289"/>
              </w:tabs>
              <w:spacing w:after="0" w:line="240" w:lineRule="auto"/>
              <w:ind w:firstLine="5"/>
              <w:jc w:val="both"/>
              <w:rPr>
                <w:rFonts w:eastAsia="Calibri" w:cs="Times New Roman"/>
                <w:sz w:val="24"/>
                <w:szCs w:val="24"/>
              </w:rPr>
            </w:pPr>
            <w:r w:rsidRPr="0010002D">
              <w:rPr>
                <w:rFonts w:eastAsia="Calibri" w:cs="Times New Roman"/>
                <w:sz w:val="24"/>
                <w:szCs w:val="24"/>
              </w:rPr>
              <w:lastRenderedPageBreak/>
              <w:t>5.</w:t>
            </w:r>
            <w:r w:rsidRPr="0010002D">
              <w:rPr>
                <w:rFonts w:eastAsia="Calibri" w:cs="Times New Roman"/>
                <w:sz w:val="24"/>
                <w:szCs w:val="24"/>
              </w:rPr>
              <w:tab/>
            </w:r>
            <w:r w:rsidRPr="0010002D">
              <w:rPr>
                <w:rFonts w:eastAsia="Calibri" w:cs="Times New Roman"/>
                <w:bCs/>
                <w:sz w:val="24"/>
                <w:szCs w:val="24"/>
              </w:rPr>
              <w:t>Oro, vandens ar žemės taršos prevencija ir kontrolė</w:t>
            </w:r>
          </w:p>
        </w:tc>
        <w:tc>
          <w:tcPr>
            <w:tcW w:w="4633" w:type="dxa"/>
          </w:tcPr>
          <w:p w:rsidR="0010002D" w:rsidRPr="0010002D" w:rsidRDefault="0010002D" w:rsidP="0010002D">
            <w:pPr>
              <w:spacing w:after="0" w:line="240" w:lineRule="auto"/>
              <w:jc w:val="both"/>
              <w:rPr>
                <w:rFonts w:eastAsia="Calibri" w:cs="Times New Roman"/>
                <w:b/>
                <w:sz w:val="24"/>
                <w:szCs w:val="24"/>
              </w:rPr>
            </w:pPr>
            <w:r w:rsidRPr="0010002D">
              <w:rPr>
                <w:rFonts w:eastAsia="Calibri" w:cs="Times New Roman"/>
                <w:sz w:val="24"/>
                <w:szCs w:val="24"/>
              </w:rPr>
              <w:t>Vertinama, kad planuojamos įgyvendinti veiklos (</w:t>
            </w:r>
            <w:r w:rsidRPr="0010002D">
              <w:rPr>
                <w:rFonts w:eastAsia="Calibri" w:cs="Times New Roman"/>
                <w:bCs/>
                <w:sz w:val="24"/>
                <w:szCs w:val="24"/>
              </w:rPr>
              <w:t>asmens sveikatos priežiūros įstaigų modernizavimas (įrangos įsigijimas</w:t>
            </w:r>
            <w:r w:rsidRPr="0010002D">
              <w:rPr>
                <w:rFonts w:eastAsia="Calibri" w:cs="Times New Roman"/>
                <w:sz w:val="24"/>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sidRPr="0010002D">
              <w:rPr>
                <w:rFonts w:eastAsia="Times New Roman" w:cs="Times New Roman"/>
                <w:sz w:val="24"/>
                <w:szCs w:val="24"/>
              </w:rPr>
              <w:t>įsigyjama įranga privalės atitikti visus aukščiausius kokybės reikalavimus.</w:t>
            </w:r>
          </w:p>
        </w:tc>
        <w:tc>
          <w:tcPr>
            <w:tcW w:w="5331" w:type="dxa"/>
          </w:tcPr>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iCs/>
                <w:sz w:val="24"/>
                <w:szCs w:val="24"/>
              </w:rPr>
              <w:t xml:space="preserve">Netaikoma, nes planuojamos veiklos apima įrangos, skirtos </w:t>
            </w:r>
            <w:r w:rsidRPr="0010002D">
              <w:rPr>
                <w:rFonts w:eastAsia="Times New Roman" w:cs="Times New Roman"/>
                <w:sz w:val="24"/>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10002D" w:rsidRPr="0010002D" w:rsidRDefault="0010002D" w:rsidP="0010002D">
            <w:pPr>
              <w:spacing w:after="0" w:line="240" w:lineRule="auto"/>
              <w:jc w:val="both"/>
              <w:rPr>
                <w:rFonts w:eastAsia="Calibri" w:cs="Times New Roman"/>
                <w:bCs/>
                <w:iCs/>
                <w:sz w:val="24"/>
                <w:szCs w:val="24"/>
              </w:rPr>
            </w:pPr>
            <w:r w:rsidRPr="0010002D">
              <w:rPr>
                <w:rFonts w:eastAsia="Calibri" w:cs="Times New Roman"/>
                <w:bCs/>
                <w:iCs/>
                <w:sz w:val="24"/>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10002D" w:rsidRPr="0010002D" w:rsidRDefault="0010002D" w:rsidP="0010002D">
            <w:pPr>
              <w:spacing w:after="0" w:line="240" w:lineRule="auto"/>
              <w:jc w:val="both"/>
              <w:rPr>
                <w:rFonts w:eastAsia="Calibri" w:cs="Times New Roman"/>
                <w:bCs/>
                <w:iCs/>
                <w:sz w:val="24"/>
                <w:szCs w:val="24"/>
              </w:rPr>
            </w:pPr>
          </w:p>
          <w:p w:rsidR="0010002D" w:rsidRPr="0010002D" w:rsidRDefault="0010002D" w:rsidP="0010002D">
            <w:pPr>
              <w:spacing w:after="0" w:line="240" w:lineRule="auto"/>
              <w:jc w:val="both"/>
              <w:rPr>
                <w:rFonts w:eastAsia="Calibri" w:cs="Times New Roman"/>
                <w:sz w:val="24"/>
                <w:szCs w:val="24"/>
              </w:rPr>
            </w:pPr>
          </w:p>
        </w:tc>
      </w:tr>
      <w:tr w:rsidR="0010002D" w:rsidRPr="0010002D" w:rsidTr="00394903">
        <w:tc>
          <w:tcPr>
            <w:tcW w:w="4885" w:type="dxa"/>
          </w:tcPr>
          <w:p w:rsidR="0010002D" w:rsidRPr="0010002D" w:rsidRDefault="0010002D" w:rsidP="0010002D">
            <w:pPr>
              <w:tabs>
                <w:tab w:val="left" w:pos="289"/>
              </w:tabs>
              <w:spacing w:after="0" w:line="240" w:lineRule="auto"/>
              <w:ind w:left="5" w:firstLine="5"/>
              <w:jc w:val="both"/>
              <w:rPr>
                <w:rFonts w:eastAsia="Calibri" w:cs="Times New Roman"/>
                <w:sz w:val="24"/>
                <w:szCs w:val="24"/>
              </w:rPr>
            </w:pPr>
            <w:r w:rsidRPr="0010002D">
              <w:rPr>
                <w:rFonts w:eastAsia="Calibri" w:cs="Times New Roman"/>
                <w:sz w:val="24"/>
                <w:szCs w:val="24"/>
              </w:rPr>
              <w:lastRenderedPageBreak/>
              <w:t>6.</w:t>
            </w:r>
            <w:r w:rsidRPr="0010002D">
              <w:rPr>
                <w:rFonts w:eastAsia="Calibri" w:cs="Times New Roman"/>
                <w:sz w:val="24"/>
                <w:szCs w:val="24"/>
              </w:rPr>
              <w:tab/>
              <w:t>Biologinės įvairovės ir ekosistemų apsauga ir atkūrimas</w:t>
            </w:r>
          </w:p>
        </w:tc>
        <w:tc>
          <w:tcPr>
            <w:tcW w:w="4633" w:type="dxa"/>
          </w:tcPr>
          <w:p w:rsidR="0010002D" w:rsidRPr="0010002D" w:rsidRDefault="0010002D" w:rsidP="0010002D">
            <w:pPr>
              <w:spacing w:after="0" w:line="240" w:lineRule="auto"/>
              <w:jc w:val="both"/>
              <w:rPr>
                <w:rFonts w:eastAsia="Calibri" w:cs="Times New Roman"/>
                <w:bCs/>
                <w:sz w:val="24"/>
                <w:szCs w:val="24"/>
              </w:rPr>
            </w:pPr>
            <w:r w:rsidRPr="0010002D">
              <w:rPr>
                <w:rFonts w:eastAsia="Calibri" w:cs="Times New Roman"/>
                <w:bCs/>
                <w:sz w:val="24"/>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10002D" w:rsidRPr="0010002D" w:rsidRDefault="0010002D" w:rsidP="0010002D">
            <w:pPr>
              <w:spacing w:after="0" w:line="240" w:lineRule="auto"/>
              <w:jc w:val="both"/>
              <w:rPr>
                <w:rFonts w:eastAsia="Calibri" w:cs="Times New Roman"/>
                <w:bCs/>
                <w:sz w:val="24"/>
                <w:szCs w:val="24"/>
              </w:rPr>
            </w:pPr>
            <w:r w:rsidRPr="0010002D">
              <w:rPr>
                <w:rFonts w:eastAsia="Times New Roman" w:cs="Times New Roman"/>
                <w:sz w:val="24"/>
                <w:szCs w:val="24"/>
              </w:rPr>
              <w:t>Veiklos planuojamos šalies miestuose jau įrengtose infrastruktūrose, asmens sveikatos priežiūros įstaigų teritorijose, todėl reikšminga įtaka biologinei įvairovei ar ekosistemoms nebūtų padaryta.</w:t>
            </w:r>
          </w:p>
          <w:p w:rsidR="0010002D" w:rsidRPr="0010002D" w:rsidRDefault="0010002D" w:rsidP="0010002D">
            <w:pPr>
              <w:spacing w:after="0" w:line="240" w:lineRule="auto"/>
              <w:jc w:val="both"/>
              <w:rPr>
                <w:rFonts w:eastAsia="Calibri" w:cs="Times New Roman"/>
                <w:b/>
                <w:sz w:val="24"/>
                <w:szCs w:val="24"/>
              </w:rPr>
            </w:pPr>
            <w:r w:rsidRPr="0010002D">
              <w:rPr>
                <w:rFonts w:eastAsia="Calibri" w:cs="Times New Roman"/>
                <w:bCs/>
                <w:sz w:val="24"/>
                <w:szCs w:val="24"/>
              </w:rPr>
              <w:t>Nenumatoma, kad priemonė turės neigiamą poveikį biologinei įvairovei ar ekosistemų apsaugai, nes nenumatoma kurti ar modernizuoti infrastruktūros ,,</w:t>
            </w:r>
            <w:proofErr w:type="spellStart"/>
            <w:r w:rsidRPr="0010002D">
              <w:rPr>
                <w:rFonts w:eastAsia="Calibri" w:cs="Times New Roman"/>
                <w:bCs/>
                <w:sz w:val="24"/>
                <w:szCs w:val="24"/>
              </w:rPr>
              <w:t>Natura</w:t>
            </w:r>
            <w:proofErr w:type="spellEnd"/>
            <w:r w:rsidRPr="0010002D">
              <w:rPr>
                <w:rFonts w:eastAsia="Calibri" w:cs="Times New Roman"/>
                <w:bCs/>
                <w:sz w:val="24"/>
                <w:szCs w:val="24"/>
              </w:rPr>
              <w:t xml:space="preserve"> 2000“, UNESCO pasaulinio paveldo ar kitose saugomose teritorijose.</w:t>
            </w:r>
          </w:p>
        </w:tc>
        <w:tc>
          <w:tcPr>
            <w:tcW w:w="5331" w:type="dxa"/>
          </w:tcPr>
          <w:p w:rsidR="0010002D" w:rsidRPr="0010002D" w:rsidRDefault="0010002D" w:rsidP="0010002D">
            <w:pPr>
              <w:spacing w:after="0" w:line="240" w:lineRule="auto"/>
              <w:jc w:val="both"/>
              <w:rPr>
                <w:rFonts w:eastAsia="Calibri" w:cs="Times New Roman"/>
                <w:sz w:val="24"/>
                <w:szCs w:val="24"/>
              </w:rPr>
            </w:pPr>
            <w:r w:rsidRPr="0010002D">
              <w:rPr>
                <w:rFonts w:eastAsia="Calibri" w:cs="Times New Roman"/>
                <w:bCs/>
                <w:iCs/>
                <w:sz w:val="24"/>
                <w:szCs w:val="24"/>
              </w:rPr>
              <w:t>Netaikoma,</w:t>
            </w:r>
            <w:r w:rsidRPr="0010002D">
              <w:rPr>
                <w:rFonts w:eastAsia="Calibri" w:cs="Times New Roman"/>
                <w:bCs/>
                <w:sz w:val="24"/>
                <w:szCs w:val="24"/>
              </w:rPr>
              <w:t xml:space="preserve"> nes nenumatoma kurti ar modernizuoti infrastruktūros ,,</w:t>
            </w:r>
            <w:proofErr w:type="spellStart"/>
            <w:r w:rsidRPr="0010002D">
              <w:rPr>
                <w:rFonts w:eastAsia="Calibri" w:cs="Times New Roman"/>
                <w:bCs/>
                <w:sz w:val="24"/>
                <w:szCs w:val="24"/>
              </w:rPr>
              <w:t>Natura</w:t>
            </w:r>
            <w:proofErr w:type="spellEnd"/>
            <w:r w:rsidRPr="0010002D">
              <w:rPr>
                <w:rFonts w:eastAsia="Calibri" w:cs="Times New Roman"/>
                <w:bCs/>
                <w:sz w:val="24"/>
                <w:szCs w:val="24"/>
              </w:rPr>
              <w:t xml:space="preserve"> 2000“, UNESCO pasaulinio paveldo ar kitose saugomose teritorijose</w:t>
            </w:r>
            <w:r w:rsidRPr="0010002D">
              <w:rPr>
                <w:rFonts w:eastAsia="Calibri" w:cs="Times New Roman"/>
                <w:bCs/>
                <w:iCs/>
                <w:sz w:val="24"/>
                <w:szCs w:val="24"/>
              </w:rPr>
              <w:t>.</w:t>
            </w:r>
          </w:p>
          <w:p w:rsidR="0010002D" w:rsidRPr="0010002D" w:rsidRDefault="0010002D" w:rsidP="0010002D">
            <w:pPr>
              <w:spacing w:after="0" w:line="240" w:lineRule="auto"/>
              <w:jc w:val="both"/>
              <w:rPr>
                <w:rFonts w:eastAsia="Calibri" w:cs="Times New Roman"/>
                <w:sz w:val="24"/>
                <w:szCs w:val="24"/>
              </w:rPr>
            </w:pPr>
          </w:p>
        </w:tc>
      </w:tr>
    </w:tbl>
    <w:p w:rsidR="0010002D" w:rsidRPr="0010002D" w:rsidRDefault="0010002D" w:rsidP="0010002D">
      <w:pPr>
        <w:spacing w:after="0" w:line="240" w:lineRule="auto"/>
        <w:rPr>
          <w:rFonts w:eastAsia="Times New Roman" w:cs="Times New Roman"/>
          <w:sz w:val="24"/>
          <w:szCs w:val="24"/>
        </w:rPr>
      </w:pPr>
    </w:p>
    <w:p w:rsidR="0010002D" w:rsidRPr="0010002D" w:rsidRDefault="0010002D" w:rsidP="0010002D">
      <w:pPr>
        <w:spacing w:after="0" w:line="276" w:lineRule="auto"/>
        <w:jc w:val="center"/>
        <w:rPr>
          <w:rFonts w:eastAsia="Times New Roman" w:cs="Times New Roman"/>
          <w:sz w:val="24"/>
          <w:szCs w:val="24"/>
          <w:u w:val="single"/>
        </w:rPr>
      </w:pPr>
      <w:r w:rsidRPr="0010002D">
        <w:rPr>
          <w:rFonts w:eastAsia="Calibri" w:cs="Times New Roman"/>
          <w:sz w:val="24"/>
          <w:szCs w:val="24"/>
          <w:u w:val="single"/>
        </w:rPr>
        <w:t>________________</w:t>
      </w:r>
    </w:p>
    <w:p w:rsidR="006B1375" w:rsidRDefault="006B1375" w:rsidP="0010002D"/>
    <w:sectPr w:rsidR="006B1375" w:rsidSect="0010002D">
      <w:headerReference w:type="default" r:id="rId8"/>
      <w:pgSz w:w="16838" w:h="11906" w:orient="landscape"/>
      <w:pgMar w:top="1701" w:right="962" w:bottom="567" w:left="1843"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2C9" w:rsidRDefault="00B132C9" w:rsidP="0010002D">
      <w:pPr>
        <w:spacing w:after="0" w:line="240" w:lineRule="auto"/>
      </w:pPr>
      <w:r>
        <w:separator/>
      </w:r>
    </w:p>
  </w:endnote>
  <w:endnote w:type="continuationSeparator" w:id="0">
    <w:p w:rsidR="00B132C9" w:rsidRDefault="00B132C9" w:rsidP="001000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2C9" w:rsidRDefault="00B132C9" w:rsidP="0010002D">
      <w:pPr>
        <w:spacing w:after="0" w:line="240" w:lineRule="auto"/>
      </w:pPr>
      <w:r>
        <w:separator/>
      </w:r>
    </w:p>
  </w:footnote>
  <w:footnote w:type="continuationSeparator" w:id="0">
    <w:p w:rsidR="00B132C9" w:rsidRDefault="00B132C9" w:rsidP="001000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28674"/>
      <w:docPartObj>
        <w:docPartGallery w:val="Page Numbers (Top of Page)"/>
        <w:docPartUnique/>
      </w:docPartObj>
    </w:sdtPr>
    <w:sdtContent>
      <w:p w:rsidR="0010002D" w:rsidRDefault="0010002D">
        <w:pPr>
          <w:pStyle w:val="Antrats"/>
          <w:jc w:val="center"/>
        </w:pPr>
        <w:r>
          <w:fldChar w:fldCharType="begin"/>
        </w:r>
        <w:r>
          <w:instrText>PAGE   \* MERGEFORMAT</w:instrText>
        </w:r>
        <w:r>
          <w:fldChar w:fldCharType="separate"/>
        </w:r>
        <w:r>
          <w:rPr>
            <w:noProof/>
          </w:rPr>
          <w:t>4</w:t>
        </w:r>
        <w:r>
          <w:fldChar w:fldCharType="end"/>
        </w:r>
      </w:p>
    </w:sdtContent>
  </w:sdt>
  <w:p w:rsidR="0010002D" w:rsidRDefault="0010002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02D"/>
    <w:rsid w:val="0010002D"/>
    <w:rsid w:val="006B1375"/>
    <w:rsid w:val="00B132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E69BA4-1740-4114-943D-442DE5E08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0002D"/>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10002D"/>
  </w:style>
  <w:style w:type="paragraph" w:styleId="Porat">
    <w:name w:val="footer"/>
    <w:basedOn w:val="prastasis"/>
    <w:link w:val="PoratDiagrama"/>
    <w:uiPriority w:val="99"/>
    <w:unhideWhenUsed/>
    <w:rsid w:val="0010002D"/>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1000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eur-lex.europa.eu/legal-content/LIT/TXT/?uri=CELEX:32088R2019&amp;locale=l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ur-lex.europa.eu/legal-content/LIT/TXT/?uri=CELEX:3852R2020&amp;locale=l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5189</Words>
  <Characters>2959</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2023-11-07T06:43:00Z</dcterms:created>
  <dcterms:modified xsi:type="dcterms:W3CDTF">2023-11-07T06:45:00Z</dcterms:modified>
</cp:coreProperties>
</file>