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36 pr."/>
        <w:tag w:val="part_cad94e60f8cc4004916c29cb8c73f501"/>
        <w:id w:val="1506704035"/>
      </w:sdtPr>
      <w:sdtContent>
        <w:p w14:paraId="73CCC550" w14:textId="45738D5B" w:rsidR="008F665D" w:rsidRDefault="008F665D" w:rsidP="008F665D">
          <w:pPr>
            <w:tabs>
              <w:tab w:val="center" w:pos="4819"/>
              <w:tab w:val="right" w:pos="9638"/>
            </w:tabs>
            <w:ind w:firstLine="9639"/>
          </w:pPr>
        </w:p>
        <w:p w14:paraId="2FC9168F" w14:textId="63244446" w:rsidR="008F665D" w:rsidRDefault="008F665D" w:rsidP="008F665D"/>
      </w:sdtContent>
    </w:sdt>
    <w:sdt>
      <w:sdtPr>
        <w:alias w:val="pr."/>
        <w:tag w:val="part_cc5e05235f324525a3c6fd59ad459f0e"/>
        <w:id w:val="1524202275"/>
      </w:sdtPr>
      <w:sdtContent>
        <w:p w14:paraId="709F8FAF" w14:textId="07BE0536" w:rsidR="008F665D" w:rsidRDefault="008F665D" w:rsidP="008F665D">
          <w:pPr>
            <w:ind w:firstLine="10206"/>
            <w:rPr>
              <w:szCs w:val="24"/>
            </w:rPr>
          </w:pPr>
          <w:r>
            <w:rPr>
              <w:szCs w:val="24"/>
            </w:rPr>
            <w:t xml:space="preserve">2022–2030 metų sveikatos priežiūros kokybės ir </w:t>
          </w:r>
        </w:p>
        <w:p w14:paraId="345812ED" w14:textId="77777777" w:rsidR="008F665D" w:rsidRDefault="008F665D" w:rsidP="008F665D">
          <w:pPr>
            <w:ind w:firstLine="10206"/>
            <w:rPr>
              <w:szCs w:val="24"/>
            </w:rPr>
          </w:pPr>
          <w:r>
            <w:rPr>
              <w:szCs w:val="24"/>
            </w:rPr>
            <w:t xml:space="preserve">efektyvumo didinimo plėtros programos pažangos </w:t>
          </w:r>
        </w:p>
        <w:p w14:paraId="31DAECBC" w14:textId="77777777" w:rsidR="008F665D" w:rsidRDefault="008F665D" w:rsidP="008F665D">
          <w:pPr>
            <w:ind w:firstLine="10206"/>
            <w:rPr>
              <w:szCs w:val="24"/>
            </w:rPr>
          </w:pPr>
          <w:r>
            <w:rPr>
              <w:szCs w:val="24"/>
            </w:rPr>
            <w:t xml:space="preserve">priemonės Nr. 11-002-11-01 „Gerinti sveikatos </w:t>
          </w:r>
        </w:p>
        <w:p w14:paraId="36B8AB95" w14:textId="77777777" w:rsidR="008F665D" w:rsidRDefault="008F665D" w:rsidP="008F665D">
          <w:pPr>
            <w:ind w:firstLine="10206"/>
            <w:rPr>
              <w:szCs w:val="24"/>
            </w:rPr>
          </w:pPr>
          <w:r>
            <w:rPr>
              <w:szCs w:val="24"/>
            </w:rPr>
            <w:t xml:space="preserve">priežiūros paslaugų kokybę ir prieinamumą“ </w:t>
          </w:r>
        </w:p>
        <w:p w14:paraId="659B5150" w14:textId="77777777" w:rsidR="008F665D" w:rsidRDefault="008F665D" w:rsidP="008F665D">
          <w:pPr>
            <w:ind w:firstLine="10206"/>
            <w:rPr>
              <w:szCs w:val="24"/>
            </w:rPr>
          </w:pPr>
          <w:r>
            <w:rPr>
              <w:szCs w:val="24"/>
            </w:rPr>
            <w:t>projekto finansavimo sąlygų aprašo Nr. 36</w:t>
          </w:r>
        </w:p>
        <w:p w14:paraId="128B5045" w14:textId="77777777" w:rsidR="008F665D" w:rsidRDefault="008F665D" w:rsidP="008F665D">
          <w:pPr>
            <w:tabs>
              <w:tab w:val="left" w:pos="10065"/>
            </w:tabs>
            <w:ind w:firstLine="10206"/>
            <w:rPr>
              <w:szCs w:val="24"/>
            </w:rPr>
          </w:pPr>
          <w:r>
            <w:rPr>
              <w:szCs w:val="24"/>
            </w:rPr>
            <w:t>priedas</w:t>
          </w:r>
        </w:p>
        <w:p w14:paraId="05931141" w14:textId="77777777" w:rsidR="008F665D" w:rsidRDefault="008F665D" w:rsidP="008F665D">
          <w:pPr>
            <w:jc w:val="center"/>
            <w:rPr>
              <w:szCs w:val="24"/>
            </w:rPr>
          </w:pPr>
        </w:p>
        <w:p w14:paraId="7609A834" w14:textId="77777777" w:rsidR="008F665D" w:rsidRDefault="008F665D" w:rsidP="008F665D">
          <w:pPr>
            <w:jc w:val="center"/>
            <w:rPr>
              <w:rFonts w:eastAsia="Calibri"/>
              <w:b/>
              <w:bCs/>
              <w:szCs w:val="24"/>
            </w:rPr>
          </w:pPr>
        </w:p>
        <w:p w14:paraId="6B86B891" w14:textId="77777777" w:rsidR="008F665D" w:rsidRDefault="008F665D" w:rsidP="008F665D">
          <w:pPr>
            <w:jc w:val="center"/>
            <w:rPr>
              <w:rFonts w:eastAsia="Calibri"/>
              <w:b/>
              <w:bCs/>
              <w:szCs w:val="24"/>
            </w:rPr>
          </w:pPr>
          <w:sdt>
            <w:sdtPr>
              <w:alias w:val="Pavadinimas"/>
              <w:tag w:val="title_cc5e05235f324525a3c6fd59ad459f0e"/>
              <w:id w:val="245155819"/>
            </w:sdtPr>
            <w:sdtContent>
              <w:r>
                <w:rPr>
                  <w:rFonts w:eastAsia="Calibri"/>
                  <w:b/>
                  <w:bCs/>
                  <w:szCs w:val="24"/>
                </w:rPr>
                <w:t>PROJEKTO ATITIKTIES REIKŠMINGOS ŽALOS NEDARYMO HORIZONTALIAJAM PRINCIPUI VERTINIMO REIKALAVIMŲ APRAŠAS</w:t>
              </w:r>
            </w:sdtContent>
          </w:sdt>
        </w:p>
        <w:p w14:paraId="2A637F40" w14:textId="77777777" w:rsidR="008F665D" w:rsidRDefault="008F665D" w:rsidP="008F665D">
          <w:pPr>
            <w:jc w:val="center"/>
            <w:rPr>
              <w:rFonts w:eastAsia="Calibri"/>
              <w:b/>
              <w:bCs/>
              <w:szCs w:val="24"/>
            </w:rPr>
          </w:pPr>
        </w:p>
        <w:p w14:paraId="4615755E" w14:textId="77777777" w:rsidR="008F665D" w:rsidRDefault="008F665D" w:rsidP="008F665D">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40447D0D" w14:textId="77777777" w:rsidR="008F665D" w:rsidRDefault="008F665D" w:rsidP="008F665D">
          <w:pPr>
            <w:spacing w:line="276" w:lineRule="auto"/>
            <w:jc w:val="both"/>
            <w:rPr>
              <w:rFonts w:eastAsia="Calibri"/>
              <w:bCs/>
              <w:szCs w:val="24"/>
            </w:rPr>
          </w:pPr>
          <w:r>
            <w:rPr>
              <w:rFonts w:eastAsia="Wingdings 2"/>
              <w:szCs w:val="24"/>
            </w:rPr>
            <w:sym w:font="Wingdings 2" w:char="00A3"/>
          </w:r>
          <w:r>
            <w:rPr>
              <w:szCs w:val="24"/>
            </w:rPr>
            <w:t xml:space="preserve"> </w:t>
          </w:r>
          <w:r>
            <w:rPr>
              <w:rFonts w:eastAsia="Calibri"/>
              <w:bCs/>
              <w:szCs w:val="24"/>
            </w:rPr>
            <w:t>Ekonomikos gaivinimo ir atsparumo didinimo priemonė (toliau – EGADP)</w:t>
          </w:r>
        </w:p>
        <w:p w14:paraId="1E7E36C3" w14:textId="77777777" w:rsidR="008F665D" w:rsidRDefault="008F665D" w:rsidP="008F665D">
          <w:pPr>
            <w:spacing w:line="276" w:lineRule="auto"/>
            <w:jc w:val="both"/>
            <w:rPr>
              <w:rFonts w:eastAsia="Calibri"/>
              <w:bCs/>
              <w:szCs w:val="24"/>
            </w:rPr>
          </w:pPr>
          <w:r>
            <w:rPr>
              <w:szCs w:val="24"/>
            </w:rPr>
            <w:t>X Europos Sąjungos fondų i</w:t>
          </w:r>
          <w:r>
            <w:rPr>
              <w:rFonts w:eastAsia="Calibri"/>
              <w:bCs/>
              <w:szCs w:val="24"/>
            </w:rPr>
            <w:t>nvesticijų programa (toliau – ESFIP)</w:t>
          </w:r>
        </w:p>
        <w:p w14:paraId="6B07A4EA" w14:textId="77777777" w:rsidR="008F665D" w:rsidRDefault="008F665D" w:rsidP="008F665D">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18"/>
            <w:gridCol w:w="5433"/>
          </w:tblGrid>
          <w:tr w:rsidR="008F665D" w14:paraId="4390639F" w14:textId="77777777" w:rsidTr="008F665D">
            <w:tc>
              <w:tcPr>
                <w:tcW w:w="4933" w:type="dxa"/>
              </w:tcPr>
              <w:p w14:paraId="1F4E8930" w14:textId="77777777" w:rsidR="008F665D" w:rsidRDefault="008F665D" w:rsidP="005B3144">
                <w:pPr>
                  <w:jc w:val="center"/>
                  <w:rPr>
                    <w:rFonts w:eastAsia="Calibri"/>
                    <w:b/>
                    <w:szCs w:val="24"/>
                  </w:rPr>
                </w:pPr>
                <w:r>
                  <w:rPr>
                    <w:rFonts w:eastAsia="Calibri"/>
                    <w:b/>
                    <w:szCs w:val="24"/>
                  </w:rPr>
                  <w:t>Aplinkos tikslai</w:t>
                </w:r>
              </w:p>
              <w:p w14:paraId="22F1CABC" w14:textId="77777777" w:rsidR="008F665D" w:rsidRDefault="008F665D" w:rsidP="005B3144">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hyperlink r:id="rId4" w:tgtFrame="_blank" w:history="1">
                  <w:r>
                    <w:rPr>
                      <w:color w:val="467886" w:themeColor="hyperlink"/>
                      <w:u w:val="single"/>
                    </w:rPr>
                    <w:t>(ES) 2020/852</w:t>
                  </w:r>
                </w:hyperlink>
                <w:r>
                  <w:rPr>
                    <w:rFonts w:eastAsia="Calibri"/>
                    <w:i/>
                    <w:szCs w:val="24"/>
                  </w:rPr>
                  <w:t xml:space="preserve"> dėl sistemos tvariam investavimui palengvinti sukūrimo, kuriuo iš dalies keičiamas Reglamentas </w:t>
                </w:r>
                <w:hyperlink r:id="rId5" w:tgtFrame="_blank" w:history="1">
                  <w:r>
                    <w:rPr>
                      <w:color w:val="467886" w:themeColor="hyperlink"/>
                      <w:u w:val="single"/>
                    </w:rPr>
                    <w:t>(ES) Nr. 2019/2088</w:t>
                  </w:r>
                </w:hyperlink>
                <w:r>
                  <w:t>)</w:t>
                </w:r>
              </w:p>
            </w:tc>
            <w:tc>
              <w:tcPr>
                <w:tcW w:w="4678" w:type="dxa"/>
              </w:tcPr>
              <w:p w14:paraId="30FB4F09" w14:textId="77777777" w:rsidR="008F665D" w:rsidRDefault="008F665D" w:rsidP="005B314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413E3B6" w14:textId="77777777" w:rsidR="008F665D" w:rsidRDefault="008F665D" w:rsidP="005B314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A1395FB" w14:textId="77777777" w:rsidR="008F665D" w:rsidRDefault="008F665D" w:rsidP="005B3144">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5C6DA85B" w14:textId="77777777" w:rsidR="008F665D" w:rsidRDefault="008F665D" w:rsidP="005B3144">
                <w:pPr>
                  <w:jc w:val="center"/>
                  <w:rPr>
                    <w:rFonts w:eastAsia="Calibri"/>
                    <w:b/>
                    <w:i/>
                    <w:szCs w:val="24"/>
                  </w:rPr>
                </w:pPr>
                <w:r>
                  <w:rPr>
                    <w:rFonts w:eastAsia="Calibri"/>
                    <w:b/>
                    <w:szCs w:val="24"/>
                  </w:rPr>
                  <w:t>Pagrindimo dokumentai</w:t>
                </w:r>
              </w:p>
              <w:p w14:paraId="75E093BB" w14:textId="77777777" w:rsidR="008F665D" w:rsidRDefault="008F665D" w:rsidP="005B314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8F665D" w14:paraId="2045814B" w14:textId="77777777" w:rsidTr="008F665D">
            <w:tc>
              <w:tcPr>
                <w:tcW w:w="4933" w:type="dxa"/>
              </w:tcPr>
              <w:p w14:paraId="154A99D0" w14:textId="77777777" w:rsidR="008F665D" w:rsidRDefault="008F665D" w:rsidP="005B314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69FB8C3D" w14:textId="77777777" w:rsidR="008F665D" w:rsidRDefault="008F665D" w:rsidP="005B3144">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w:t>
                </w:r>
                <w:r>
                  <w:rPr>
                    <w:rFonts w:eastAsia="Calibri"/>
                    <w:bCs/>
                    <w:iCs/>
                    <w:szCs w:val="24"/>
                  </w:rPr>
                  <w:lastRenderedPageBreak/>
                  <w:t xml:space="preserve">poveikis yra nereikšmingas, t. y. nenumatoma, kad įgyvendinamos veiklos prisidės prie šiltnamio efektą sukeliančių dujų išsiskyrimo. </w:t>
                </w:r>
              </w:p>
              <w:p w14:paraId="723FEB88" w14:textId="77777777" w:rsidR="008F665D" w:rsidRDefault="008F665D" w:rsidP="005B3144">
                <w:pPr>
                  <w:jc w:val="both"/>
                  <w:rPr>
                    <w:rFonts w:eastAsia="Calibri"/>
                    <w:bCs/>
                    <w:i/>
                    <w:szCs w:val="24"/>
                  </w:rPr>
                </w:pPr>
              </w:p>
            </w:tc>
            <w:tc>
              <w:tcPr>
                <w:tcW w:w="5387" w:type="dxa"/>
              </w:tcPr>
              <w:p w14:paraId="193BA56A" w14:textId="77777777" w:rsidR="008F665D" w:rsidRDefault="008F665D" w:rsidP="005B3144">
                <w:pPr>
                  <w:tabs>
                    <w:tab w:val="left" w:pos="589"/>
                  </w:tabs>
                  <w:jc w:val="both"/>
                  <w:rPr>
                    <w:rFonts w:eastAsia="Calibri"/>
                    <w:bCs/>
                    <w:iCs/>
                    <w:szCs w:val="24"/>
                  </w:rPr>
                </w:pPr>
                <w:r>
                  <w:rPr>
                    <w:rFonts w:eastAsia="Calibri"/>
                    <w:bCs/>
                    <w:iCs/>
                    <w:szCs w:val="24"/>
                  </w:rPr>
                  <w:lastRenderedPageBreak/>
                  <w:t xml:space="preserve">Netaikoma, nes priemonės veiklos susijusios su sveikatos priežiūros specialistų (gydytojų, slaugytojų, vaistininkų ir kitų sveikatos priežiūros srityje dirbančių specialistų) kvalifikacijos tobulinimo mokymais. </w:t>
                </w:r>
                <w:r>
                  <w:rPr>
                    <w:rFonts w:eastAsia="Calibri"/>
                    <w:bCs/>
                    <w:iCs/>
                    <w:szCs w:val="24"/>
                  </w:rPr>
                  <w:lastRenderedPageBreak/>
                  <w:t>Planuojamos veiklos nėra susijusios su infrastruktūros statyba ar kitais veiksniais, galinčiais sukelti neigiamą poveikį klimatui, žmonių sveikatai, aplinkai ar turtui.</w:t>
                </w:r>
              </w:p>
            </w:tc>
          </w:tr>
          <w:tr w:rsidR="008F665D" w14:paraId="09C71F6A" w14:textId="77777777" w:rsidTr="008F665D">
            <w:tc>
              <w:tcPr>
                <w:tcW w:w="4933" w:type="dxa"/>
              </w:tcPr>
              <w:p w14:paraId="257DCD0D" w14:textId="77777777" w:rsidR="008F665D" w:rsidRDefault="008F665D" w:rsidP="005B3144">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6630250A" w14:textId="77777777" w:rsidR="008F665D" w:rsidRDefault="008F665D" w:rsidP="005B31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klimatui, žmonėms, gamtai ar turtui.</w:t>
                </w:r>
              </w:p>
              <w:p w14:paraId="6009EF1C" w14:textId="77777777" w:rsidR="008F665D" w:rsidRDefault="008F665D" w:rsidP="005B3144">
                <w:pPr>
                  <w:jc w:val="both"/>
                  <w:rPr>
                    <w:rFonts w:eastAsia="Calibri"/>
                    <w:bCs/>
                    <w:szCs w:val="24"/>
                  </w:rPr>
                </w:pPr>
              </w:p>
            </w:tc>
            <w:tc>
              <w:tcPr>
                <w:tcW w:w="5387" w:type="dxa"/>
              </w:tcPr>
              <w:p w14:paraId="7826F663" w14:textId="77777777" w:rsidR="008F665D" w:rsidRDefault="008F665D" w:rsidP="005B3144">
                <w:pPr>
                  <w:tabs>
                    <w:tab w:val="left" w:pos="589"/>
                  </w:tabs>
                  <w:jc w:val="both"/>
                  <w:rPr>
                    <w:rFonts w:eastAsia="Calibri"/>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r w:rsidR="008F665D" w14:paraId="4BEC1E77" w14:textId="77777777" w:rsidTr="008F665D">
            <w:tc>
              <w:tcPr>
                <w:tcW w:w="4933" w:type="dxa"/>
              </w:tcPr>
              <w:p w14:paraId="370CEB44" w14:textId="77777777" w:rsidR="008F665D" w:rsidRDefault="008F665D" w:rsidP="005B314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05AA6DAB" w14:textId="77777777" w:rsidR="008F665D" w:rsidRDefault="008F665D" w:rsidP="005B3144">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p w14:paraId="763DE40D" w14:textId="77777777" w:rsidR="008F665D" w:rsidRDefault="008F665D" w:rsidP="005B3144">
                <w:pPr>
                  <w:jc w:val="both"/>
                  <w:rPr>
                    <w:rFonts w:eastAsia="Calibri"/>
                    <w:szCs w:val="24"/>
                  </w:rPr>
                </w:pPr>
              </w:p>
            </w:tc>
            <w:tc>
              <w:tcPr>
                <w:tcW w:w="5387" w:type="dxa"/>
              </w:tcPr>
              <w:p w14:paraId="3F62C9FF" w14:textId="77777777" w:rsidR="008F665D" w:rsidRDefault="008F665D" w:rsidP="005B3144">
                <w:pPr>
                  <w:tabs>
                    <w:tab w:val="left" w:pos="589"/>
                  </w:tabs>
                  <w:jc w:val="both"/>
                  <w:rPr>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r w:rsidR="008F665D" w14:paraId="098CCBBA" w14:textId="77777777" w:rsidTr="008F665D">
            <w:tc>
              <w:tcPr>
                <w:tcW w:w="4933" w:type="dxa"/>
              </w:tcPr>
              <w:p w14:paraId="3C59AB79" w14:textId="77777777" w:rsidR="008F665D" w:rsidRDefault="008F665D" w:rsidP="005B3144">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7141E8B" w14:textId="77777777" w:rsidR="008F665D" w:rsidRDefault="008F665D" w:rsidP="005B31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w:t>
                </w:r>
                <w:r>
                  <w:rPr>
                    <w:bCs/>
                    <w:szCs w:val="24"/>
                  </w:rPr>
                  <w:lastRenderedPageBreak/>
                  <w:t xml:space="preserve">galėtų daryti žalą </w:t>
                </w:r>
                <w:r>
                  <w:rPr>
                    <w:bCs/>
                    <w:szCs w:val="24"/>
                    <w:shd w:val="clear" w:color="auto" w:fill="FFFFFF"/>
                  </w:rPr>
                  <w:t>žiedinei ekonomikai</w:t>
                </w:r>
                <w:r>
                  <w:rPr>
                    <w:bCs/>
                    <w:szCs w:val="24"/>
                  </w:rPr>
                  <w:t>, įskaitant atliekų prevenciją ir perdirbimą. Nenumatoma, kad įgyvendinant projektą galėtų susidaryti atliekų.</w:t>
                </w:r>
              </w:p>
              <w:p w14:paraId="39E48F51" w14:textId="77777777" w:rsidR="008F665D" w:rsidRDefault="008F665D" w:rsidP="005B3144">
                <w:pPr>
                  <w:jc w:val="both"/>
                  <w:rPr>
                    <w:rFonts w:eastAsia="Calibri"/>
                    <w:bCs/>
                    <w:szCs w:val="24"/>
                  </w:rPr>
                </w:pPr>
              </w:p>
            </w:tc>
            <w:tc>
              <w:tcPr>
                <w:tcW w:w="5387" w:type="dxa"/>
              </w:tcPr>
              <w:p w14:paraId="105AE195" w14:textId="77777777" w:rsidR="008F665D" w:rsidRDefault="008F665D" w:rsidP="005B3144">
                <w:pPr>
                  <w:jc w:val="both"/>
                  <w:rPr>
                    <w:rFonts w:eastAsia="Calibri"/>
                    <w:szCs w:val="24"/>
                  </w:rPr>
                </w:pPr>
                <w:r>
                  <w:rPr>
                    <w:rFonts w:eastAsia="Calibri"/>
                    <w:bCs/>
                    <w:iCs/>
                    <w:szCs w:val="24"/>
                  </w:rPr>
                  <w:lastRenderedPageBreak/>
                  <w:t xml:space="preserve">Netaikoma, nes priemonės veiklos susijusios su sveikatos priežiūros specialistų (gydytojų, slaugytojų, vaistininkų ir kitų sveikatos priežiūros srityje dirbančių specialistų) kvalifikacijos tobulinimo mokymais. Planuojamos veiklos nėra susijusios su infrastruktūros </w:t>
                </w:r>
                <w:r>
                  <w:rPr>
                    <w:rFonts w:eastAsia="Calibri"/>
                    <w:bCs/>
                    <w:iCs/>
                    <w:szCs w:val="24"/>
                  </w:rPr>
                  <w:lastRenderedPageBreak/>
                  <w:t>statyba ar kitais veiksniais, galinčiais sukelti neigiamą poveikį klimatui, žmonių sveikatai, aplinkai ar turtui.</w:t>
                </w:r>
              </w:p>
            </w:tc>
          </w:tr>
          <w:tr w:rsidR="008F665D" w14:paraId="6F5CA09C" w14:textId="77777777" w:rsidTr="008F665D">
            <w:tc>
              <w:tcPr>
                <w:tcW w:w="4933" w:type="dxa"/>
              </w:tcPr>
              <w:p w14:paraId="797053B1" w14:textId="77777777" w:rsidR="008F665D" w:rsidRDefault="008F665D" w:rsidP="005B314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6547A52F" w14:textId="77777777" w:rsidR="008F665D" w:rsidRDefault="008F665D" w:rsidP="005B31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0898EDE5" w14:textId="77777777" w:rsidR="008F665D" w:rsidRDefault="008F665D" w:rsidP="005B3144">
                <w:pPr>
                  <w:jc w:val="both"/>
                  <w:rPr>
                    <w:rFonts w:eastAsia="Calibri"/>
                    <w:szCs w:val="24"/>
                  </w:rPr>
                </w:pPr>
              </w:p>
            </w:tc>
            <w:tc>
              <w:tcPr>
                <w:tcW w:w="5387" w:type="dxa"/>
              </w:tcPr>
              <w:p w14:paraId="6DEB1A4B" w14:textId="77777777" w:rsidR="008F665D" w:rsidRDefault="008F665D" w:rsidP="005B3144">
                <w:pPr>
                  <w:jc w:val="both"/>
                  <w:rPr>
                    <w:rFonts w:eastAsia="Calibri"/>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r w:rsidR="008F665D" w14:paraId="05023E92" w14:textId="77777777" w:rsidTr="008F665D">
            <w:tc>
              <w:tcPr>
                <w:tcW w:w="4933" w:type="dxa"/>
              </w:tcPr>
              <w:p w14:paraId="4F8A7A21" w14:textId="77777777" w:rsidR="008F665D" w:rsidRDefault="008F665D" w:rsidP="005B3144">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0E7C2EC4" w14:textId="77777777" w:rsidR="008F665D" w:rsidRDefault="008F665D" w:rsidP="005B31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4D1AC276" w14:textId="77777777" w:rsidR="008F665D" w:rsidRDefault="008F665D" w:rsidP="005B3144">
                <w:pPr>
                  <w:jc w:val="both"/>
                  <w:rPr>
                    <w:bCs/>
                    <w:szCs w:val="24"/>
                  </w:rPr>
                </w:pPr>
              </w:p>
            </w:tc>
            <w:tc>
              <w:tcPr>
                <w:tcW w:w="5387" w:type="dxa"/>
              </w:tcPr>
              <w:p w14:paraId="16A2F79F" w14:textId="77777777" w:rsidR="008F665D" w:rsidRDefault="008F665D" w:rsidP="005B3144">
                <w:pPr>
                  <w:tabs>
                    <w:tab w:val="left" w:pos="589"/>
                  </w:tabs>
                  <w:jc w:val="both"/>
                  <w:rPr>
                    <w:rFonts w:eastAsia="Calibri"/>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bl>
        <w:p w14:paraId="4227162B" w14:textId="77777777" w:rsidR="008F665D" w:rsidRDefault="008F665D" w:rsidP="008F665D">
          <w:pPr>
            <w:spacing w:line="276" w:lineRule="auto"/>
            <w:rPr>
              <w:sz w:val="22"/>
              <w:szCs w:val="22"/>
            </w:rPr>
          </w:pPr>
        </w:p>
        <w:sdt>
          <w:sdtPr>
            <w:alias w:val="pabaiga"/>
            <w:tag w:val="part_4a1a53ffb4964312bf2806ca0ebb799d"/>
            <w:id w:val="-115839221"/>
          </w:sdtPr>
          <w:sdtContent>
            <w:p w14:paraId="708A5320" w14:textId="77777777" w:rsidR="008F665D" w:rsidRDefault="008F665D" w:rsidP="008F665D">
              <w:pPr>
                <w:jc w:val="center"/>
                <w:rPr>
                  <w:sz w:val="22"/>
                  <w:szCs w:val="22"/>
                </w:rPr>
              </w:pPr>
              <w:r>
                <w:rPr>
                  <w:rFonts w:eastAsia="Calibri"/>
                  <w:szCs w:val="24"/>
                </w:rPr>
                <w:t>________________</w:t>
              </w:r>
            </w:p>
            <w:p w14:paraId="05A3D4DC" w14:textId="77777777" w:rsidR="008F665D" w:rsidRDefault="008F665D" w:rsidP="008F665D">
              <w:pPr>
                <w:rPr>
                  <w:szCs w:val="24"/>
                </w:rPr>
              </w:pPr>
            </w:p>
          </w:sdtContent>
        </w:sdt>
      </w:sdtContent>
    </w:sdt>
    <w:p w14:paraId="4F5CFF83" w14:textId="77777777" w:rsidR="00755813" w:rsidRDefault="00755813"/>
    <w:sectPr w:rsidR="00755813" w:rsidSect="008F665D">
      <w:headerReference w:type="first" r:id="rId6"/>
      <w:pgSz w:w="16838" w:h="11906" w:orient="landscape"/>
      <w:pgMar w:top="1701" w:right="567" w:bottom="1134" w:left="1134" w:header="567" w:footer="567" w:gutter="0"/>
      <w:pgNumType w:start="1"/>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F72F4" w14:textId="77777777" w:rsidR="008F665D" w:rsidRDefault="008F665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65D"/>
    <w:rsid w:val="0068476B"/>
    <w:rsid w:val="006B17BD"/>
    <w:rsid w:val="00755813"/>
    <w:rsid w:val="008F66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343CA"/>
  <w15:chartTrackingRefBased/>
  <w15:docId w15:val="{03F08514-7B8E-4551-B998-6F5E1244B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8F665D"/>
    <w:pPr>
      <w:spacing w:after="0" w:line="240" w:lineRule="auto"/>
    </w:pPr>
    <w:rPr>
      <w:rFonts w:ascii="Times New Roman" w:eastAsia="Times New Roman" w:hAnsi="Times New Roman" w:cs="Times New Roman"/>
      <w:kern w:val="0"/>
      <w:szCs w:val="20"/>
      <w14:ligatures w14:val="none"/>
    </w:rPr>
  </w:style>
  <w:style w:type="paragraph" w:styleId="Antrat1">
    <w:name w:val="heading 1"/>
    <w:basedOn w:val="prastasis"/>
    <w:next w:val="prastasis"/>
    <w:link w:val="Antrat1Diagrama"/>
    <w:uiPriority w:val="9"/>
    <w:qFormat/>
    <w:rsid w:val="008F665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Antrat2">
    <w:name w:val="heading 2"/>
    <w:basedOn w:val="prastasis"/>
    <w:next w:val="prastasis"/>
    <w:link w:val="Antrat2Diagrama"/>
    <w:uiPriority w:val="9"/>
    <w:semiHidden/>
    <w:unhideWhenUsed/>
    <w:qFormat/>
    <w:rsid w:val="008F665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Antrat3">
    <w:name w:val="heading 3"/>
    <w:basedOn w:val="prastasis"/>
    <w:next w:val="prastasis"/>
    <w:link w:val="Antrat3Diagrama"/>
    <w:uiPriority w:val="9"/>
    <w:semiHidden/>
    <w:unhideWhenUsed/>
    <w:qFormat/>
    <w:rsid w:val="008F665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Antrat4">
    <w:name w:val="heading 4"/>
    <w:basedOn w:val="prastasis"/>
    <w:next w:val="prastasis"/>
    <w:link w:val="Antrat4Diagrama"/>
    <w:uiPriority w:val="9"/>
    <w:semiHidden/>
    <w:unhideWhenUsed/>
    <w:qFormat/>
    <w:rsid w:val="008F665D"/>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Antrat5">
    <w:name w:val="heading 5"/>
    <w:basedOn w:val="prastasis"/>
    <w:next w:val="prastasis"/>
    <w:link w:val="Antrat5Diagrama"/>
    <w:uiPriority w:val="9"/>
    <w:semiHidden/>
    <w:unhideWhenUsed/>
    <w:qFormat/>
    <w:rsid w:val="008F665D"/>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Antrat6">
    <w:name w:val="heading 6"/>
    <w:basedOn w:val="prastasis"/>
    <w:next w:val="prastasis"/>
    <w:link w:val="Antrat6Diagrama"/>
    <w:uiPriority w:val="9"/>
    <w:semiHidden/>
    <w:unhideWhenUsed/>
    <w:qFormat/>
    <w:rsid w:val="008F665D"/>
    <w:pPr>
      <w:keepNext/>
      <w:keepLines/>
      <w:spacing w:before="4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Antrat7">
    <w:name w:val="heading 7"/>
    <w:basedOn w:val="prastasis"/>
    <w:next w:val="prastasis"/>
    <w:link w:val="Antrat7Diagrama"/>
    <w:uiPriority w:val="9"/>
    <w:semiHidden/>
    <w:unhideWhenUsed/>
    <w:qFormat/>
    <w:rsid w:val="008F665D"/>
    <w:pPr>
      <w:keepNext/>
      <w:keepLines/>
      <w:spacing w:before="4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Antrat8">
    <w:name w:val="heading 8"/>
    <w:basedOn w:val="prastasis"/>
    <w:next w:val="prastasis"/>
    <w:link w:val="Antrat8Diagrama"/>
    <w:uiPriority w:val="9"/>
    <w:semiHidden/>
    <w:unhideWhenUsed/>
    <w:qFormat/>
    <w:rsid w:val="008F665D"/>
    <w:pPr>
      <w:keepNext/>
      <w:keepLines/>
      <w:spacing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Antrat9">
    <w:name w:val="heading 9"/>
    <w:basedOn w:val="prastasis"/>
    <w:next w:val="prastasis"/>
    <w:link w:val="Antrat9Diagrama"/>
    <w:uiPriority w:val="9"/>
    <w:semiHidden/>
    <w:unhideWhenUsed/>
    <w:qFormat/>
    <w:rsid w:val="008F665D"/>
    <w:pPr>
      <w:keepNext/>
      <w:keepLines/>
      <w:spacing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8F665D"/>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8F665D"/>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8F665D"/>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8F665D"/>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8F665D"/>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8F665D"/>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8F665D"/>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8F665D"/>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8F665D"/>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8F665D"/>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PavadinimasDiagrama">
    <w:name w:val="Pavadinimas Diagrama"/>
    <w:basedOn w:val="Numatytasispastraiposriftas"/>
    <w:link w:val="Pavadinimas"/>
    <w:uiPriority w:val="10"/>
    <w:rsid w:val="008F665D"/>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8F665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aantratDiagrama">
    <w:name w:val="Paantraštė Diagrama"/>
    <w:basedOn w:val="Numatytasispastraiposriftas"/>
    <w:link w:val="Paantrat"/>
    <w:uiPriority w:val="11"/>
    <w:rsid w:val="008F665D"/>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8F665D"/>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CitataDiagrama">
    <w:name w:val="Citata Diagrama"/>
    <w:basedOn w:val="Numatytasispastraiposriftas"/>
    <w:link w:val="Citata"/>
    <w:uiPriority w:val="29"/>
    <w:rsid w:val="008F665D"/>
    <w:rPr>
      <w:i/>
      <w:iCs/>
      <w:color w:val="404040" w:themeColor="text1" w:themeTint="BF"/>
    </w:rPr>
  </w:style>
  <w:style w:type="paragraph" w:styleId="Sraopastraipa">
    <w:name w:val="List Paragraph"/>
    <w:basedOn w:val="prastasis"/>
    <w:uiPriority w:val="34"/>
    <w:qFormat/>
    <w:rsid w:val="008F665D"/>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Rykuspabraukimas">
    <w:name w:val="Intense Emphasis"/>
    <w:basedOn w:val="Numatytasispastraiposriftas"/>
    <w:uiPriority w:val="21"/>
    <w:qFormat/>
    <w:rsid w:val="008F665D"/>
    <w:rPr>
      <w:i/>
      <w:iCs/>
      <w:color w:val="0F4761" w:themeColor="accent1" w:themeShade="BF"/>
    </w:rPr>
  </w:style>
  <w:style w:type="paragraph" w:styleId="Iskirtacitata">
    <w:name w:val="Intense Quote"/>
    <w:basedOn w:val="prastasis"/>
    <w:next w:val="prastasis"/>
    <w:link w:val="IskirtacitataDiagrama"/>
    <w:uiPriority w:val="30"/>
    <w:qFormat/>
    <w:rsid w:val="008F665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8F665D"/>
    <w:rPr>
      <w:i/>
      <w:iCs/>
      <w:color w:val="0F4761" w:themeColor="accent1" w:themeShade="BF"/>
    </w:rPr>
  </w:style>
  <w:style w:type="character" w:styleId="Rykinuoroda">
    <w:name w:val="Intense Reference"/>
    <w:basedOn w:val="Numatytasispastraiposriftas"/>
    <w:uiPriority w:val="32"/>
    <w:qFormat/>
    <w:rsid w:val="008F665D"/>
    <w:rPr>
      <w:b/>
      <w:bCs/>
      <w:smallCaps/>
      <w:color w:val="0F4761" w:themeColor="accent1" w:themeShade="BF"/>
      <w:spacing w:val="5"/>
    </w:rPr>
  </w:style>
  <w:style w:type="paragraph" w:styleId="Antrats">
    <w:name w:val="header"/>
    <w:basedOn w:val="prastasis"/>
    <w:link w:val="AntratsDiagrama"/>
    <w:uiPriority w:val="99"/>
    <w:unhideWhenUsed/>
    <w:rsid w:val="008F665D"/>
    <w:pPr>
      <w:tabs>
        <w:tab w:val="center" w:pos="4819"/>
        <w:tab w:val="right" w:pos="9638"/>
      </w:tabs>
    </w:pPr>
  </w:style>
  <w:style w:type="character" w:customStyle="1" w:styleId="AntratsDiagrama">
    <w:name w:val="Antraštės Diagrama"/>
    <w:basedOn w:val="Numatytasispastraiposriftas"/>
    <w:link w:val="Antrats"/>
    <w:uiPriority w:val="99"/>
    <w:rsid w:val="008F665D"/>
    <w:rPr>
      <w:rFonts w:ascii="Times New Roman" w:eastAsia="Times New Roman" w:hAnsi="Times New Roman" w:cs="Times New Roman"/>
      <w:kern w:val="0"/>
      <w:szCs w:val="20"/>
      <w14:ligatures w14:val="none"/>
    </w:rPr>
  </w:style>
  <w:style w:type="paragraph" w:styleId="Porat">
    <w:name w:val="footer"/>
    <w:basedOn w:val="prastasis"/>
    <w:link w:val="PoratDiagrama"/>
    <w:unhideWhenUsed/>
    <w:rsid w:val="008F665D"/>
    <w:pPr>
      <w:tabs>
        <w:tab w:val="center" w:pos="4819"/>
        <w:tab w:val="right" w:pos="9638"/>
      </w:tabs>
    </w:pPr>
  </w:style>
  <w:style w:type="character" w:customStyle="1" w:styleId="PoratDiagrama">
    <w:name w:val="Poraštė Diagrama"/>
    <w:basedOn w:val="Numatytasispastraiposriftas"/>
    <w:link w:val="Porat"/>
    <w:rsid w:val="008F665D"/>
    <w:rPr>
      <w:rFonts w:ascii="Times New Roman" w:eastAsia="Times New Roman" w:hAnsi="Times New Roman"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http://eur-lex.europa.eu/legal-content/LIT/TXT/?uri=CELEX:32088R2019&amp;locale=lt" TargetMode="External"/><Relationship Id="rId4" Type="http://schemas.openxmlformats.org/officeDocument/2006/relationships/hyperlink" Target="http://eur-lex.europa.eu/legal-content/LIT/TXT/?uri=CELEX:32020R0852&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4196</Words>
  <Characters>2392</Characters>
  <Application>Microsoft Office Word</Application>
  <DocSecurity>0</DocSecurity>
  <Lines>19</Lines>
  <Paragraphs>13</Paragraphs>
  <ScaleCrop>false</ScaleCrop>
  <Company/>
  <LinksUpToDate>false</LinksUpToDate>
  <CharactersWithSpaces>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2026-04-30T07:51:00Z</dcterms:created>
  <dcterms:modified xsi:type="dcterms:W3CDTF">2026-04-30T07:53:00Z</dcterms:modified>
</cp:coreProperties>
</file>