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6 pr."/>
        <w:tag w:val="part_83dc0b6484d44a719852ca73d48ca8d1"/>
        <w:lock w:val="sdtLocked"/>
        <w:richText/>
      </w:sdtPr>
      <w:sdtContent>
        <w:p w14:paraId="4CEBE0AE" w14:textId="77777777">
          <w:pPr>
            <w:tabs>
              <w:tab w:val="center" w:pos="4986"/>
              <w:tab w:val="right" w:pos="9972"/>
            </w:tabs>
          </w:pPr>
        </w:p>
        <w:p w14:paraId="3DF3E6A1" w14:textId="77777777">
          <w:pPr>
            <w:tabs>
              <w:tab w:val="center" w:pos="4986"/>
              <w:tab w:val="right" w:pos="9972"/>
            </w:tabs>
          </w:pPr>
        </w:p>
        <w:p w14:paraId="230B838A" w14:textId="77777777">
          <w:pPr>
            <w:tabs>
              <w:tab w:val="center" w:pos="4819"/>
              <w:tab w:val="right" w:pos="9638"/>
            </w:tabs>
          </w:pPr>
        </w:p>
        <w:p w14:paraId="04B4F150" w14:textId="77777777">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5C77191">
          <w:pPr>
            <w:ind w:left="9639"/>
            <w:jc w:val="both"/>
            <w:rPr>
              <w:szCs w:val="24"/>
            </w:rPr>
          </w:pPr>
          <w:sdt>
            <w:sdtPr>
              <w:alias w:val="Numeris"/>
              <w:tag w:val="nr_83dc0b6484d44a719852ca73d48ca8d1"/>
              <w:lock w:val="sdtLocked"/>
              <w:richText/>
            </w:sdtPr>
            <w:sdtContent>
              <w:r>
                <w:rPr>
                  <w:szCs w:val="24"/>
                </w:rPr>
                <w:t>16</w:t>
              </w:r>
            </w:sdtContent>
          </w:sdt>
          <w:r>
            <w:rPr>
              <w:szCs w:val="24"/>
            </w:rPr>
            <w:t xml:space="preserve"> priedas</w:t>
          </w:r>
        </w:p>
        <w:p w14:paraId="3573DA94" w14:textId="77777777">
          <w:pPr>
            <w:jc w:val="center"/>
            <w:rPr>
              <w:i/>
              <w:szCs w:val="24"/>
            </w:rPr>
          </w:pPr>
        </w:p>
        <w:p w14:paraId="585F9CF3" w14:textId="3D80F207">
          <w:pPr>
            <w:ind w:firstLine="62"/>
            <w:jc w:val="center"/>
            <w:rPr>
              <w:b/>
              <w:bCs/>
              <w:szCs w:val="24"/>
            </w:rPr>
          </w:pPr>
          <w:sdt>
            <w:sdtPr>
              <w:alias w:val="Pavadinimas"/>
              <w:tag w:val="title_83dc0b6484d44a719852ca73d48ca8d1"/>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16</w:t>
              </w:r>
            </w:sdtContent>
          </w:sdt>
        </w:p>
        <w:p w14:paraId="75F1A7C9" w14:textId="77777777">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14:paraId="2C7FBBB7" w14:textId="77777777">
            <w:tc>
              <w:tcPr>
                <w:tcW w:w="15155" w:type="dxa"/>
                <w:gridSpan w:val="13"/>
                <w:vAlign w:val="center"/>
              </w:tcPr>
              <w:p w14:paraId="67150578" w14:textId="77777777">
                <w:pPr>
                  <w:jc w:val="center"/>
                  <w:rPr>
                    <w:b/>
                    <w:sz w:val="22"/>
                    <w:szCs w:val="22"/>
                  </w:rPr>
                </w:pPr>
                <w:r>
                  <w:rPr>
                    <w:b/>
                    <w:sz w:val="22"/>
                    <w:szCs w:val="22"/>
                  </w:rPr>
                  <w:t>VEIKLOS AR POVEIKLĖS, KURIOMS NUSTATOMOS PROJEKTŲ FINANSAVIMO SĄLYGOS</w:t>
                </w:r>
              </w:p>
            </w:tc>
          </w:tr>
          <w:tr w14:paraId="08B95E1C" w14:textId="77777777">
            <w:tc>
              <w:tcPr>
                <w:tcW w:w="1110" w:type="dxa"/>
                <w:vAlign w:val="center"/>
              </w:tcPr>
              <w:p w14:paraId="3B511D45" w14:textId="29D17F1D">
                <w:pPr>
                  <w:jc w:val="center"/>
                  <w:rPr>
                    <w:b/>
                    <w:sz w:val="20"/>
                  </w:rPr>
                </w:pPr>
                <w:r>
                  <w:rPr>
                    <w:b/>
                    <w:sz w:val="20"/>
                  </w:rPr>
                  <w:t>Veiklos ar poveiklės pavadi-nimas</w:t>
                </w:r>
              </w:p>
            </w:tc>
            <w:tc>
              <w:tcPr>
                <w:tcW w:w="1437" w:type="dxa"/>
                <w:vAlign w:val="center"/>
              </w:tcPr>
              <w:p w14:paraId="31DCA5FA" w14:textId="6942FCF1">
                <w:pPr>
                  <w:jc w:val="center"/>
                  <w:rPr>
                    <w:b/>
                    <w:sz w:val="20"/>
                  </w:rPr>
                </w:pPr>
                <w:r>
                  <w:rPr>
                    <w:b/>
                    <w:sz w:val="20"/>
                  </w:rPr>
                  <w:t>Finansavimo šaltinis</w:t>
                </w:r>
              </w:p>
            </w:tc>
            <w:tc>
              <w:tcPr>
                <w:tcW w:w="924" w:type="dxa"/>
                <w:vAlign w:val="center"/>
              </w:tcPr>
              <w:p w14:paraId="78D82D5A" w14:textId="6B949AEC">
                <w:pPr>
                  <w:jc w:val="center"/>
                  <w:rPr>
                    <w:b/>
                    <w:sz w:val="20"/>
                  </w:rPr>
                </w:pPr>
                <w:r>
                  <w:rPr>
                    <w:b/>
                    <w:bCs/>
                    <w:sz w:val="20"/>
                  </w:rPr>
                  <w:t>Priori-tetas ar kompo-nentas</w:t>
                </w:r>
              </w:p>
            </w:tc>
            <w:tc>
              <w:tcPr>
                <w:tcW w:w="1134" w:type="dxa"/>
                <w:vAlign w:val="center"/>
              </w:tcPr>
              <w:p w14:paraId="1850C51E" w14:textId="60CE2A97">
                <w:pPr>
                  <w:jc w:val="center"/>
                  <w:rPr>
                    <w:b/>
                    <w:sz w:val="20"/>
                  </w:rPr>
                </w:pPr>
                <w:r>
                  <w:rPr>
                    <w:b/>
                    <w:bCs/>
                    <w:sz w:val="20"/>
                  </w:rPr>
                  <w:t>Uždavinys ar priemonė</w:t>
                </w:r>
              </w:p>
            </w:tc>
            <w:tc>
              <w:tcPr>
                <w:tcW w:w="1134" w:type="dxa"/>
                <w:vAlign w:val="center"/>
              </w:tcPr>
              <w:p w14:paraId="6DA6C745" w14:textId="6E5C8AA9">
                <w:pPr>
                  <w:jc w:val="center"/>
                  <w:rPr>
                    <w:b/>
                    <w:sz w:val="20"/>
                  </w:rPr>
                </w:pPr>
                <w:r>
                  <w:rPr>
                    <w:b/>
                    <w:bCs/>
                    <w:sz w:val="20"/>
                  </w:rPr>
                  <w:t>Veikla ar paprie-monė</w:t>
                </w:r>
              </w:p>
            </w:tc>
            <w:tc>
              <w:tcPr>
                <w:tcW w:w="1202" w:type="dxa"/>
                <w:vAlign w:val="center"/>
              </w:tcPr>
              <w:p w14:paraId="323784D3" w14:textId="01F407D6">
                <w:pPr>
                  <w:jc w:val="center"/>
                  <w:rPr>
                    <w:b/>
                    <w:sz w:val="20"/>
                  </w:rPr>
                </w:pPr>
                <w:r>
                  <w:rPr>
                    <w:b/>
                    <w:sz w:val="20"/>
                  </w:rPr>
                  <w:t>Interven-cinės priemonės kodas</w:t>
                </w:r>
              </w:p>
            </w:tc>
            <w:tc>
              <w:tcPr>
                <w:tcW w:w="1134" w:type="dxa"/>
                <w:vAlign w:val="center"/>
              </w:tcPr>
              <w:p w14:paraId="16EF55B7" w14:textId="2F98D9D6">
                <w:pPr>
                  <w:jc w:val="center"/>
                  <w:rPr>
                    <w:b/>
                    <w:bCs/>
                    <w:sz w:val="20"/>
                  </w:rPr>
                </w:pPr>
                <w:r>
                  <w:rPr>
                    <w:b/>
                    <w:sz w:val="20"/>
                  </w:rPr>
                  <w:t>Regionas, kuriam priskiria-ma veikla ar poveiklė</w:t>
                </w:r>
              </w:p>
            </w:tc>
            <w:tc>
              <w:tcPr>
                <w:tcW w:w="1134" w:type="dxa"/>
                <w:vAlign w:val="center"/>
              </w:tcPr>
              <w:p w14:paraId="76B816C2" w14:textId="77777777">
                <w:pPr>
                  <w:jc w:val="center"/>
                  <w:rPr>
                    <w:b/>
                    <w:sz w:val="20"/>
                  </w:rPr>
                </w:pPr>
                <w:r>
                  <w:rPr>
                    <w:b/>
                    <w:bCs/>
                    <w:sz w:val="20"/>
                  </w:rPr>
                  <w:t>Paramos formos kodas</w:t>
                </w:r>
              </w:p>
            </w:tc>
            <w:tc>
              <w:tcPr>
                <w:tcW w:w="1134" w:type="dxa"/>
                <w:vAlign w:val="center"/>
              </w:tcPr>
              <w:p w14:paraId="0F4E030C" w14:textId="7EF4388E">
                <w:pPr>
                  <w:jc w:val="center"/>
                  <w:rPr>
                    <w:b/>
                    <w:sz w:val="20"/>
                  </w:rPr>
                </w:pPr>
                <w:r>
                  <w:rPr>
                    <w:b/>
                    <w:bCs/>
                    <w:sz w:val="20"/>
                  </w:rPr>
                  <w:t>Pagrindi-nės teritorinės srities kodas (-ai)</w:t>
                </w:r>
              </w:p>
            </w:tc>
            <w:tc>
              <w:tcPr>
                <w:tcW w:w="1134" w:type="dxa"/>
                <w:vAlign w:val="center"/>
              </w:tcPr>
              <w:p w14:paraId="3ED78C7F" w14:textId="06C9DD40">
                <w:pPr>
                  <w:jc w:val="center"/>
                  <w:rPr>
                    <w:b/>
                    <w:bCs/>
                    <w:sz w:val="20"/>
                  </w:rPr>
                </w:pPr>
                <w:r>
                  <w:rPr>
                    <w:b/>
                    <w:bCs/>
                    <w:sz w:val="20"/>
                  </w:rPr>
                  <w:t xml:space="preserve">Ekonomi-nės veiklos kodas </w:t>
                </w:r>
              </w:p>
              <w:p w14:paraId="6E35B342" w14:textId="77777777">
                <w:pPr>
                  <w:jc w:val="center"/>
                  <w:rPr>
                    <w:b/>
                    <w:sz w:val="20"/>
                  </w:rPr>
                </w:pPr>
                <w:r>
                  <w:rPr>
                    <w:b/>
                    <w:bCs/>
                    <w:sz w:val="20"/>
                  </w:rPr>
                  <w:t>(-ai)</w:t>
                </w:r>
              </w:p>
            </w:tc>
            <w:tc>
              <w:tcPr>
                <w:tcW w:w="1134" w:type="dxa"/>
                <w:vAlign w:val="center"/>
              </w:tcPr>
              <w:p w14:paraId="1D2AE3FD" w14:textId="77777777">
                <w:pPr>
                  <w:jc w:val="center"/>
                  <w:rPr>
                    <w:b/>
                    <w:bCs/>
                    <w:sz w:val="20"/>
                  </w:rPr>
                </w:pPr>
                <w:r>
                  <w:rPr>
                    <w:b/>
                    <w:bCs/>
                    <w:sz w:val="20"/>
                  </w:rPr>
                  <w:t>„Europos socialinio fondo +“ (toliau – ESF+) antrinių temų kodai</w:t>
                </w:r>
              </w:p>
            </w:tc>
            <w:tc>
              <w:tcPr>
                <w:tcW w:w="992" w:type="dxa"/>
                <w:vAlign w:val="center"/>
              </w:tcPr>
              <w:p w14:paraId="117921E0" w14:textId="282AD740">
                <w:pPr>
                  <w:jc w:val="center"/>
                  <w:rPr>
                    <w:b/>
                    <w:bCs/>
                    <w:sz w:val="20"/>
                  </w:rPr>
                </w:pPr>
                <w:r>
                  <w:rPr>
                    <w:b/>
                    <w:bCs/>
                    <w:sz w:val="20"/>
                  </w:rPr>
                  <w:t>Lyčių lygybės mat-mens kodas</w:t>
                </w:r>
              </w:p>
            </w:tc>
            <w:tc>
              <w:tcPr>
                <w:tcW w:w="1552" w:type="dxa"/>
                <w:vAlign w:val="center"/>
              </w:tcPr>
              <w:p w14:paraId="6F15545B" w14:textId="260D3F2D">
                <w:pPr>
                  <w:jc w:val="center"/>
                  <w:rPr>
                    <w:b/>
                    <w:sz w:val="20"/>
                  </w:rPr>
                </w:pPr>
                <w:r>
                  <w:rPr>
                    <w:b/>
                    <w:sz w:val="20"/>
                  </w:rPr>
                  <w:t>Nepanaudotos Ekonomikos gaivinimo ir atsparumo didinimo priemonės lėšos</w:t>
                </w:r>
              </w:p>
              <w:p w14:paraId="205219ED" w14:textId="77777777">
                <w:pPr>
                  <w:jc w:val="center"/>
                  <w:rPr>
                    <w:b/>
                    <w:bCs/>
                    <w:sz w:val="20"/>
                  </w:rPr>
                </w:pPr>
                <w:r>
                  <w:rPr>
                    <w:b/>
                    <w:sz w:val="20"/>
                  </w:rPr>
                  <w:t>(Taip / Ne)</w:t>
                </w:r>
              </w:p>
            </w:tc>
          </w:tr>
          <w:tr w14:paraId="6E7576B6"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05FA001B" w14:textId="70DEDB64">
                <w:pPr>
                  <w:ind w:firstLine="48"/>
                  <w:jc w:val="center"/>
                  <w:rPr>
                    <w:sz w:val="20"/>
                  </w:rPr>
                </w:pPr>
                <w:r>
                  <w:rPr>
                    <w:sz w:val="20"/>
                  </w:rPr>
                  <w:t xml:space="preserve">4.4. </w:t>
                </w:r>
                <w:r>
                  <w:rPr>
                    <w:rFonts w:eastAsia="Republika"/>
                    <w:sz w:val="20"/>
                  </w:rPr>
                  <w:t>Sveikatos sektoriaus skaitmeni-nimo</w:t>
                </w:r>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643E73DD" w14:textId="77777777">
                <w:pPr>
                  <w:jc w:val="center"/>
                  <w:rPr>
                    <w:iCs/>
                    <w:sz w:val="20"/>
                  </w:rPr>
                </w:pPr>
                <w:r>
                  <w:rPr>
                    <w:iCs/>
                    <w:sz w:val="20"/>
                  </w:rPr>
                  <w:t xml:space="preserve">Ekonomikos gaivinimo ir atsparumo didinimo priemonės subsidijos lėšos (toliau – EGADP), </w:t>
                </w:r>
              </w:p>
              <w:p w14:paraId="4AEFC678" w14:textId="77777777">
                <w:pPr>
                  <w:jc w:val="center"/>
                  <w:rPr>
                    <w:iCs/>
                    <w:sz w:val="20"/>
                  </w:rPr>
                </w:pPr>
                <w:r>
                  <w:rPr>
                    <w:iCs/>
                    <w:sz w:val="20"/>
                  </w:rPr>
                  <w:t>valstybės biudžeto lėšos, skirtos ES fondų lėšomis netinkamam finansuoti pridėtinės vertės mokesčiui apmokėti</w:t>
                </w:r>
              </w:p>
              <w:p w14:paraId="62E2CC18" w14:textId="6B9DB39F">
                <w:pPr>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31BCAF14" w14:textId="77777777">
                <w:pPr>
                  <w:jc w:val="center"/>
                  <w:rPr>
                    <w:iCs/>
                    <w:sz w:val="20"/>
                  </w:rPr>
                </w:pPr>
                <w:r>
                  <w:rPr>
                    <w:iCs/>
                    <w:sz w:val="20"/>
                  </w:rPr>
                  <w:t>A.1</w:t>
                </w:r>
              </w:p>
            </w:tc>
            <w:tc>
              <w:tcPr>
                <w:tcW w:w="1134" w:type="dxa"/>
                <w:tcBorders>
                  <w:top w:val="single" w:sz="4" w:space="0" w:color="auto"/>
                  <w:left w:val="single" w:sz="4" w:space="0" w:color="auto"/>
                  <w:right w:val="single" w:sz="4" w:space="0" w:color="auto"/>
                </w:tcBorders>
                <w:tcMar>
                  <w:left w:w="28" w:type="dxa"/>
                  <w:right w:w="28" w:type="dxa"/>
                </w:tcMar>
              </w:tcPr>
              <w:p w14:paraId="2E955D7F" w14:textId="7EC13080">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33092B3" w14:textId="6A720664">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56AD5896" w14:textId="14A55B23">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32C60C9" w14:textId="16A3A0E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889E73E" w14:textId="67439E9F">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D7928C4" w14:textId="4E686402">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7C1DA89D" w14:textId="21D34D47">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18DA7ED5" w14:textId="6FE24332">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11406528" w14:textId="77777777">
                <w:pPr>
                  <w:jc w:val="center"/>
                  <w:rPr>
                    <w:sz w:val="20"/>
                  </w:rPr>
                </w:pPr>
                <w:r>
                  <w:rPr>
                    <w:sz w:val="20"/>
                  </w:rPr>
                  <w:t>Ne</w:t>
                </w:r>
              </w:p>
            </w:tc>
          </w:tr>
        </w:tbl>
        <w:p w14:paraId="3748D0E5" w14:textId="1C36B3DA">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0C10E51" w14:textId="77777777">
          <w:pPr>
            <w:jc w:val="both"/>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14:paraId="3CDD3CA0" w14:textId="77777777">
            <w:trPr>
              <w:trHeight w:val="405"/>
            </w:trPr>
            <w:tc>
              <w:tcPr>
                <w:tcW w:w="6941" w:type="dxa"/>
                <w:shd w:val="clear" w:color="auto" w:fill="auto"/>
                <w:vAlign w:val="center"/>
              </w:tcPr>
              <w:p w14:paraId="54D25923" w14:textId="77777777">
                <w:pPr>
                  <w:jc w:val="center"/>
                  <w:rPr>
                    <w:sz w:val="18"/>
                    <w:szCs w:val="18"/>
                  </w:rPr>
                </w:pPr>
                <w:r>
                  <w:rPr>
                    <w:sz w:val="22"/>
                    <w:szCs w:val="22"/>
                  </w:rPr>
                  <w:t>Rodiklio pavadinimas</w:t>
                </w:r>
              </w:p>
            </w:tc>
            <w:tc>
              <w:tcPr>
                <w:tcW w:w="2693" w:type="dxa"/>
                <w:shd w:val="clear" w:color="auto" w:fill="auto"/>
                <w:vAlign w:val="center"/>
              </w:tcPr>
              <w:p w14:paraId="24B284EF" w14:textId="77777777">
                <w:pPr>
                  <w:jc w:val="center"/>
                  <w:rPr>
                    <w:sz w:val="18"/>
                    <w:szCs w:val="18"/>
                  </w:rPr>
                </w:pPr>
                <w:r>
                  <w:rPr>
                    <w:sz w:val="22"/>
                    <w:szCs w:val="22"/>
                  </w:rPr>
                  <w:t>Rodiklio kodas</w:t>
                </w:r>
              </w:p>
            </w:tc>
            <w:tc>
              <w:tcPr>
                <w:tcW w:w="2835" w:type="dxa"/>
                <w:shd w:val="clear" w:color="auto" w:fill="auto"/>
                <w:vAlign w:val="center"/>
              </w:tcPr>
              <w:p w14:paraId="6FA289E8" w14:textId="77777777">
                <w:pPr>
                  <w:jc w:val="center"/>
                  <w:rPr>
                    <w:sz w:val="18"/>
                    <w:szCs w:val="18"/>
                  </w:rPr>
                </w:pPr>
                <w:r>
                  <w:rPr>
                    <w:sz w:val="22"/>
                    <w:szCs w:val="22"/>
                  </w:rPr>
                  <w:t>Matavimo vienetai</w:t>
                </w:r>
              </w:p>
            </w:tc>
            <w:tc>
              <w:tcPr>
                <w:tcW w:w="2694" w:type="dxa"/>
                <w:shd w:val="clear" w:color="auto" w:fill="auto"/>
                <w:vAlign w:val="center"/>
              </w:tcPr>
              <w:p w14:paraId="6C4C0EB6" w14:textId="7AAC9E3E">
                <w:pPr>
                  <w:jc w:val="center"/>
                  <w:rPr>
                    <w:sz w:val="18"/>
                    <w:szCs w:val="18"/>
                  </w:rPr>
                </w:pPr>
                <w:r>
                  <w:rPr>
                    <w:sz w:val="22"/>
                    <w:szCs w:val="22"/>
                  </w:rPr>
                  <w:t>Siektina reikšmė ir pasiekimo data</w:t>
                </w:r>
              </w:p>
            </w:tc>
          </w:tr>
          <w:tr w14:paraId="6BAF53A8" w14:textId="77777777">
            <w:trPr>
              <w:trHeight w:val="496"/>
            </w:trPr>
            <w:tc>
              <w:tcPr>
                <w:tcW w:w="6941" w:type="dxa"/>
              </w:tcPr>
              <w:p w14:paraId="698E12D8" w14:textId="77777777">
                <w:pPr>
                  <w:rPr>
                    <w:szCs w:val="24"/>
                  </w:rPr>
                </w:pPr>
                <w:r>
                  <w:rPr>
                    <w:szCs w:val="24"/>
                  </w:rPr>
                  <w:t>Naujų ir patobulintų viešųjų skaitmeninių paslaugų, produktų ir procesų naudotojai</w:t>
                  <w:tab/>
                </w:r>
              </w:p>
              <w:p w14:paraId="0E6B9E2B" w14:textId="7AC4C387">
                <w:pPr>
                  <w:jc w:val="center"/>
                  <w:rPr>
                    <w:szCs w:val="24"/>
                  </w:rPr>
                </w:pPr>
              </w:p>
            </w:tc>
            <w:tc>
              <w:tcPr>
                <w:tcW w:w="2693" w:type="dxa"/>
              </w:tcPr>
              <w:p w14:paraId="575981F1" w14:textId="77777777">
                <w:pPr>
                  <w:jc w:val="center"/>
                  <w:rPr>
                    <w:szCs w:val="24"/>
                  </w:rPr>
                </w:pPr>
                <w:r>
                  <w:rPr>
                    <w:szCs w:val="24"/>
                  </w:rPr>
                  <w:t>R. B.1.2007</w:t>
                </w:r>
              </w:p>
              <w:p w14:paraId="64109255" w14:textId="77777777">
                <w:pPr>
                  <w:jc w:val="center"/>
                  <w:rPr>
                    <w:szCs w:val="24"/>
                  </w:rPr>
                </w:pPr>
                <w:r>
                  <w:rPr>
                    <w:szCs w:val="24"/>
                  </w:rPr>
                  <w:t>R-11-002-02-11-01-34</w:t>
                </w:r>
              </w:p>
              <w:p w14:paraId="731D936E" w14:textId="0A75CB9A">
                <w:pPr>
                  <w:jc w:val="center"/>
                  <w:rPr>
                    <w:szCs w:val="24"/>
                  </w:rPr>
                </w:pPr>
              </w:p>
            </w:tc>
            <w:tc>
              <w:tcPr>
                <w:tcW w:w="2835" w:type="dxa"/>
              </w:tcPr>
              <w:p w14:paraId="50ADCE8F" w14:textId="13CD78CA">
                <w:pPr>
                  <w:jc w:val="center"/>
                  <w:rPr>
                    <w:szCs w:val="24"/>
                  </w:rPr>
                </w:pPr>
                <w:r>
                  <w:rPr>
                    <w:szCs w:val="24"/>
                  </w:rPr>
                  <w:t>Naudotojų skaičius per metus</w:t>
                </w:r>
              </w:p>
            </w:tc>
            <w:tc>
              <w:tcPr>
                <w:tcW w:w="2694" w:type="dxa"/>
              </w:tcPr>
              <w:p w14:paraId="5C4B2C21" w14:textId="063470B9">
                <w:pPr>
                  <w:jc w:val="center"/>
                  <w:rPr>
                    <w:szCs w:val="24"/>
                  </w:rPr>
                </w:pPr>
                <w:r>
                  <w:rPr>
                    <w:szCs w:val="24"/>
                  </w:rPr>
                  <w:t>n/a</w:t>
                </w:r>
              </w:p>
              <w:p w14:paraId="67C42AEA" w14:textId="1596FBEB">
                <w:pPr>
                  <w:jc w:val="center"/>
                  <w:rPr>
                    <w:szCs w:val="24"/>
                  </w:rPr>
                </w:pPr>
                <w:r>
                  <w:rPr>
                    <w:szCs w:val="24"/>
                  </w:rPr>
                  <w:t>(2026 m. IV ketv.)</w:t>
                </w:r>
              </w:p>
            </w:tc>
          </w:tr>
        </w:tbl>
        <w:p w14:paraId="6B9E582E" w14:textId="33BD74BE">
          <w:pPr>
            <w:jc w:val="both"/>
            <w:rPr>
              <w:b/>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473D336A" w14:textId="77777777">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62EA2D2F" w14:textId="77777777">
            <w:trPr>
              <w:trHeight w:val="298"/>
            </w:trPr>
            <w:tc>
              <w:tcPr>
                <w:tcW w:w="15127" w:type="dxa"/>
              </w:tcPr>
              <w:p w14:paraId="11EA41C7" w14:textId="77777777">
                <w:pPr>
                  <w:jc w:val="both"/>
                  <w:rPr>
                    <w:szCs w:val="24"/>
                  </w:rPr>
                </w:pPr>
                <w:r>
                  <w:rPr>
                    <w:szCs w:val="24"/>
                  </w:rPr>
                  <w:t>Ministerijos stebėsenos rodiklių aprašymo kortelės</w:t>
                </w:r>
              </w:p>
            </w:tc>
          </w:tr>
          <w:tr w14:paraId="058BC95B" w14:textId="77777777">
            <w:trPr>
              <w:trHeight w:val="315"/>
            </w:trPr>
            <w:tc>
              <w:tcPr>
                <w:tcW w:w="15127" w:type="dxa"/>
              </w:tcPr>
              <w:p w14:paraId="33463B98" w14:textId="77777777">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4CD43F43" w14:textId="129B82F7">
                <w:pPr>
                  <w:ind w:right="340"/>
                  <w:jc w:val="both"/>
                  <w:rPr>
                    <w:i/>
                    <w:szCs w:val="24"/>
                  </w:rPr>
                </w:pPr>
                <w:r>
                  <w:rPr>
                    <w:iCs/>
                    <w:szCs w:val="24"/>
                  </w:rPr>
                  <w:t>https://sam.lrv.lt/lt/administracine-informacija/planavimo-dokumentai/pletros-programos/sveikatos-prieziuros-kokybes-ir-efektyvumo-didinimo-pletros-programa</w:t>
                </w:r>
              </w:p>
            </w:tc>
          </w:tr>
        </w:tbl>
        <w:p w14:paraId="5EB85DA1" w14:textId="777777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14:paraId="58132561" w14:textId="77777777">
            <w:tc>
              <w:tcPr>
                <w:tcW w:w="15134" w:type="dxa"/>
              </w:tcPr>
              <w:p w14:paraId="61ECE4D2" w14:textId="77777777">
                <w:pPr>
                  <w:rPr>
                    <w:b/>
                    <w:szCs w:val="24"/>
                  </w:rPr>
                </w:pPr>
                <w:r>
                  <w:rPr>
                    <w:b/>
                    <w:szCs w:val="24"/>
                  </w:rPr>
                  <w:t>SPECIALIEJI FINANSAVIMO REIKALAVIMAI</w:t>
                </w:r>
              </w:p>
            </w:tc>
          </w:tr>
          <w:tr w14:paraId="68E2B6E0" w14:textId="77777777">
            <w:tc>
              <w:tcPr>
                <w:tcW w:w="15134" w:type="dxa"/>
              </w:tcPr>
              <w:p w14:paraId="718DD2F3" w14:textId="77777777">
                <w:pPr>
                  <w:rPr>
                    <w:b/>
                    <w:bCs/>
                    <w:szCs w:val="24"/>
                  </w:rPr>
                </w:pPr>
                <w:r>
                  <w:rPr>
                    <w:b/>
                    <w:bCs/>
                    <w:szCs w:val="24"/>
                  </w:rPr>
                  <w:t>1. Taikomi teisės aktai</w:t>
                </w:r>
              </w:p>
            </w:tc>
          </w:tr>
          <w:tr w14:paraId="4EADC25F" w14:textId="77777777">
            <w:tc>
              <w:tcPr>
                <w:tcW w:w="15134" w:type="dxa"/>
              </w:tcPr>
              <w:p w14:paraId="64DD009F" w14:textId="64E7ABE1">
                <w:pPr>
                  <w:tabs>
                    <w:tab w:val="left" w:pos="306"/>
                  </w:tabs>
                  <w:ind w:left="23"/>
                  <w:jc w:val="both"/>
                  <w:rPr>
                    <w:szCs w:val="24"/>
                    <w:lang w:eastAsia="lt-LT"/>
                  </w:rPr>
                </w:pPr>
                <w: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w:t>
                  <w:br/>
                  <w:t>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16 priedą „2022–2030 metų sveikatos priežiūros kokybės ir efektyvumo didinimo plėtros programos pažangos priemonės Nr. 11-002-02-11-01 „Gerinti sveikatos priežiūros paslaugų kokybę ir prieinamumą“ projektų finansavimo sąlygų aprašas Nr. 16“ (toliau – Aprašas Nr. 16):</w:t>
                </w:r>
              </w:p>
              <w:p w14:paraId="5CCC4A61" w14:textId="090DB435">
                <w:pPr>
                  <w:jc w:val="both"/>
                  <w:rPr>
                    <w:b/>
                    <w:bCs/>
                  </w:rPr>
                </w:pPr>
                <w:r>
                  <w:rPr>
                    <w:b/>
                    <w:bCs/>
                  </w:rPr>
                  <w:t>1.1. bendrieji teisės aktai:</w:t>
                </w:r>
              </w:p>
              <w:p w14:paraId="09878560" w14:textId="3F0FD0C5">
                <w:pPr>
                  <w:jc w:val="both"/>
                </w:pPr>
                <w:r>
                  <w:t xml:space="preserve">1.1.1. 2021 m. vasario 12 d. Europos Parlamento ir Tarybos reglamentas </w:t>
                </w:r>
                <w:r>
                  <w:t>(ES) 2021/241</w:t>
                </w:r>
                <w:r>
                  <w:t>, kuriuo nustatoma ekonomikos gaivinimo ir atsparumo didinimo priemonė;</w:t>
                </w:r>
              </w:p>
              <w:p w14:paraId="419C1642" w14:textId="197E8811">
                <w:pPr>
                  <w:jc w:val="both"/>
                </w:pPr>
                <w:r>
                  <w:t>1.1.2. 2021 m. liepos 28 d. Tarybos įgyvendinimo sprendimas CM4171/21 dėl Lietuvos ekonomikos gaivinimo ir atsparumo didinimo plano įvertinimo patvirtinimo (toliau – planas „Naujos kartos Lietuva“);</w:t>
                </w:r>
              </w:p>
              <w:p w14:paraId="37C54E57" w14:textId="38EA4C2D">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6DC71025">
                <w:pPr>
                  <w:jc w:val="both"/>
                  <w:rPr>
                    <w:b/>
                    <w:bCs/>
                    <w:szCs w:val="24"/>
                  </w:rPr>
                </w:pPr>
                <w:r>
                  <w:rPr>
                    <w:b/>
                    <w:bCs/>
                    <w:szCs w:val="24"/>
                  </w:rPr>
                  <w:t>1.2 specialieji teisės aktai:</w:t>
                </w:r>
              </w:p>
              <w:p w14:paraId="6C447328" w14:textId="4EDB63B9">
                <w:pPr>
                  <w:jc w:val="both"/>
                </w:pPr>
                <w:r>
                  <w:rPr>
                    <w:szCs w:val="24"/>
                  </w:rPr>
                  <w:t xml:space="preserve">1.2.1. </w:t>
                </w:r>
                <w:r>
                  <w:t>2018 m. birželio 22 d. Komisijos įgyvendinimo sprendimas (ES) 2018/945 dėl užkrečiamųjų ligų ir susijusių specialiųjų sveikatos problemų, kurioms turi būti taikoma epidemiologinė priežiūra, ir susijusių atvejų apibrėžčių;</w:t>
                </w:r>
              </w:p>
              <w:p w14:paraId="0162BA4D" w14:textId="59030F9D">
                <w:pPr>
                  <w:rPr>
                    <w:szCs w:val="24"/>
                  </w:rPr>
                </w:pPr>
                <w:r>
                  <w:rPr>
                    <w:szCs w:val="24"/>
                  </w:rPr>
                  <w:t>1.2.2. Žmonių užkrečiamųjų ligų profilaktikos ir kontrolės įstatymas;</w:t>
                </w:r>
              </w:p>
              <w:p w14:paraId="3670311D" w14:textId="7BBEEF0E">
                <w:pPr>
                  <w:rPr>
                    <w:szCs w:val="24"/>
                  </w:rPr>
                </w:pPr>
                <w:r>
                  <w:rPr>
                    <w:szCs w:val="24"/>
                  </w:rPr>
                  <w:t>1.2.3. Lietuvos Respublikos valstybės informacinių išteklių valdymo įstatymas;</w:t>
                </w:r>
              </w:p>
              <w:p w14:paraId="0918EA40" w14:textId="36497C40">
                <w:pPr>
                  <w:rPr>
                    <w:szCs w:val="24"/>
                  </w:rPr>
                </w:pPr>
                <w:r>
                  <w:rPr>
                    <w:szCs w:val="24"/>
                  </w:rPr>
                  <w:t xml:space="preserve">1.2.4. Lietuvos Respublikos kibernetinio saugumo įstatymas; </w:t>
                </w:r>
              </w:p>
              <w:p w14:paraId="1BDF3C05" w14:textId="18964705">
                <w:pPr>
                  <w:rPr>
                    <w:szCs w:val="24"/>
                  </w:rPr>
                </w:pPr>
                <w:r>
                  <w:t>1.2.5. Lietuvos Respublikos teisės gauti informaciją ir duomenų pakartotinio naudojimo įstatymas;</w:t>
                </w:r>
              </w:p>
              <w:p w14:paraId="2094F23A" w14:textId="6201CB77">
                <w:pPr>
                  <w:jc w:val="both"/>
                  <w:rPr>
                    <w:szCs w:val="24"/>
                  </w:rPr>
                </w:pPr>
                <w:r>
                  <w:rPr>
                    <w:szCs w:val="24"/>
                  </w:rPr>
                  <w:t>1.2.6. Lietuvos Respublikos Vyriausybės 2003 m. balandžio 18 d. nutarimas Nr. 480 „Dėl Bendrųjų reikalavimų valstybės ir savivaldybių institucijų ir įstaigų interneto svetainėms ir mobiliosioms programoms aprašo patvirtinimo“;</w:t>
                </w:r>
              </w:p>
              <w:p w14:paraId="5E0E4A15" w14:textId="6D7EDB35">
                <w:r>
                  <w:rPr>
                    <w:szCs w:val="24"/>
                  </w:rPr>
                  <w:t xml:space="preserve">1.2.7.  </w:t>
                </w:r>
                <w:r>
                  <w:t>Lietuvos Respublikos Vyriausybės 2013 m. vasario 27 d. nutarimas Nr. 180 „Dėl Valstybės informacinių sistemų steigimo, kūrimo, modernizavimo ir likvidavimo tvarkos aprašo patvirtinimo“;</w:t>
                </w:r>
              </w:p>
              <w:p w14:paraId="263BBF6A" w14:textId="02D6DC62">
                <w:pPr>
                  <w:rPr>
                    <w:szCs w:val="24"/>
                  </w:rPr>
                </w:pPr>
                <w:r>
                  <w:rPr>
                    <w:szCs w:val="24"/>
                  </w:rPr>
                  <w:t>1.2.8. Lietuvos Respublikos Vyriausybės 2015 m. gegužės 13 d. nutarimas Nr. 498 „Dėl valstybės informacinių išteklių infrastruktūros konsolidavimo ir jos valdymo optimizavimo“ (toliau – Nutarimas Nr. 498);</w:t>
                </w:r>
              </w:p>
              <w:p w14:paraId="334D8211" w14:textId="690CC617">
                <w:pPr>
                  <w:jc w:val="both"/>
                </w:pPr>
                <w:r>
                  <w:t>1.2.9. Lietuvos Respublikos sveikatos apsaugos ministro 1999 m. lapkričio 29 d. įsakymas Nr. 515 „Dėl sveikatos priežiūros įstaigų veiklos apskaitos ir atskaitomybės tvarkos“;</w:t>
                </w:r>
              </w:p>
              <w:p w14:paraId="70D3819B" w14:textId="28D4205E">
                <w:pPr>
                  <w:jc w:val="both"/>
                </w:pPr>
                <w:r>
                  <w:t>1.2.10 Lietuvos Respublikos sveikatos apsaugos ministro 2002 m. rugpjūčio 6 d. įsakymas Nr. 399 „Dėl tuberkulino mėginių atlikimo ir statistinės ataskaitos formos Nr. 9 „Tuberkulino mėginių atlikimo statistinė ataskaita“ patvirtinimo“;</w:t>
                </w:r>
              </w:p>
              <w:p w14:paraId="3374CA49" w14:textId="4B04F56C">
                <w:pPr>
                  <w:jc w:val="both"/>
                </w:pPr>
                <w:r>
                  <w:t>1.2.11. Lietuvos Respublikos sveikatos apsaugos ministro 2002 m. rugsėjo 23 d. įsakymas Nr. 468 „Dėl Imunoprofilaktikos organizavimo ir atlikimo tvarkos aprašo patvirtinimo“;</w:t>
                </w:r>
              </w:p>
              <w:p w14:paraId="64E01707" w14:textId="0137929B">
                <w:pPr>
                  <w:jc w:val="both"/>
                </w:pPr>
                <w:r>
                  <w:t>1.2.12. Lietuvos Respublikos sveikatos apsaugos ministro 2002 m. gruodžio 24 d. įsakymas Nr. 673 „Dėl Privalomojo epidemiologinio registravimo objektų registravimo ir informacijos apie juos teikimo tvarkos aprašo patvirtinimo“;</w:t>
                </w:r>
              </w:p>
              <w:p w14:paraId="6B134975" w14:textId="49466AD0">
                <w:pPr>
                  <w:jc w:val="both"/>
                </w:pPr>
                <w:r>
                  <w:rPr>
                    <w:szCs w:val="24"/>
                  </w:rPr>
                  <w:t xml:space="preserve">1.2.13. </w:t>
                </w:r>
                <w:r>
                  <w:t>Lietuvos Respublikos sveikatos apsaugos ministro 2003 m. vasario 25 d. įsakymas Nr. V-117 „Dėl Lytiškai plintančių infekcijų, ŽIV nešiojimo ir ŽIV ligos epidemiologinės priežiūros tvarkos aprašo patvirtinimo“;</w:t>
                </w:r>
              </w:p>
              <w:p w14:paraId="30686036" w14:textId="7518F6AF">
                <w:pPr>
                  <w:jc w:val="both"/>
                </w:pPr>
                <w:r>
                  <w:rPr>
                    <w:lang w:val="pt-BR"/>
                  </w:rPr>
                  <w:t xml:space="preserve">1.2.14. </w:t>
                </w:r>
                <w:r>
                  <w:t>Lietuvos Respublikos sveikatos apsaugos ministro 2005 m. vasario 10 d. įsakymas Nr. V-109 „Dėl užkrečiamųjų ligų statistinių ataskaitos ir apskaitos formų patvirtinimo“;</w:t>
                </w:r>
              </w:p>
              <w:p w14:paraId="482F74AE" w14:textId="5AD2BCF6">
                <w:pPr>
                  <w:jc w:val="both"/>
                  <w:rPr>
                    <w:lang w:val="pt-BR"/>
                  </w:rPr>
                </w:pPr>
                <w:r>
                  <w:t>1.2.15. Lietuvos Respublikos sveikatos apsaugos ministro ir Valstybinės maisto ir veterinarijos tarnybos direktoriaus 2005 m. vasario 28 d. įsakymas Nr. V-146/B1-140 „Dėl Informacinio pranešimo apie įtariamą / patvirtintą gyvūno pasiutligės atvejį formos patvirtinimo“.</w:t>
                </w:r>
              </w:p>
              <w:p w14:paraId="769C8027" w14:textId="3DDEFDDD">
                <w:pPr>
                  <w:jc w:val="both"/>
                  <w:rPr>
                    <w:shd w:val="clear" w:color="auto" w:fill="FFFFFF"/>
                  </w:rPr>
                </w:pPr>
                <w:r>
                  <w:t xml:space="preserve">1.2.16. Lietuvos Respublikos sveikatos apsaugos ministro 2008 m. balandžio 30 d. įsakymas Nr. V-374 „Dėl </w:t>
                </w:r>
                <w:r>
                  <w:rPr>
                    <w:shd w:val="clear" w:color="auto" w:fill="FFFFFF"/>
                  </w:rPr>
                  <w:t>Tuberkulioze sergančių asmenų profilaktinio tyrimo dėl žmogaus imunodeficito viruso infekcijos tvarkos aprašo patvirtinimo“;</w:t>
                </w:r>
              </w:p>
              <w:p w14:paraId="112E1F85" w14:textId="218ED30C">
                <w:pPr>
                  <w:jc w:val="both"/>
                </w:pPr>
                <w:r>
                  <w:t>1.2.17. Lietuvos Respublikos sveikatos apsaugos ministro 2009 m. gegužės 27 d. įsakymas Nr. V-414 „Dėl nustatytų užkrečiamųjų ligų ir specifinių sveikatos problemų atvejų epidemiologinės diagnostikos protokolų formų patvirtinimo“;</w:t>
                </w:r>
              </w:p>
              <w:p w14:paraId="05BA98BF" w14:textId="44EFCD45">
                <w:pPr>
                  <w:jc w:val="both"/>
                </w:pPr>
                <w:r>
                  <w:t>1.2.18. Lietuvos Respublikos sveikatos apsaugos ministro 2009 m. kovo 31 d. įsakymas Nr. V-241 „Dėl Tymų, raudonukės ir įgimto raudonukės sindromo epidemiologinės priežiūros ir kontrolės tvarkos aprašo patvirtinimo“;</w:t>
                </w:r>
              </w:p>
              <w:p w14:paraId="3C1E5839" w14:textId="3267B0E3">
                <w:pPr>
                  <w:jc w:val="both"/>
                  <w:rPr>
                    <w:shd w:val="clear" w:color="auto" w:fill="FFFFFF"/>
                  </w:rPr>
                </w:pPr>
                <w:r>
                  <w:rPr>
                    <w:szCs w:val="24"/>
                  </w:rPr>
                  <w:t xml:space="preserve">1.2.19. </w:t>
                </w:r>
                <w:r>
                  <w:t xml:space="preserve">Lietuvos Respublikos sveikatos apsaugos ministro 2012 m. sausio 30 d. įsakymas Nr. V-58 „Dėl </w:t>
                </w:r>
                <w:r>
                  <w:rPr>
                    <w:shd w:val="clear" w:color="auto" w:fill="FFFFFF"/>
                  </w:rPr>
                  <w:t>Gripo, COVID-19 ligos (koronaviruso infekcijos) ir ūminių viršutinių kvėpavimo takų infekcijų epidemiologinės priežiūros taisyklių patvirtinimo“;</w:t>
                </w:r>
              </w:p>
              <w:p w14:paraId="3F523B10" w14:textId="769318F6">
                <w:pPr>
                  <w:jc w:val="both"/>
                </w:pPr>
                <w:r>
                  <w:t>1.2.20. Lietuvos Respublikos sveikatos apsaugos ministro 2014 m. birželio 16 d. įsakymas Nr. V-707 „Dėl Poliomielito ir ūmių vangių paralyžių epidemiologinės ir laboratorinės priežiūros ir kontrolės veiksmų plano patvirtinimo ir nacionalinio poliomielito ekspertų komiteto sudarymo“;</w:t>
                </w:r>
              </w:p>
              <w:p w14:paraId="72C020CC" w14:textId="7D18B5A6">
                <w:pPr>
                  <w:jc w:val="both"/>
                </w:pPr>
                <w:r>
                  <w:t xml:space="preserve">1.2.21. </w:t>
                </w:r>
                <w:r>
                  <w:rPr>
                    <w:szCs w:val="24"/>
                  </w:rPr>
                  <w:t>Lietuvos Respublikos susisiekimo ministro 2015 m. spalio 7 d. įsakymas Nr. 3-416(1.5 E) „Dėl metodinių dokumentų patvirtinimo“;</w:t>
                </w:r>
              </w:p>
              <w:p w14:paraId="1DB223F5" w14:textId="15DC8490">
                <w:pPr>
                  <w:jc w:val="both"/>
                </w:pPr>
                <w:r>
                  <w:t>1.2.22. Lietuvos Respublikos sveikatos apsaugos ministro 2015 m. spalio 8 d. įsakymas Nr. V-1130 „Dėl Pneumokokinės infekcijos rizikos grupių patvirtinimo“;</w:t>
                </w:r>
              </w:p>
              <w:p w14:paraId="23A9AB9C" w14:textId="02E58D5C">
                <w:pPr>
                  <w:jc w:val="both"/>
                </w:pPr>
                <w:r>
                  <w:t>1.2.23. Lietuvos Respublikos sveikatos apsaugos ministro 2016 m. birželio 23 d. įsakymas Nr. V-837 „Dėl Tuberkulioze sergančių asmenų išaiškinimo ir atvejo valdymo tvarkos aprašo patvirtinimo“;</w:t>
                </w:r>
              </w:p>
              <w:p w14:paraId="0F3D8FEC" w14:textId="79F8E3BF">
                <w:pPr>
                  <w:jc w:val="both"/>
                </w:pPr>
                <w:r>
                  <w:t>1.2.24. Lietuvos Respublikos sveikatos apsaugos ministro 2016 m. spalio 7 d. įsakymas Nr. V-1159 „Dėl Užkrečiamosios ligos židinio ir protrūkio epidemiologinės diagnostikos ir kontrolės tvarkos aprašo patvirtinimo“;</w:t>
                </w:r>
              </w:p>
              <w:p w14:paraId="56963544" w14:textId="1471DCC9">
                <w:pPr>
                  <w:jc w:val="both"/>
                </w:pPr>
                <w:r>
                  <w:t>1.2.25. Lietuvos Respublikos sveikatos apsaugos ministro 2020 m. gegužės 5 d. įsakymas Nr. V-1067 „Dėl Užkrečiamųjų ligų, galinčių išplisti ir kelti grėsmę, stebėsenos ir kontrolės informacinės sistemos steigimo ir jos nuostatų bei duomenų saugos nuostatų patvirtinimo“;</w:t>
                </w:r>
              </w:p>
              <w:p w14:paraId="242EF11C" w14:textId="08C352CE">
                <w:pPr>
                  <w:jc w:val="both"/>
                  <w:rPr>
                    <w:shd w:val="clear" w:color="auto" w:fill="FFFFFF"/>
                  </w:rPr>
                </w:pPr>
                <w:r>
                  <w:rPr>
                    <w:shd w:val="clear" w:color="auto" w:fill="FFFFFF"/>
                  </w:rPr>
                  <w:t xml:space="preserve">1.2.26. </w:t>
                </w:r>
                <w:r>
                  <w:t>Lietuvos Respublikos sveikatos apsaugos ministro 2021 m. spalio 22 d. įsakymas Nr. V-2390 „Dėl Užkrečiamųjų ligų ir jų sukėlėjų valstybės informacinės sistemos modernizavimo, Užkrečiamųjų ligų ir jų sukėlėjų valstybės informacinės sistemos nuostatų patvirtinimo“;</w:t>
                </w:r>
              </w:p>
              <w:p w14:paraId="086464F8" w14:textId="027C088C">
                <w:pPr>
                  <w:jc w:val="both"/>
                  <w:rPr>
                    <w:szCs w:val="24"/>
                  </w:rPr>
                </w:pPr>
                <w:r>
                  <w:rPr>
                    <w:szCs w:val="24"/>
                  </w:rPr>
                  <w:t>1.2.27.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BDCA421" w14:textId="1FB8CDE5">
                <w:pPr>
                  <w:jc w:val="both"/>
                  <w:rPr>
                    <w:szCs w:val="24"/>
                  </w:rPr>
                </w:pPr>
                <w:r>
                  <w:rPr>
                    <w:szCs w:val="24"/>
                  </w:rPr>
                  <w:t>1.2.28. Informacinės visuomenės plėtros komiteto prie Susisiekimo ministerijos direktoriaus 2013 m. kovo 25 d. įsakymas Nr. T-36 „Dėl Duomenų teikimo formatų ir standartų rekomendacijų patvirtinimo“;</w:t>
                </w:r>
              </w:p>
              <w:p w14:paraId="6379D517" w14:textId="54421720">
                <w:pPr>
                  <w:jc w:val="both"/>
                </w:pPr>
                <w:r>
                  <w:rPr>
                    <w:szCs w:val="24"/>
                    <w:lang w:val="pt-BR"/>
                  </w:rPr>
                  <w:t xml:space="preserve">1.2.29.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494231F4">
                <w:pPr>
                  <w:jc w:val="both"/>
                  <w:rPr>
                    <w:szCs w:val="24"/>
                  </w:rPr>
                </w:pPr>
                <w:r>
                  <w:rPr>
                    <w:szCs w:val="24"/>
                    <w:lang w:val="pt-BR"/>
                  </w:rPr>
                  <w:t xml:space="preserve">1.2.30.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39B7791B" w14:textId="5D2F003D">
                <w:pPr>
                  <w:rPr>
                    <w:i/>
                    <w:iCs/>
                    <w:sz w:val="22"/>
                    <w:szCs w:val="22"/>
                  </w:rPr>
                </w:pPr>
                <w:r>
                  <w:rPr>
                    <w:szCs w:val="24"/>
                  </w:rPr>
                  <w:t xml:space="preserve">Apraše Nr. 16 vartojamos sąvokos suprantamos taip, kaip jos apibrėžtos šio Aprašo 1 punkte nurodytose teisės aktuose. </w:t>
                </w:r>
              </w:p>
            </w:tc>
          </w:tr>
          <w:tr w14:paraId="457DC2A3" w14:textId="77777777">
            <w:tc>
              <w:tcPr>
                <w:tcW w:w="15134" w:type="dxa"/>
              </w:tcPr>
              <w:p w14:paraId="7B068DE0" w14:textId="77777777">
                <w:pPr>
                  <w:rPr>
                    <w:b/>
                    <w:szCs w:val="24"/>
                  </w:rPr>
                </w:pPr>
                <w:r>
                  <w:rPr>
                    <w:b/>
                    <w:szCs w:val="24"/>
                  </w:rPr>
                  <w:t>2. Reikalavimai projektams, pareiškėjams ir partneriams</w:t>
                </w:r>
              </w:p>
            </w:tc>
          </w:tr>
          <w:tr w14:paraId="1B5AC671" w14:textId="77777777">
            <w:tc>
              <w:tcPr>
                <w:tcW w:w="15134" w:type="dxa"/>
              </w:tcPr>
              <w:p w14:paraId="6F84A9C9" w14:textId="698A1B62">
                <w:pPr>
                  <w:tabs>
                    <w:tab w:val="left" w:pos="2835"/>
                  </w:tabs>
                  <w:jc w:val="both"/>
                </w:pPr>
                <w:r>
                  <w:t xml:space="preserve">2.1. Pagal šį Aprašą Nr. 16 finansuojama veikla – sveikatos sektoriaus skaitmeninimas,  poveiklė – sveikatos sektoriaus skaitmeninimo projektai: užkrečiamųjų ligų epidemiologinei priežiūrai būtinų informacinių sistemų modernizavimas.</w:t>
                </w:r>
              </w:p>
              <w:p w14:paraId="6A78ECE8" w14:textId="0D44AA6D">
                <w:pPr>
                  <w:jc w:val="both"/>
                  <w:rPr>
                    <w:szCs w:val="24"/>
                  </w:rPr>
                </w:pPr>
                <w:r>
                  <w:rPr>
                    <w:szCs w:val="24"/>
                  </w:rPr>
                  <w:t xml:space="preserve">2.2. Įgyvendinant </w:t>
                </w:r>
                <w:r>
                  <w:t xml:space="preserve">2022–2030 metų sveikatos priežiūros kokybės ir efektyvumo didinimo plėtros programos pažangos priemonę Nr. 11-002-02-11-01 „Gerinti sveikatos priežiūros paslaugų kokybę ir prieinamumą“ </w:t>
                </w:r>
                <w:r>
                  <w:rPr>
                    <w:rFonts w:eastAsia="Calibri"/>
                    <w:szCs w:val="24"/>
                  </w:rPr>
                  <w:t xml:space="preserve">numatoma </w:t>
                </w:r>
                <w:r>
                  <w:rPr>
                    <w:szCs w:val="24"/>
                  </w:rPr>
                  <w:t xml:space="preserve">gerinti užkrečiamųjų ligų prevenciją ir valdymą, optimizuojant ir modernizuojant užkrečiamųjų ligų epidemiologinės priežiūros procesus. Tam numatoma modernizuoti Užkrečiamųjų ligų ir jų sukėlėjų valstybės informacinę sistemą (toliau – ULSVIS), sukuriant į besikeičiančią aplinką ir vartotojo poreikius orientuotą, lanksčią, moderniausius technologinius, ergonominius ir vizualinius standartus atitinkančią informacinę sistemą, sukurti integracijas su kitomis sistemomis ir registrais – tai leistų užtikrinti informacijos mainų su kitomis institucijomis operatyvumą, laiku atliktą ir kokybiškesnį valstybės institucijų, tarptautinių organizacijų bei suinteresuotųjų asmenų informavimą apie užkrečiamąsias ligas bei sudarytų prielaidas operatyviai priimti tinkamus sprendimus vykdant užkrečiamųjų ligų prevenciją ir valdymą. </w:t>
                </w:r>
              </w:p>
              <w:p w14:paraId="639EEAB7" w14:textId="0F9F9313">
                <w:pPr>
                  <w:jc w:val="both"/>
                  <w:rPr>
                    <w:szCs w:val="24"/>
                  </w:rPr>
                </w:pPr>
                <w:r>
                  <w:rPr>
                    <w:szCs w:val="24"/>
                  </w:rPr>
                  <w:t xml:space="preserve">Finansuojamos veiklos: </w:t>
                </w:r>
              </w:p>
              <w:p w14:paraId="7D416940" w14:textId="0DDC8480">
                <w:pPr>
                  <w:jc w:val="both"/>
                  <w:rPr>
                    <w:strike/>
                    <w:szCs w:val="24"/>
                  </w:rPr>
                </w:pPr>
                <w:r>
                  <w:rPr>
                    <w:szCs w:val="24"/>
                  </w:rPr>
                  <w:t>2.2.1. ULSVIS tobulinimas;</w:t>
                </w:r>
              </w:p>
              <w:p w14:paraId="4F54FF09" w14:textId="72563EF9">
                <w:pPr>
                  <w:tabs>
                    <w:tab w:val="left" w:pos="567"/>
                    <w:tab w:val="left" w:pos="1134"/>
                  </w:tabs>
                  <w:jc w:val="both"/>
                  <w:rPr>
                    <w:szCs w:val="24"/>
                  </w:rPr>
                </w:pPr>
                <w:r>
                  <w:rPr>
                    <w:szCs w:val="24"/>
                  </w:rPr>
                  <w:t>2.2.2. užkrečiamųjų ligų, galinčių išplisti ir kelti grėsmę, stebėsenos ir kontrolės informacinės sistemos funkcionalumo integravimas į ULSVIS;</w:t>
                </w:r>
              </w:p>
              <w:p w14:paraId="5E409373" w14:textId="27B22028">
                <w:pPr>
                  <w:tabs>
                    <w:tab w:val="left" w:pos="567"/>
                    <w:tab w:val="left" w:pos="1134"/>
                  </w:tabs>
                  <w:jc w:val="both"/>
                  <w:rPr>
                    <w:szCs w:val="24"/>
                  </w:rPr>
                </w:pPr>
                <w:r>
                  <w:rPr>
                    <w:szCs w:val="24"/>
                  </w:rPr>
                  <w:t>2.2.3. ULSVIS funkcionalumų, skirtų epidemijų ir pandemijų valdymo (prevencinių priemonių (pvz., skiepai, izoliavimas ir kt.) registravimui ir kontrolei ir kt.), praplėtimas;</w:t>
                </w:r>
              </w:p>
              <w:p w14:paraId="6E657BDD" w14:textId="645AB478">
                <w:pPr>
                  <w:tabs>
                    <w:tab w:val="left" w:pos="567"/>
                    <w:tab w:val="left" w:pos="1134"/>
                  </w:tabs>
                  <w:jc w:val="both"/>
                  <w:rPr>
                    <w:szCs w:val="24"/>
                  </w:rPr>
                </w:pPr>
                <w:r>
                  <w:rPr>
                    <w:szCs w:val="24"/>
                  </w:rPr>
                  <w:t>2.2.4. ULSVIS pritaikymas integracijai su protrūkių, epidemijų ir pandemijų prognozavimo, identifikavimo ir valdymo įrankiais;</w:t>
                </w:r>
              </w:p>
              <w:p w14:paraId="678C4690" w14:textId="275ABE5E">
                <w:pPr>
                  <w:tabs>
                    <w:tab w:val="left" w:pos="567"/>
                    <w:tab w:val="left" w:pos="1134"/>
                  </w:tabs>
                  <w:jc w:val="both"/>
                  <w:rPr>
                    <w:szCs w:val="24"/>
                  </w:rPr>
                </w:pPr>
                <w:r>
                  <w:rPr>
                    <w:szCs w:val="24"/>
                  </w:rPr>
                  <w:t>2.2.5. mikroorganizmų atsparumo antimikrobiniams vaistams stebėsenos modulio sukūrimas;</w:t>
                </w:r>
              </w:p>
              <w:p w14:paraId="464DCC5D" w14:textId="1032F85B">
                <w:pPr>
                  <w:tabs>
                    <w:tab w:val="left" w:pos="567"/>
                    <w:tab w:val="left" w:pos="1134"/>
                  </w:tabs>
                  <w:jc w:val="both"/>
                  <w:rPr>
                    <w:szCs w:val="24"/>
                  </w:rPr>
                </w:pPr>
                <w:r>
                  <w:rPr>
                    <w:szCs w:val="24"/>
                  </w:rPr>
                  <w:t xml:space="preserve">2.2.6. naujo bendro centralizuoto tuberkuliozės atvejų valdymo modulio sukūrimas ir asmens duomenų, kaupiamų Tuberkuliozės valstybės informacinėje sistemoje, migravimo į modernizuotą ULSVIS užtikrinimas;  </w:t>
                </w:r>
              </w:p>
              <w:p w14:paraId="31A5E806" w14:textId="159EB09A">
                <w:pPr>
                  <w:tabs>
                    <w:tab w:val="left" w:pos="567"/>
                    <w:tab w:val="left" w:pos="1134"/>
                  </w:tabs>
                  <w:jc w:val="both"/>
                  <w:rPr>
                    <w:szCs w:val="24"/>
                  </w:rPr>
                </w:pPr>
                <w:r>
                  <w:rPr>
                    <w:szCs w:val="24"/>
                  </w:rPr>
                  <w:t>2.2.7. ULSVIS atitikties Bendrojo duomenų apsaugos reglamento ir kitų Lietuvos Respublikos bei ES teisės aktų, reglamentuojančių duomenų saugą, reikalavimams užtikrinimas.</w:t>
                </w:r>
              </w:p>
              <w:p w14:paraId="708F04E3" w14:textId="06CA3401">
                <w:pPr>
                  <w:jc w:val="both"/>
                  <w:rPr>
                    <w:szCs w:val="24"/>
                  </w:rPr>
                </w:pPr>
                <w:r>
                  <w:rPr>
                    <w:szCs w:val="24"/>
                  </w:rPr>
                  <w:t xml:space="preserve">2.3. Galimas pareiškėjas – </w:t>
                </w:r>
                <w:r>
                  <w:rPr>
                    <w:bdr w:val="none" w:sz="0" w:space="0" w:color="auto" w:frame="1"/>
                  </w:rPr>
                  <w:t>Nacionalinis visuomenės sveikatos centras prie Sveikatos apsaugos ministerijos (toliau – NVSC).</w:t>
                </w:r>
              </w:p>
              <w:p w14:paraId="39BB609E" w14:textId="0CBFA2A0">
                <w:pPr>
                  <w:jc w:val="both"/>
                  <w:rPr>
                    <w:szCs w:val="24"/>
                  </w:rPr>
                </w:pPr>
                <w:r>
                  <w:rPr>
                    <w:szCs w:val="24"/>
                  </w:rPr>
                  <w:t xml:space="preserve">2.4. Partneriai nėra galimi. </w:t>
                </w:r>
              </w:p>
              <w:p w14:paraId="2EA900B4" w14:textId="484C69F3">
                <w:pPr>
                  <w:jc w:val="both"/>
                  <w:rPr>
                    <w:szCs w:val="24"/>
                  </w:rPr>
                </w:pPr>
                <w:r>
                  <w:rPr>
                    <w:szCs w:val="24"/>
                  </w:rPr>
                  <w:t xml:space="preserve">2.5. Projektui pagal Aprašo Nr. 16 veiklą įgyvendinti skiriama iki 2 297 520,00 Eur (du milijonai du šimtai devyniasdešimt septyni tūkstančiai penki šimtai dvidešimt eurų) </w:t>
                </w:r>
                <w:r>
                  <w:rPr>
                    <w:bCs/>
                    <w:iCs/>
                    <w:szCs w:val="24"/>
                  </w:rPr>
                  <w:t>EGADP</w:t>
                </w:r>
                <w:r>
                  <w:rPr>
                    <w:szCs w:val="24"/>
                  </w:rPr>
                  <w:t xml:space="preserve"> lėšų ir iki 482 479,00 Eur (keturi šimtai aštuoniasdešimt du tūkstančiai keturi šimtai septyniasdešimt devyni eurai) VB lėšų.</w:t>
                </w:r>
              </w:p>
              <w:p w14:paraId="2B052F2A" w14:textId="46178605">
                <w:pPr>
                  <w:jc w:val="both"/>
                </w:pPr>
                <w:r>
                  <w:t xml:space="preserve">2.6. Didžiausia galima projekto finansuojamoji dalis sudaro 100 proc. visų tinkamų finansuoti projekto išlaidų.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021DBF1B">
                <w:pPr>
                  <w:tabs>
                    <w:tab w:val="left" w:pos="1170"/>
                    <w:tab w:val="left" w:pos="1710"/>
                  </w:tabs>
                  <w:jc w:val="both"/>
                  <w:rPr>
                    <w:szCs w:val="24"/>
                  </w:rPr>
                </w:pPr>
                <w:r>
                  <w:t xml:space="preserve">2.7. </w:t>
                </w:r>
                <w:r>
                  <w:rPr>
                    <w:szCs w:val="24"/>
                  </w:rPr>
                  <w:t xml:space="preserve">Vykdydamas Aprašo Nr. 16 2.2 papunktyje nurodytas veiklas NVSC, įgyvendindamas projektą, savo informacinių sistemų tobulinimo planą turi nusimatyti ir vykdyti taip, kad tai neturėtų neigiamos įtakos ESPBI IS plėtrai ir užtikrintų sėkmingą reikalingų funkcionalumų įdiegimą. </w:t>
                </w:r>
              </w:p>
              <w:p w14:paraId="5A3E4DD1" w14:textId="4AEDAA4F">
                <w:pPr>
                  <w:jc w:val="both"/>
                </w:pPr>
                <w:r>
                  <w:t xml:space="preserve">2.8. </w:t>
                </w:r>
                <w:r>
                  <w:rPr>
                    <w:rFonts w:eastAsia="Calibri"/>
                    <w:bCs/>
                    <w:szCs w:val="24"/>
                  </w:rPr>
                  <w:t>Pagal Aprašą Nr. 16 veikla įgyvendinama valstybės planavimo būdu.</w:t>
                </w:r>
              </w:p>
              <w:p w14:paraId="3306C81A" w14:textId="233C2AC3">
                <w:pPr>
                  <w:jc w:val="both"/>
                  <w:rPr>
                    <w:szCs w:val="24"/>
                  </w:rPr>
                </w:pPr>
                <w:r>
                  <w:rPr>
                    <w:szCs w:val="24"/>
                  </w:rPr>
                  <w:t xml:space="preserve">2.9. Finansuojamos veiklos turi būti baigtos įgyvendinti iki 2025 metų gruodžio 31 d. </w:t>
                </w:r>
              </w:p>
              <w:p w14:paraId="58F218A0" w14:textId="7AC2DB2B">
                <w:pPr>
                  <w:jc w:val="both"/>
                  <w:rPr>
                    <w:szCs w:val="24"/>
                  </w:rPr>
                </w:pPr>
                <w:r>
                  <w:rPr>
                    <w:szCs w:val="24"/>
                  </w:rPr>
                  <w:t xml:space="preserve">2.10. Visi stebėsenos rodikliai yra privalomi pareiškėjui ir turi būti siekiami projekto įgyvendinimo metu ir (ar) po jo. </w:t>
                </w:r>
              </w:p>
              <w:p w14:paraId="2CCF360E" w14:textId="6AAE61D3">
                <w:pPr>
                  <w:tabs>
                    <w:tab w:val="left" w:pos="459"/>
                  </w:tabs>
                  <w:jc w:val="both"/>
                  <w:rPr>
                    <w:szCs w:val="24"/>
                  </w:rPr>
                </w:pPr>
                <w:r>
                  <w:rPr>
                    <w:rFonts w:eastAsia="Calibri"/>
                    <w:szCs w:val="24"/>
                  </w:rPr>
                  <w:t xml:space="preserve">2.11. </w:t>
                </w:r>
                <w:r>
                  <w:t>Projektui taikomos matomumo ir informavimo priemonės, nurodytos PAFT VIII skyriaus „Kiti projektų reikalavimai“ pirmame skirsnyje „Informavimas apie projektą ir komunikacija“. Papildomi matomumo reikalavimai nenustatomi.</w:t>
                </w:r>
              </w:p>
              <w:p w14:paraId="7A7A6F75" w14:textId="17144EF7">
                <w:pPr>
                  <w:jc w:val="both"/>
                </w:pPr>
                <w:r>
                  <w:t xml:space="preserve">2.12. </w:t>
                </w:r>
                <w:r>
                  <w:rPr>
                    <w:rFonts w:eastAsia="Calibri"/>
                    <w:szCs w:val="24"/>
                  </w:rPr>
                  <w:t>P</w:t>
                </w:r>
                <w:r>
                  <w:rPr>
                    <w:szCs w:val="24"/>
                  </w:rPr>
                  <w:t xml:space="preserve">rojekto investicinis projektas iki pateikiant </w:t>
                </w:r>
                <w:r>
                  <w:t xml:space="preserve">VšĮ Centrinei projektų valdymo agentūrai (toliau – administruojančioji institucija) </w:t>
                </w:r>
                <w:r>
                  <w:rPr>
                    <w:szCs w:val="24"/>
                  </w:rPr>
                  <w:t>privalo būti suderintas su SAM.</w:t>
                </w:r>
              </w:p>
              <w:p w14:paraId="4612E0A7" w14:textId="433680C1">
                <w:pPr>
                  <w:jc w:val="both"/>
                </w:pPr>
                <w:r>
                  <w:t>2.13. Kartu su PĮP administruojančiai institucijai turi būti pateikti šie dokumentai:</w:t>
                </w:r>
              </w:p>
              <w:p w14:paraId="5D4137F7" w14:textId="77777777">
                <w:pPr>
                  <w:jc w:val="both"/>
                </w:pPr>
                <w:r>
                  <w:t>2.13.1. įgaliojimas pasirašyti PĮP, jei jį pasirašo ne pareiškėjo įstaigos vadovas;</w:t>
                </w:r>
              </w:p>
              <w:p w14:paraId="302CD68A" w14:textId="18114E73">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„Plėtros programų portfelio metodinės pagalbos centras“ prie „Dokumentai“;</w:t>
                </w:r>
              </w:p>
              <w:p w14:paraId="70EDCD96" w14:textId="77777777">
                <w:pPr>
                  <w:jc w:val="both"/>
                  <w:rPr>
                    <w:szCs w:val="24"/>
                  </w:rPr>
                </w:pPr>
                <w:r>
                  <w:rPr>
                    <w:szCs w:val="24"/>
                  </w:rPr>
                  <w:t>2.13.3. d</w:t>
                </w:r>
                <w:r>
                  <w:rPr>
                    <w:szCs w:val="24"/>
                    <w:lang w:eastAsia="lt-LT"/>
                  </w:rPr>
                  <w:t xml:space="preserve">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1BC74B1E">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įkainis (valandinis ar mėnesinis),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darbo sutartys dėl tų pačių ar panašių funkcijų ir (ar) pareigų, 3</w:t>
                </w:r>
                <w:r>
                  <w:rPr>
                    <w:lang w:eastAsia="ar-SA"/>
                  </w:rPr>
                  <w:t>–</w:t>
                </w:r>
                <w:r>
                  <w:rPr>
                    <w:szCs w:val="24"/>
                  </w:rPr>
                  <w:t xml:space="preserve">12 mėn. laikotarpio analogiškos pareigybės  darbo užmokesčio nuasmenintas priskaitymo-apmokėjimo žiniaraštis, įrodantis DU paskyrimo ir išmokėjimo faktą;</w:t>
                </w:r>
              </w:p>
              <w:p w14:paraId="1C8867B3" w14:textId="45F8D6BB">
                <w:pPr>
                  <w:tabs>
                    <w:tab w:val="left" w:pos="426"/>
                    <w:tab w:val="left" w:pos="709"/>
                  </w:tabs>
                  <w:jc w:val="both"/>
                  <w:rPr>
                    <w:szCs w:val="24"/>
                    <w:lang w:eastAsia="lt-LT"/>
                  </w:rPr>
                </w:pPr>
                <w:r>
                  <w:rPr>
                    <w:szCs w:val="24"/>
                    <w:lang w:eastAsia="lt-LT"/>
                  </w:rPr>
                  <w:t>2.13.</w:t>
                </w:r>
                <w:r>
                  <w:rPr>
                    <w:szCs w:val="24"/>
                    <w:lang w:val="pt-BR" w:eastAsia="lt-LT"/>
                  </w:rPr>
                  <w:t>5</w:t>
                </w:r>
                <w:r>
                  <w:rPr>
                    <w:szCs w:val="24"/>
                    <w:lang w:eastAsia="lt-LT"/>
                  </w:rPr>
                  <w:t xml:space="preserve">. </w:t>
                </w:r>
                <w:r>
                  <w:rPr>
                    <w:szCs w:val="24"/>
                  </w:rPr>
                  <w:t>raštas, kuriuo investicijų projektas suderintas su SAM.</w:t>
                </w:r>
              </w:p>
              <w:p w14:paraId="5BDD9672" w14:textId="46E4B1B9">
                <w:pPr>
                  <w:jc w:val="both"/>
                  <w:rPr>
                    <w:szCs w:val="24"/>
                    <w:lang w:eastAsia="lt-LT"/>
                  </w:rPr>
                </w:pPr>
                <w:r>
                  <w:t xml:space="preserve">2.14. Projektas turi atitikti </w:t>
                </w:r>
                <w:r>
                  <w:rPr>
                    <w:iCs/>
                  </w:rPr>
                  <w:t>PAFT 2 priede nustatytus projektų bendruosius atrankos kriterijus.</w:t>
                </w:r>
              </w:p>
              <w:p w14:paraId="20063BB9" w14:textId="67812A96">
                <w:pPr>
                  <w:jc w:val="both"/>
                  <w:rPr>
                    <w:rFonts w:eastAsia="Calibri"/>
                    <w:szCs w:val="24"/>
                    <w:lang w:eastAsia="en-GB" w:bidi="lt-LT"/>
                  </w:rPr>
                </w:pPr>
                <w:r>
                  <w:rPr>
                    <w:szCs w:val="24"/>
                  </w:rPr>
                  <w:t xml:space="preserve">2.15. Taikomi reikalavimai projekto įgyvendinimo metu: </w:t>
                </w:r>
              </w:p>
              <w:p w14:paraId="2A2DD8FD" w14:textId="53BC73B9">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3BEA1EE7" w14:textId="2D3BBBDC">
                <w:pPr>
                  <w:jc w:val="both"/>
                  <w:rPr>
                    <w:szCs w:val="24"/>
                  </w:rPr>
                </w:pPr>
                <w:r>
                  <w:rPr>
                    <w:szCs w:val="24"/>
                  </w:rPr>
                  <w:t>2.15.2. sukūrus ar modernizavus elektronines paslaugas, turi būti atliktas atsparumo įsilaužimams testas, kaip tai numatyta Elektroninių paslaugų kūrimo metodikoje, nustačius kritinių klaidų, jos turi būti ištaisytos iki projekto veiklų pabaigos;</w:t>
                </w:r>
              </w:p>
              <w:p w14:paraId="1FB05837" w14:textId="36896333">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1D1DCD54" w14:textId="43E7B642">
                <w:pPr>
                  <w:jc w:val="both"/>
                  <w:rPr>
                    <w:i/>
                    <w:iCs/>
                    <w:sz w:val="22"/>
                    <w:szCs w:val="22"/>
                  </w:rPr>
                </w:pPr>
                <w:r>
                  <w:rPr>
                    <w:szCs w:val="24"/>
                  </w:rPr>
                  <w:t>2.15.4.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kaip tai numatyta Nutarime Nr. 498.</w:t>
                </w:r>
              </w:p>
            </w:tc>
          </w:tr>
          <w:tr w14:paraId="14363347" w14:textId="77777777">
            <w:tc>
              <w:tcPr>
                <w:tcW w:w="15134" w:type="dxa"/>
              </w:tcPr>
              <w:p w14:paraId="047B9600" w14:textId="77777777">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14:paraId="5988650A" w14:textId="77777777">
            <w:trPr>
              <w:trHeight w:val="206"/>
            </w:trPr>
            <w:tc>
              <w:tcPr>
                <w:tcW w:w="15134" w:type="dxa"/>
              </w:tcPr>
              <w:p w14:paraId="7E59E3E3" w14:textId="77777777">
                <w:pPr>
                  <w:jc w:val="both"/>
                  <w:rPr>
                    <w:i/>
                    <w:iCs/>
                    <w:sz w:val="22"/>
                    <w:szCs w:val="22"/>
                  </w:rPr>
                </w:pPr>
                <w:r>
                  <w:rPr>
                    <w:szCs w:val="24"/>
                  </w:rPr>
                  <w:t>Netaikoma</w:t>
                </w:r>
              </w:p>
            </w:tc>
          </w:tr>
          <w:tr w14:paraId="69D1DA06" w14:textId="77777777">
            <w:trPr>
              <w:trHeight w:val="285"/>
            </w:trPr>
            <w:tc>
              <w:tcPr>
                <w:tcW w:w="15134" w:type="dxa"/>
              </w:tcPr>
              <w:p w14:paraId="609907EC" w14:textId="77777777">
                <w:pPr>
                  <w:rPr>
                    <w:b/>
                    <w:szCs w:val="24"/>
                  </w:rPr>
                </w:pPr>
                <w:r>
                  <w:rPr>
                    <w:b/>
                    <w:szCs w:val="24"/>
                  </w:rPr>
                  <w:t>4. Projekto tikslinės grupės</w:t>
                </w:r>
              </w:p>
            </w:tc>
          </w:tr>
          <w:tr w14:paraId="26F15112" w14:textId="77777777">
            <w:trPr>
              <w:trHeight w:val="285"/>
            </w:trPr>
            <w:tc>
              <w:tcPr>
                <w:tcW w:w="15134" w:type="dxa"/>
              </w:tcPr>
              <w:p w14:paraId="50882145" w14:textId="77777777">
                <w:pPr>
                  <w:jc w:val="both"/>
                  <w:rPr>
                    <w:bCs/>
                    <w:szCs w:val="24"/>
                  </w:rPr>
                </w:pPr>
                <w:r>
                  <w:rPr>
                    <w:bCs/>
                    <w:szCs w:val="24"/>
                  </w:rPr>
                  <w:t>4.1. Projekto tikslinė grupė:</w:t>
                </w:r>
              </w:p>
              <w:p w14:paraId="7D5478DF" w14:textId="4ECE1FD8">
                <w:pPr>
                  <w:jc w:val="both"/>
                  <w:rPr>
                    <w:szCs w:val="24"/>
                  </w:rPr>
                </w:pPr>
                <w:r>
                  <w:rPr>
                    <w:bCs/>
                    <w:szCs w:val="24"/>
                  </w:rPr>
                  <w:t>4.1.1.</w:t>
                </w:r>
                <w:r>
                  <w:rPr>
                    <w:szCs w:val="24"/>
                  </w:rPr>
                  <w:t xml:space="preserve"> sveikatos priežiūros specialistai ir kiti specialistai, dirbantys visuomenės sveikatos priežiūros, farmacijos, asmens sveikatos priežiūros ir kontrolės funkcijas atliekančiose įstaigose</w:t>
                </w:r>
                <w:r>
                  <w:rPr>
                    <w:bCs/>
                    <w:szCs w:val="24"/>
                  </w:rPr>
                  <w:t>:</w:t>
                </w:r>
              </w:p>
              <w:p w14:paraId="494C12D8" w14:textId="60BA1E69">
                <w:pPr>
                  <w:jc w:val="both"/>
                  <w:rPr>
                    <w:szCs w:val="24"/>
                  </w:rPr>
                </w:pPr>
                <w:r>
                  <w:rPr>
                    <w:szCs w:val="24"/>
                  </w:rPr>
                  <w:t>4.1.1.1. NVSC;</w:t>
                </w:r>
              </w:p>
              <w:p w14:paraId="067BBFB0" w14:textId="6BAE9215">
                <w:pPr>
                  <w:jc w:val="both"/>
                  <w:rPr>
                    <w:szCs w:val="24"/>
                  </w:rPr>
                </w:pPr>
                <w:r>
                  <w:rPr>
                    <w:szCs w:val="24"/>
                  </w:rPr>
                  <w:t>4.1.1.2. Nacionalinėje visuomenės sveikatos priežiūros laboratorijoje;</w:t>
                </w:r>
              </w:p>
              <w:p w14:paraId="547586E6" w14:textId="29C30503">
                <w:pPr>
                  <w:jc w:val="both"/>
                  <w:rPr>
                    <w:szCs w:val="24"/>
                  </w:rPr>
                </w:pPr>
                <w:r>
                  <w:rPr>
                    <w:szCs w:val="24"/>
                  </w:rPr>
                  <w:t>4.1.1.3. asmens ir visuomenės sveikatos priežiūros įstaigose;</w:t>
                </w:r>
              </w:p>
              <w:p w14:paraId="3BC4F5BB" w14:textId="79364F04">
                <w:pPr>
                  <w:jc w:val="both"/>
                  <w:rPr>
                    <w:szCs w:val="24"/>
                  </w:rPr>
                </w:pPr>
                <w:r>
                  <w:rPr>
                    <w:szCs w:val="24"/>
                  </w:rPr>
                  <w:t>4.1.1.4. suinteresuotose regioninėse, nacionalinėse ir tarptautinėse institucijose ir organizacijose: visuomenės sveikatos biuruose, savivaldybėse, Higienos institute, Lietuvos statistikos departamente, Pasaulio sveikatos organizacijoje, Europos ligų prevencijos ir kontrolės centre, kt.;</w:t>
                </w:r>
              </w:p>
              <w:p w14:paraId="79A359B8" w14:textId="27E364DE">
                <w:pPr>
                  <w:tabs>
                    <w:tab w:val="left" w:pos="860"/>
                  </w:tabs>
                  <w:jc w:val="both"/>
                  <w:rPr>
                    <w:szCs w:val="24"/>
                  </w:rPr>
                </w:pPr>
                <w:r>
                  <w:rPr>
                    <w:szCs w:val="24"/>
                  </w:rPr>
                  <w:t>4.1.2. visuomenė (aktualios informacijos apie epidemiologinę situaciją ir prevencines priemones regioniniu ar nacionaliniu mastu teikimas, informavimas apie biologines visuomenės sveikatos grėsmes (atvejai, protrūkiai, kt.), įskaitant ir apie galinčias išplisti tarptautiniu mastu).</w:t>
                </w:r>
              </w:p>
              <w:p w14:paraId="32A60A99" w14:textId="42121320">
                <w:pPr>
                  <w:tabs>
                    <w:tab w:val="left" w:pos="860"/>
                  </w:tabs>
                  <w:jc w:val="both"/>
                  <w:rPr>
                    <w:sz w:val="22"/>
                    <w:szCs w:val="22"/>
                  </w:rPr>
                </w:pPr>
                <w:r>
                  <w:rPr>
                    <w:szCs w:val="24"/>
                  </w:rPr>
                  <w:t>Tikslinių grupių poreikiai bus išgryninti investiciniame projekte.</w:t>
                </w:r>
              </w:p>
            </w:tc>
          </w:tr>
          <w:tr w14:paraId="6864A034" w14:textId="77777777">
            <w:trPr>
              <w:trHeight w:val="285"/>
            </w:trPr>
            <w:tc>
              <w:tcPr>
                <w:tcW w:w="15134" w:type="dxa"/>
              </w:tcPr>
              <w:p w14:paraId="12BFEFF1" w14:textId="77777777">
                <w:pPr>
                  <w:rPr>
                    <w:sz w:val="22"/>
                    <w:szCs w:val="22"/>
                  </w:rPr>
                </w:pPr>
                <w:r>
                  <w:rPr>
                    <w:b/>
                    <w:szCs w:val="24"/>
                  </w:rPr>
                  <w:t>5</w:t>
                </w:r>
                <w:r>
                  <w:rPr>
                    <w:szCs w:val="24"/>
                  </w:rPr>
                  <w:t xml:space="preserve">. </w:t>
                </w:r>
                <w:r>
                  <w:rPr>
                    <w:b/>
                    <w:szCs w:val="24"/>
                  </w:rPr>
                  <w:t>Horizontaliųjų principų (toliau – HP) reikalavimai</w:t>
                </w:r>
              </w:p>
            </w:tc>
          </w:tr>
          <w:tr w14:paraId="5DDAED8B" w14:textId="77777777">
            <w:tc>
              <w:tcPr>
                <w:tcW w:w="15134" w:type="dxa"/>
              </w:tcPr>
              <w:p w14:paraId="7762D8CF" w14:textId="21B2C4C9">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62468F3" w14:textId="5FD2A3C7">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r>
                  <w:t>(ES) Nr. 2020/852</w:t>
                </w:r>
                <w:r>
                  <w:t xml:space="preserve"> dėl sistemos tvariam investavimui palengvinti sukūrimo, kuriuo iš dalies keičiamas Reglamentas </w:t>
                </w:r>
                <w:r>
                  <w:t>(ES) 2019/2088</w:t>
                </w:r>
                <w: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16 priede „Projekto atitikties reikšmingos žalos nedarymo horizontaliajam principui vertinimo reikalavimų aprašas“.</w:t>
                </w:r>
              </w:p>
            </w:tc>
          </w:tr>
          <w:tr w14:paraId="1EEC730A" w14:textId="77777777">
            <w:tc>
              <w:tcPr>
                <w:tcW w:w="15134" w:type="dxa"/>
              </w:tcPr>
              <w:p w14:paraId="32D7E156" w14:textId="77777777">
                <w:pPr>
                  <w:spacing w:line="259" w:lineRule="auto"/>
                  <w:jc w:val="both"/>
                  <w:rPr>
                    <w:b/>
                    <w:iCs/>
                    <w:szCs w:val="24"/>
                  </w:rPr>
                </w:pPr>
                <w:r>
                  <w:rPr>
                    <w:b/>
                    <w:iCs/>
                    <w:szCs w:val="24"/>
                  </w:rPr>
                  <w:t>6. Europos Sąjungos pagrindinių teisių chartijos (toliau – Chartija) reikalavimai</w:t>
                </w:r>
              </w:p>
            </w:tc>
          </w:tr>
          <w:tr w14:paraId="15759307" w14:textId="77777777">
            <w:tc>
              <w:tcPr>
                <w:tcW w:w="15134" w:type="dxa"/>
              </w:tcPr>
              <w:p w14:paraId="70061574" w14:textId="368AE3D3">
                <w:pPr>
                  <w:jc w:val="both"/>
                </w:pPr>
                <w:r>
                  <w:t>Pagal Aprašą Nr. 16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pPr>
                  <w:jc w:val="both"/>
                  <w:rPr>
                    <w:i/>
                    <w:iCs/>
                    <w:sz w:val="22"/>
                    <w:szCs w:val="22"/>
                  </w:rPr>
                </w:pPr>
                <w:r>
                  <w:t>Projektuose neturi būti numatyta veiksmų, kurie galėtų riboti ar pažeisti Chartijoje numatytas pagrindines teises.</w:t>
                </w:r>
              </w:p>
            </w:tc>
          </w:tr>
          <w:tr w14:paraId="4FF03F21" w14:textId="77777777">
            <w:tc>
              <w:tcPr>
                <w:tcW w:w="15134" w:type="dxa"/>
              </w:tcPr>
              <w:p w14:paraId="5A963807" w14:textId="77777777">
                <w:pPr>
                  <w:rPr>
                    <w:b/>
                    <w:szCs w:val="24"/>
                  </w:rPr>
                </w:pPr>
                <w:r>
                  <w:rPr>
                    <w:b/>
                    <w:szCs w:val="24"/>
                  </w:rPr>
                  <w:t>7. Apskritis, kurioje gali būti įgyvendinami projektai</w:t>
                </w:r>
              </w:p>
            </w:tc>
          </w:tr>
          <w:tr w14:paraId="3B6204BA" w14:textId="77777777">
            <w:tc>
              <w:tcPr>
                <w:tcW w:w="15134" w:type="dxa"/>
              </w:tcPr>
              <w:p w14:paraId="4EB2C5FB" w14:textId="77777777">
                <w:pPr>
                  <w:jc w:val="both"/>
                  <w:rPr>
                    <w:i/>
                    <w:sz w:val="22"/>
                    <w:szCs w:val="22"/>
                  </w:rPr>
                </w:pPr>
                <w:r>
                  <w:rPr>
                    <w:szCs w:val="24"/>
                  </w:rPr>
                  <w:t>Netaikoma.</w:t>
                </w:r>
              </w:p>
            </w:tc>
          </w:tr>
          <w:tr w14:paraId="7C191464" w14:textId="77777777">
            <w:tc>
              <w:tcPr>
                <w:tcW w:w="15134" w:type="dxa"/>
              </w:tcPr>
              <w:p w14:paraId="3A5C258B" w14:textId="77777777">
                <w:pPr>
                  <w:jc w:val="both"/>
                  <w:rPr>
                    <w:szCs w:val="24"/>
                  </w:rPr>
                </w:pPr>
                <w:r>
                  <w:rPr>
                    <w:b/>
                    <w:szCs w:val="24"/>
                  </w:rPr>
                  <w:t>8.</w:t>
                </w:r>
                <w:r>
                  <w:rPr>
                    <w:szCs w:val="24"/>
                  </w:rPr>
                  <w:t xml:space="preserve"> </w:t>
                </w:r>
                <w:r>
                  <w:rPr>
                    <w:b/>
                    <w:szCs w:val="24"/>
                  </w:rPr>
                  <w:t>Reikalavimai valstybės pagalbai (kurie nėra nurodyti kituose Aprašo punktuose)</w:t>
                </w:r>
              </w:p>
            </w:tc>
          </w:tr>
          <w:tr w14:paraId="7CB2415B" w14:textId="77777777">
            <w:tc>
              <w:tcPr>
                <w:tcW w:w="15134" w:type="dxa"/>
              </w:tcPr>
              <w:p w14:paraId="69304ACB" w14:textId="50C88761">
                <w:pPr>
                  <w:jc w:val="both"/>
                  <w:rPr>
                    <w:i/>
                    <w:iCs/>
                    <w:sz w:val="22"/>
                    <w:szCs w:val="22"/>
                  </w:rPr>
                </w:pPr>
                <w:r>
                  <w:rPr>
                    <w:szCs w:val="24"/>
                  </w:rPr>
                  <w:t xml:space="preserve">Pagal Aprašą Nr. 16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0BC8B707" w14:textId="77777777">
            <w:tc>
              <w:tcPr>
                <w:tcW w:w="15134" w:type="dxa"/>
              </w:tcPr>
              <w:p w14:paraId="6A77AA2F" w14:textId="064EA226">
                <w:pPr>
                  <w:jc w:val="both"/>
                  <w:rPr>
                    <w:i/>
                    <w:szCs w:val="24"/>
                  </w:rPr>
                </w:pPr>
                <w:r>
                  <w:rPr>
                    <w:b/>
                    <w:szCs w:val="24"/>
                  </w:rPr>
                  <w:t>9.</w:t>
                </w:r>
                <w:r>
                  <w:rPr>
                    <w:szCs w:val="24"/>
                  </w:rPr>
                  <w:t xml:space="preserve"> </w:t>
                </w:r>
                <w:r>
                  <w:rPr>
                    <w:b/>
                    <w:szCs w:val="24"/>
                  </w:rPr>
                  <w:t>Projektų atrankos kriterijai</w:t>
                </w:r>
              </w:p>
            </w:tc>
          </w:tr>
          <w:tr w14:paraId="71534B17" w14:textId="77777777">
            <w:trPr>
              <w:trHeight w:val="195"/>
            </w:trPr>
            <w:tc>
              <w:tcPr>
                <w:tcW w:w="15134" w:type="dxa"/>
              </w:tcPr>
              <w:p w14:paraId="2E2234E0" w14:textId="4B884811">
                <w:pPr>
                  <w:jc w:val="both"/>
                  <w:rPr>
                    <w:i/>
                    <w:szCs w:val="24"/>
                  </w:rPr>
                </w:pPr>
                <w:r>
                  <w:rPr>
                    <w:iCs/>
                    <w:szCs w:val="24"/>
                  </w:rPr>
                  <w:t>Specialieji ir prioritetiniai projektų atrankos kriterijai nėra nustatomi.</w:t>
                </w:r>
              </w:p>
            </w:tc>
          </w:tr>
          <w:tr w14:paraId="4BA36464" w14:textId="77777777">
            <w:trPr>
              <w:trHeight w:val="309"/>
            </w:trPr>
            <w:tc>
              <w:tcPr>
                <w:tcW w:w="15134" w:type="dxa"/>
              </w:tcPr>
              <w:p w14:paraId="4DA19A25" w14:textId="1898388F">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395E9F46" w14:textId="77777777">
            <w:trPr>
              <w:trHeight w:val="197"/>
            </w:trPr>
            <w:tc>
              <w:tcPr>
                <w:tcW w:w="15134" w:type="dxa"/>
              </w:tcPr>
              <w:p w14:paraId="564F4032" w14:textId="77777777">
                <w:pPr>
                  <w:jc w:val="both"/>
                  <w:rPr>
                    <w:i/>
                    <w:sz w:val="22"/>
                    <w:szCs w:val="22"/>
                  </w:rPr>
                </w:pPr>
                <w:r>
                  <w:rPr>
                    <w:iCs/>
                    <w:szCs w:val="22"/>
                  </w:rPr>
                  <w:t>Netaikoma.</w:t>
                </w:r>
              </w:p>
            </w:tc>
          </w:tr>
          <w:tr w14:paraId="6DBFC20D" w14:textId="77777777">
            <w:tc>
              <w:tcPr>
                <w:tcW w:w="15134" w:type="dxa"/>
              </w:tcPr>
              <w:p w14:paraId="7E11037D" w14:textId="77777777">
                <w:pPr>
                  <w:rPr>
                    <w:szCs w:val="24"/>
                  </w:rPr>
                </w:pPr>
                <w:r>
                  <w:rPr>
                    <w:b/>
                    <w:szCs w:val="24"/>
                  </w:rPr>
                  <w:t>11.</w:t>
                </w:r>
                <w:r>
                  <w:rPr>
                    <w:szCs w:val="24"/>
                  </w:rPr>
                  <w:t xml:space="preserve"> </w:t>
                </w:r>
                <w:r>
                  <w:rPr>
                    <w:b/>
                    <w:szCs w:val="24"/>
                  </w:rPr>
                  <w:t>Reikalavimai įgyvendinus projektų veiklas</w:t>
                </w:r>
              </w:p>
            </w:tc>
          </w:tr>
          <w:tr w14:paraId="214E2920" w14:textId="77777777">
            <w:tc>
              <w:tcPr>
                <w:tcW w:w="15134" w:type="dxa"/>
              </w:tcPr>
              <w:p w14:paraId="70845F6F" w14:textId="77777777">
                <w:pPr>
                  <w:jc w:val="both"/>
                  <w:rPr>
                    <w:i/>
                    <w:sz w:val="22"/>
                    <w:szCs w:val="22"/>
                  </w:rPr>
                </w:pPr>
                <w:r>
                  <w:rPr>
                    <w:iCs/>
                    <w:szCs w:val="24"/>
                  </w:rPr>
                  <w:t>Papildomi reikalavimai, kurie nėra nurodyti PAFT, nenustatyti.</w:t>
                </w:r>
              </w:p>
            </w:tc>
          </w:tr>
          <w:tr w14:paraId="7DD4697D" w14:textId="77777777">
            <w:tc>
              <w:tcPr>
                <w:tcW w:w="15134" w:type="dxa"/>
              </w:tcPr>
              <w:p w14:paraId="4E8C7795" w14:textId="77777777">
                <w:pPr>
                  <w:rPr>
                    <w:szCs w:val="24"/>
                  </w:rPr>
                </w:pPr>
                <w:r>
                  <w:rPr>
                    <w:b/>
                    <w:szCs w:val="24"/>
                  </w:rPr>
                  <w:t>12.</w:t>
                </w:r>
                <w:r>
                  <w:rPr>
                    <w:szCs w:val="24"/>
                  </w:rPr>
                  <w:t xml:space="preserve"> </w:t>
                </w:r>
                <w:r>
                  <w:rPr>
                    <w:b/>
                    <w:szCs w:val="24"/>
                  </w:rPr>
                  <w:t>Kiti reikalavimai</w:t>
                </w:r>
              </w:p>
            </w:tc>
          </w:tr>
          <w:tr w14:paraId="48A616A4" w14:textId="77777777">
            <w:tc>
              <w:tcPr>
                <w:tcW w:w="15134" w:type="dxa"/>
              </w:tcPr>
              <w:p w14:paraId="78D619BB" w14:textId="4A2C9B10">
                <w:pPr>
                  <w:jc w:val="both"/>
                  <w:rPr>
                    <w:i/>
                    <w:sz w:val="22"/>
                    <w:szCs w:val="22"/>
                  </w:rPr>
                </w:pPr>
                <w:r>
                  <w:rPr>
                    <w:iCs/>
                    <w:szCs w:val="22"/>
                  </w:rPr>
                  <w:t>Netaikoma.</w:t>
                </w:r>
              </w:p>
            </w:tc>
          </w:tr>
          <w:tr w14:paraId="17E7C0CA" w14:textId="77777777">
            <w:tc>
              <w:tcPr>
                <w:tcW w:w="15134" w:type="dxa"/>
              </w:tcPr>
              <w:p w14:paraId="26BF6739" w14:textId="77777777">
                <w:pPr>
                  <w:rPr>
                    <w:b/>
                    <w:szCs w:val="24"/>
                  </w:rPr>
                </w:pPr>
                <w:r>
                  <w:rPr>
                    <w:b/>
                    <w:szCs w:val="24"/>
                  </w:rPr>
                  <w:t>IŠLAIDŲ TINKAMUMO FINANSUOTI REIKALAVIMAI</w:t>
                </w:r>
              </w:p>
            </w:tc>
          </w:tr>
          <w:tr w14:paraId="78556155" w14:textId="77777777">
            <w:tc>
              <w:tcPr>
                <w:tcW w:w="15134" w:type="dxa"/>
              </w:tcPr>
              <w:p w14:paraId="30DBB902" w14:textId="77777777">
                <w:pPr>
                  <w:jc w:val="both"/>
                  <w:rPr>
                    <w:b/>
                    <w:szCs w:val="24"/>
                  </w:rPr>
                </w:pPr>
                <w:r>
                  <w:rPr>
                    <w:b/>
                    <w:szCs w:val="24"/>
                  </w:rPr>
                  <w:t>13. Išlaidų tinkamumo finansuoti reikalavimai</w:t>
                </w:r>
              </w:p>
            </w:tc>
          </w:tr>
          <w:tr w14:paraId="062C82A3" w14:textId="77777777">
            <w:tc>
              <w:tcPr>
                <w:tcW w:w="15134" w:type="dxa"/>
              </w:tcPr>
              <w:p w14:paraId="26D05861" w14:textId="77777777">
                <w:pPr>
                  <w:jc w:val="both"/>
                </w:pPr>
                <w:r>
                  <w:t>13.1. Kryžminis finansavimas netaikomas.</w:t>
                </w:r>
              </w:p>
              <w:p w14:paraId="7525783F" w14:textId="615168BF">
                <w:pPr>
                  <w:jc w:val="both"/>
                </w:pPr>
                <w:r>
                  <w:t>13.2. Projekto vykdytojui, vadovaujantis PAFT numatytomis sąlygomis, gali būti mokamas avansas.</w:t>
                </w:r>
              </w:p>
              <w:p w14:paraId="39831022" w14:textId="794D7A81">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0F02C5A8" w14:textId="2F4141A0">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5E7A620" w14:textId="2E58FDD4">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74736C86" w14:textId="7E099C46">
                <w:pPr>
                  <w:jc w:val="both"/>
                </w:pPr>
                <w:r>
                  <w:t xml:space="preserve">13.6. Projektui taikomi supaprastinti išlaidų dydžiai, kurie nurodyti  Aprašo Nr. 16 14 punkte „Projektų veiklų ir jungtinio projekto projektų įgyvendinimui taikomi supaprastintai apmokamų išlaidų dydžiai“.</w:t>
                </w:r>
              </w:p>
              <w:p w14:paraId="70548148" w14:textId="2FD98B23">
                <w:r>
                  <w:t xml:space="preserve">13.7.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363FD6CF" w14:textId="212A997B">
                <w:pPr>
                  <w:jc w:val="both"/>
                </w:pPr>
                <w:r>
                  <w:t>13.8. Pagal Aprašą Nr. 16 netinkamos finansuoti projekto išlaidos:</w:t>
                </w:r>
              </w:p>
              <w:p w14:paraId="4A20947F" w14:textId="32680EBE">
                <w:pPr>
                  <w:jc w:val="both"/>
                </w:pPr>
                <w:r>
                  <w:t>13.8.1. žemės ir kito nekilnojamojo turto įsigijimo išlaidos;</w:t>
                </w:r>
              </w:p>
              <w:p w14:paraId="2A57C10E" w14:textId="70189DFA">
                <w:pPr>
                  <w:jc w:val="both"/>
                </w:pPr>
                <w:r>
                  <w:t>13.8.2. remonto / rekonstrukcijos darbai;</w:t>
                </w:r>
              </w:p>
              <w:p w14:paraId="5E110842" w14:textId="49D0D461">
                <w:pPr>
                  <w:jc w:val="both"/>
                </w:pPr>
                <w:r>
                  <w:t xml:space="preserve">13.8.3. </w:t>
                </w:r>
                <w:r>
                  <w:rPr>
                    <w:bCs/>
                  </w:rPr>
                  <w:t>baldai</w:t>
                </w:r>
                <w:r>
                  <w:t>;</w:t>
                </w:r>
              </w:p>
              <w:p w14:paraId="2325344F" w14:textId="510FC8DF">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65548FBE" w14:textId="5B994A74">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br/>
                  <w:t>Nr. 498, išlaidos;</w:t>
                </w:r>
              </w:p>
              <w:p w14:paraId="03DB5CDF" w14:textId="425C904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66C3A1CB" w14:textId="56A4C78C">
                <w:pPr>
                  <w:jc w:val="both"/>
                </w:pPr>
                <w:r>
                  <w:t>13.8.7. vienkartinės priemonės, higienos prekės ir kitos panašios paslaugoms teikti reikalingos priemonės;</w:t>
                </w:r>
              </w:p>
              <w:p w14:paraId="7A22E3ED" w14:textId="2659C37D">
                <w:pPr>
                  <w:jc w:val="both"/>
                </w:pPr>
                <w:r>
                  <w:t>13.8.8. naudojamo ilgalaikio turto nusidėvėjimo (amortizacijos) sąnaudos;</w:t>
                </w:r>
              </w:p>
              <w:p w14:paraId="278EEC9E" w14:textId="039A6AE0">
                <w:pPr>
                  <w:jc w:val="both"/>
                </w:pPr>
                <w:r>
                  <w:t>13.8.9. PĮP rengimo išlaidos (išskyrus investicijų projekto ar kitų su PĮP privalomų teikti dokumentų rengimo išlaidas);</w:t>
                </w:r>
              </w:p>
              <w:p w14:paraId="31182412" w14:textId="5F88B8A6">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tc>
          </w:tr>
          <w:tr w14:paraId="2B72DF71" w14:textId="77777777">
            <w:trPr>
              <w:trHeight w:val="349"/>
            </w:trPr>
            <w:tc>
              <w:tcPr>
                <w:tcW w:w="15134" w:type="dxa"/>
              </w:tcPr>
              <w:p w14:paraId="749C4E40" w14:textId="77777777">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14:paraId="36CBE919" w14:textId="77777777">
                  <w:tc>
                    <w:tcPr>
                      <w:tcW w:w="14913" w:type="dxa"/>
                      <w:gridSpan w:val="5"/>
                    </w:tcPr>
                    <w:p w14:paraId="5E9DA946" w14:textId="7777777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2C7C4766" w14:textId="6173DD16">
                      <w:pPr>
                        <w:rPr>
                          <w:sz w:val="22"/>
                          <w:szCs w:val="22"/>
                        </w:rPr>
                      </w:pPr>
                      <w:r>
                        <w:rPr>
                          <w:rFonts w:eastAsia="MS Gothic"/>
                          <w:b/>
                          <w:bCs/>
                          <w:sz w:val="22"/>
                          <w:szCs w:val="22"/>
                        </w:rPr>
                        <w:t>X</w:t>
                      </w:r>
                      <w:r>
                        <w:rPr>
                          <w:b/>
                          <w:bCs/>
                          <w:sz w:val="22"/>
                          <w:szCs w:val="22"/>
                        </w:rPr>
                        <w:t xml:space="preserve"> Neindeksuojama</w:t>
                      </w:r>
                    </w:p>
                  </w:tc>
                </w:tr>
                <w:tr w14:paraId="05D049BA" w14:textId="77777777">
                  <w:tc>
                    <w:tcPr>
                      <w:tcW w:w="2889" w:type="dxa"/>
                      <w:vAlign w:val="center"/>
                    </w:tcPr>
                    <w:p w14:paraId="47BA4424" w14:textId="77777777">
                      <w:pPr>
                        <w:jc w:val="center"/>
                        <w:rPr>
                          <w:b/>
                          <w:bCs/>
                          <w:sz w:val="22"/>
                          <w:szCs w:val="22"/>
                        </w:rPr>
                      </w:pPr>
                      <w:r>
                        <w:rPr>
                          <w:b/>
                          <w:bCs/>
                          <w:sz w:val="22"/>
                          <w:szCs w:val="22"/>
                        </w:rPr>
                        <w:t>Veiklos ir (ar) išlaidos, kurioms taikomi supaprastintai apmokamų išlaidų dydžiai</w:t>
                      </w:r>
                    </w:p>
                  </w:tc>
                  <w:tc>
                    <w:tcPr>
                      <w:tcW w:w="1806" w:type="dxa"/>
                      <w:vAlign w:val="center"/>
                    </w:tcPr>
                    <w:p w14:paraId="4FD4EDAC" w14:textId="77777777">
                      <w:pPr>
                        <w:jc w:val="center"/>
                        <w:rPr>
                          <w:b/>
                          <w:bCs/>
                          <w:sz w:val="22"/>
                          <w:szCs w:val="22"/>
                        </w:rPr>
                      </w:pPr>
                      <w:r>
                        <w:rPr>
                          <w:b/>
                          <w:bCs/>
                          <w:sz w:val="22"/>
                          <w:szCs w:val="22"/>
                        </w:rPr>
                        <w:t>Supaprastintai apmokamų išlaidų dydžio kodas</w:t>
                      </w:r>
                    </w:p>
                  </w:tc>
                  <w:tc>
                    <w:tcPr>
                      <w:tcW w:w="1843" w:type="dxa"/>
                      <w:vAlign w:val="center"/>
                    </w:tcPr>
                    <w:p w14:paraId="36AEBC19" w14:textId="77777777">
                      <w:pPr>
                        <w:jc w:val="center"/>
                        <w:rPr>
                          <w:b/>
                          <w:bCs/>
                          <w:i/>
                          <w:iCs/>
                          <w:sz w:val="22"/>
                          <w:szCs w:val="22"/>
                        </w:rPr>
                      </w:pPr>
                      <w:r>
                        <w:rPr>
                          <w:b/>
                          <w:bCs/>
                          <w:sz w:val="22"/>
                          <w:szCs w:val="22"/>
                        </w:rPr>
                        <w:t>Supaprastintai apmokamų išlaidų dydžio versija</w:t>
                      </w:r>
                    </w:p>
                  </w:tc>
                  <w:tc>
                    <w:tcPr>
                      <w:tcW w:w="4252" w:type="dxa"/>
                      <w:vAlign w:val="center"/>
                    </w:tcPr>
                    <w:p w14:paraId="6872D209" w14:textId="77777777">
                      <w:pPr>
                        <w:jc w:val="center"/>
                        <w:rPr>
                          <w:b/>
                          <w:bCs/>
                          <w:sz w:val="22"/>
                          <w:szCs w:val="22"/>
                        </w:rPr>
                      </w:pPr>
                      <w:r>
                        <w:rPr>
                          <w:b/>
                          <w:bCs/>
                          <w:sz w:val="22"/>
                          <w:szCs w:val="22"/>
                        </w:rPr>
                        <w:t>Supaprastintai apmokamų išlaidų dydžio pavadinimas</w:t>
                      </w:r>
                    </w:p>
                  </w:tc>
                  <w:tc>
                    <w:tcPr>
                      <w:tcW w:w="4123" w:type="dxa"/>
                      <w:vAlign w:val="center"/>
                    </w:tcPr>
                    <w:p w14:paraId="17F0A400" w14:textId="77777777">
                      <w:pPr>
                        <w:jc w:val="center"/>
                        <w:rPr>
                          <w:b/>
                          <w:bCs/>
                          <w:sz w:val="22"/>
                          <w:szCs w:val="22"/>
                        </w:rPr>
                      </w:pPr>
                      <w:r>
                        <w:rPr>
                          <w:b/>
                          <w:bCs/>
                          <w:sz w:val="22"/>
                          <w:szCs w:val="22"/>
                        </w:rPr>
                        <w:t>Papildoma informacija</w:t>
                      </w:r>
                    </w:p>
                  </w:tc>
                </w:tr>
                <w:tr w14:paraId="0689D492" w14:textId="77777777">
                  <w:trPr>
                    <w:trHeight w:val="852"/>
                  </w:trPr>
                  <w:tc>
                    <w:tcPr>
                      <w:tcW w:w="2889" w:type="dxa"/>
                    </w:tcPr>
                    <w:p w14:paraId="1F56AD47" w14:textId="77777777">
                      <w:pPr>
                        <w:rPr>
                          <w:sz w:val="22"/>
                          <w:szCs w:val="22"/>
                        </w:rPr>
                      </w:pPr>
                      <w:r>
                        <w:rPr>
                          <w:sz w:val="22"/>
                          <w:szCs w:val="22"/>
                        </w:rPr>
                        <w:t>14.1. Matomumo ir informavimo priemonės</w:t>
                      </w:r>
                    </w:p>
                    <w:p w14:paraId="61F44107" w14:textId="6C6FFD56">
                      <w:pPr>
                        <w:rPr>
                          <w:sz w:val="22"/>
                          <w:szCs w:val="22"/>
                        </w:rPr>
                      </w:pPr>
                    </w:p>
                  </w:tc>
                  <w:tc>
                    <w:tcPr>
                      <w:tcW w:w="1806" w:type="dxa"/>
                    </w:tcPr>
                    <w:p w14:paraId="726FA133" w14:textId="5B424FE3">
                      <w:pPr>
                        <w:jc w:val="center"/>
                        <w:rPr>
                          <w:sz w:val="22"/>
                          <w:szCs w:val="22"/>
                        </w:rPr>
                      </w:pPr>
                      <w:r>
                        <w:rPr>
                          <w:sz w:val="22"/>
                          <w:szCs w:val="22"/>
                        </w:rPr>
                        <w:t>FS-01-01</w:t>
                      </w:r>
                    </w:p>
                  </w:tc>
                  <w:tc>
                    <w:tcPr>
                      <w:tcW w:w="1843" w:type="dxa"/>
                    </w:tcPr>
                    <w:p w14:paraId="3F8824CD" w14:textId="36E27ED4">
                      <w:pPr>
                        <w:jc w:val="center"/>
                        <w:rPr>
                          <w:sz w:val="22"/>
                          <w:szCs w:val="22"/>
                        </w:rPr>
                      </w:pPr>
                      <w:r>
                        <w:rPr>
                          <w:sz w:val="22"/>
                          <w:szCs w:val="22"/>
                        </w:rPr>
                        <w:t>0</w:t>
                      </w:r>
                      <w:r>
                        <w:rPr>
                          <w:sz w:val="22"/>
                          <w:szCs w:val="22"/>
                          <w:lang w:val="en-US"/>
                        </w:rPr>
                        <w:t>2</w:t>
                      </w:r>
                    </w:p>
                  </w:tc>
                  <w:tc>
                    <w:tcPr>
                      <w:tcW w:w="4252" w:type="dxa"/>
                    </w:tcPr>
                    <w:p w14:paraId="64F8AF4D" w14:textId="7EFCF1E8">
                      <w:pPr>
                        <w:rPr>
                          <w:sz w:val="22"/>
                          <w:szCs w:val="22"/>
                        </w:rPr>
                      </w:pPr>
                      <w:r>
                        <w:rPr>
                          <w:sz w:val="22"/>
                          <w:szCs w:val="22"/>
                        </w:rPr>
                        <w:t>Įgyvendintų privalomų matomumo ir informavimo priemonių apie ES fondų investicijų veiklas fiksuotoji suma, pirmojo rinkinio FS be PVM</w:t>
                      </w:r>
                    </w:p>
                  </w:tc>
                  <w:tc>
                    <w:tcPr>
                      <w:tcW w:w="4123" w:type="dxa"/>
                    </w:tcPr>
                    <w:p w14:paraId="336A0D37" w14:textId="530C7FE5">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2B66E4AE" w14:textId="77777777">
                  <w:trPr>
                    <w:trHeight w:val="852"/>
                  </w:trPr>
                  <w:tc>
                    <w:tcPr>
                      <w:tcW w:w="2889" w:type="dxa"/>
                    </w:tcPr>
                    <w:p w14:paraId="70AC937E" w14:textId="35331C06">
                      <w:pPr>
                        <w:rPr>
                          <w:sz w:val="22"/>
                          <w:szCs w:val="22"/>
                        </w:rPr>
                      </w:pPr>
                      <w:r>
                        <w:rPr>
                          <w:sz w:val="22"/>
                          <w:szCs w:val="22"/>
                        </w:rPr>
                        <w:t>14.2. Matomumo ir informavimo priemonės</w:t>
                      </w:r>
                    </w:p>
                  </w:tc>
                  <w:tc>
                    <w:tcPr>
                      <w:tcW w:w="1806" w:type="dxa"/>
                    </w:tcPr>
                    <w:p w14:paraId="27A33A4B" w14:textId="04C6D53F">
                      <w:pPr>
                        <w:jc w:val="center"/>
                        <w:rPr>
                          <w:sz w:val="22"/>
                          <w:szCs w:val="22"/>
                        </w:rPr>
                      </w:pPr>
                      <w:r>
                        <w:rPr>
                          <w:sz w:val="22"/>
                          <w:szCs w:val="22"/>
                        </w:rPr>
                        <w:t>FS-01-02</w:t>
                      </w:r>
                    </w:p>
                  </w:tc>
                  <w:tc>
                    <w:tcPr>
                      <w:tcW w:w="1843" w:type="dxa"/>
                    </w:tcPr>
                    <w:p w14:paraId="3C0009EA" w14:textId="6BE86943">
                      <w:pPr>
                        <w:jc w:val="center"/>
                        <w:rPr>
                          <w:sz w:val="22"/>
                          <w:szCs w:val="22"/>
                        </w:rPr>
                      </w:pPr>
                      <w:r>
                        <w:rPr>
                          <w:sz w:val="22"/>
                          <w:szCs w:val="22"/>
                        </w:rPr>
                        <w:t>02</w:t>
                      </w:r>
                    </w:p>
                  </w:tc>
                  <w:tc>
                    <w:tcPr>
                      <w:tcW w:w="4252" w:type="dxa"/>
                    </w:tcPr>
                    <w:p w14:paraId="68893876" w14:textId="2F60CF0A">
                      <w:pPr>
                        <w:rPr>
                          <w:sz w:val="22"/>
                          <w:szCs w:val="22"/>
                        </w:rPr>
                      </w:pPr>
                      <w:r>
                        <w:rPr>
                          <w:sz w:val="22"/>
                          <w:szCs w:val="22"/>
                        </w:rPr>
                        <w:t>Įgyvendintų privalomų matomumo ir informavimo priemonių apie ES fondų investicijų veiklas fiksuotoji suma, pirmojo rinkinio FS su PVM</w:t>
                      </w:r>
                    </w:p>
                  </w:tc>
                  <w:tc>
                    <w:tcPr>
                      <w:tcW w:w="4123" w:type="dxa"/>
                    </w:tcPr>
                    <w:p w14:paraId="7347FAA1" w14:textId="2FF3820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F6D5FE2" w14:textId="77777777">
                  <w:trPr>
                    <w:trHeight w:val="557"/>
                  </w:trPr>
                  <w:tc>
                    <w:tcPr>
                      <w:tcW w:w="2889" w:type="dxa"/>
                    </w:tcPr>
                    <w:p w14:paraId="1E453D27" w14:textId="7DB4FC8A">
                      <w:pPr>
                        <w:rPr>
                          <w:sz w:val="22"/>
                          <w:szCs w:val="22"/>
                        </w:rPr>
                      </w:pPr>
                      <w:r>
                        <w:rPr>
                          <w:sz w:val="22"/>
                          <w:szCs w:val="22"/>
                        </w:rPr>
                        <w:t>14.3. Netiesioginės išlaidos</w:t>
                      </w:r>
                    </w:p>
                  </w:tc>
                  <w:tc>
                    <w:tcPr>
                      <w:tcW w:w="1806" w:type="dxa"/>
                    </w:tcPr>
                    <w:p w14:paraId="6147B877" w14:textId="77777777">
                      <w:pPr>
                        <w:jc w:val="center"/>
                        <w:rPr>
                          <w:sz w:val="22"/>
                          <w:szCs w:val="22"/>
                        </w:rPr>
                      </w:pPr>
                      <w:r>
                        <w:rPr>
                          <w:sz w:val="22"/>
                          <w:szCs w:val="22"/>
                        </w:rPr>
                        <w:t>FN-01</w:t>
                      </w:r>
                    </w:p>
                  </w:tc>
                  <w:tc>
                    <w:tcPr>
                      <w:tcW w:w="1843" w:type="dxa"/>
                    </w:tcPr>
                    <w:p w14:paraId="177C8905" w14:textId="38FA753C">
                      <w:pPr>
                        <w:jc w:val="center"/>
                        <w:rPr>
                          <w:sz w:val="22"/>
                          <w:szCs w:val="22"/>
                        </w:rPr>
                      </w:pPr>
                      <w:r>
                        <w:rPr>
                          <w:sz w:val="22"/>
                          <w:szCs w:val="22"/>
                        </w:rPr>
                        <w:t>-</w:t>
                      </w:r>
                    </w:p>
                  </w:tc>
                  <w:tc>
                    <w:tcPr>
                      <w:tcW w:w="4252" w:type="dxa"/>
                    </w:tcPr>
                    <w:p w14:paraId="4975043C" w14:textId="258C99D4">
                      <w:pPr>
                        <w:rPr>
                          <w:sz w:val="22"/>
                          <w:szCs w:val="22"/>
                        </w:rPr>
                      </w:pPr>
                      <w:r>
                        <w:rPr>
                          <w:sz w:val="22"/>
                          <w:szCs w:val="22"/>
                        </w:rPr>
                        <w:t>Iki 7 proc. netiesioginių išlaidų fiksuotoji norma</w:t>
                      </w:r>
                    </w:p>
                  </w:tc>
                  <w:tc>
                    <w:tcPr>
                      <w:tcW w:w="4123" w:type="dxa"/>
                    </w:tcPr>
                    <w:p w14:paraId="29305D05" w14:textId="2B64999F">
                      <w:pPr>
                        <w:rPr>
                          <w:sz w:val="22"/>
                          <w:szCs w:val="22"/>
                          <w:highlight w:val="yellow"/>
                        </w:rPr>
                      </w:pPr>
                      <w:r>
                        <w:rPr>
                          <w:sz w:val="22"/>
                          <w:szCs w:val="22"/>
                        </w:rPr>
                        <w:t>7 proc.</w:t>
                      </w:r>
                    </w:p>
                  </w:tc>
                </w:tr>
                <w:tr w14:paraId="30F3D501" w14:textId="77777777">
                  <w:tc>
                    <w:tcPr>
                      <w:tcW w:w="2889" w:type="dxa"/>
                    </w:tcPr>
                    <w:p w14:paraId="19856DDB" w14:textId="056BE16A">
                      <w:pPr>
                        <w:rPr>
                          <w:sz w:val="22"/>
                          <w:szCs w:val="22"/>
                        </w:rPr>
                      </w:pPr>
                      <w:r>
                        <w:rPr>
                          <w:sz w:val="22"/>
                          <w:szCs w:val="22"/>
                        </w:rPr>
                        <w:t>14.4. Kasmetinių atostogų fiksuotoji norma</w:t>
                      </w:r>
                    </w:p>
                  </w:tc>
                  <w:tc>
                    <w:tcPr>
                      <w:tcW w:w="1806" w:type="dxa"/>
                    </w:tcPr>
                    <w:p w14:paraId="2ED4265A" w14:textId="0F2D1936">
                      <w:pPr>
                        <w:jc w:val="center"/>
                        <w:rPr>
                          <w:sz w:val="22"/>
                          <w:szCs w:val="22"/>
                        </w:rPr>
                      </w:pPr>
                      <w:r>
                        <w:rPr>
                          <w:sz w:val="22"/>
                          <w:szCs w:val="22"/>
                        </w:rPr>
                        <w:t>FN-05-01</w:t>
                      </w:r>
                    </w:p>
                  </w:tc>
                  <w:tc>
                    <w:tcPr>
                      <w:tcW w:w="1843" w:type="dxa"/>
                    </w:tcPr>
                    <w:p w14:paraId="1BD02297" w14:textId="043F1B4D">
                      <w:pPr>
                        <w:jc w:val="center"/>
                        <w:rPr>
                          <w:sz w:val="22"/>
                          <w:szCs w:val="22"/>
                        </w:rPr>
                      </w:pPr>
                      <w:r>
                        <w:rPr>
                          <w:sz w:val="22"/>
                          <w:szCs w:val="22"/>
                        </w:rPr>
                        <w:t>01</w:t>
                      </w:r>
                    </w:p>
                  </w:tc>
                  <w:tc>
                    <w:tcPr>
                      <w:tcW w:w="4252" w:type="dxa"/>
                    </w:tcPr>
                    <w:p w14:paraId="1ACBB0CE" w14:textId="645E8D3C">
                      <w:pPr>
                        <w:rPr>
                          <w:sz w:val="22"/>
                          <w:szCs w:val="22"/>
                        </w:rPr>
                      </w:pPr>
                      <w:r>
                        <w:rPr>
                          <w:sz w:val="22"/>
                          <w:szCs w:val="22"/>
                        </w:rPr>
                        <w:t>Fiksuotoji norma, taikoma, kai priklauso 20 d. d. (jeigu dirbama 5 d. d. per savaitę) arba 24 d. d. (jeigu dirbama 6 d. d. per savaitę) kasmetinės atostogos</w:t>
                      </w:r>
                    </w:p>
                  </w:tc>
                  <w:tc>
                    <w:tcPr>
                      <w:tcW w:w="4123" w:type="dxa"/>
                    </w:tcPr>
                    <w:p w14:paraId="134AA049" w14:textId="284AA72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5E778BE4" w14:textId="77777777">
                  <w:tc>
                    <w:tcPr>
                      <w:tcW w:w="2889" w:type="dxa"/>
                    </w:tcPr>
                    <w:p w14:paraId="2DC1BF49" w14:textId="7AB3E5FF">
                      <w:pPr>
                        <w:rPr>
                          <w:sz w:val="22"/>
                          <w:szCs w:val="22"/>
                        </w:rPr>
                      </w:pPr>
                      <w:r>
                        <w:rPr>
                          <w:sz w:val="22"/>
                          <w:szCs w:val="22"/>
                        </w:rPr>
                        <w:t>14.5. Kasmetinių atostogų fiksuotoji norma</w:t>
                      </w:r>
                    </w:p>
                  </w:tc>
                  <w:tc>
                    <w:tcPr>
                      <w:tcW w:w="1806" w:type="dxa"/>
                    </w:tcPr>
                    <w:p w14:paraId="7CD427BC" w14:textId="0159779D">
                      <w:pPr>
                        <w:jc w:val="center"/>
                        <w:rPr>
                          <w:sz w:val="22"/>
                          <w:szCs w:val="22"/>
                        </w:rPr>
                      </w:pPr>
                      <w:r>
                        <w:rPr>
                          <w:sz w:val="22"/>
                          <w:szCs w:val="22"/>
                        </w:rPr>
                        <w:t>FN-05-02</w:t>
                      </w:r>
                    </w:p>
                  </w:tc>
                  <w:tc>
                    <w:tcPr>
                      <w:tcW w:w="1843" w:type="dxa"/>
                    </w:tcPr>
                    <w:p w14:paraId="72055DCA" w14:textId="116B9ACD">
                      <w:pPr>
                        <w:jc w:val="center"/>
                        <w:rPr>
                          <w:sz w:val="22"/>
                          <w:szCs w:val="22"/>
                        </w:rPr>
                      </w:pPr>
                      <w:r>
                        <w:rPr>
                          <w:sz w:val="22"/>
                          <w:szCs w:val="22"/>
                        </w:rPr>
                        <w:t>01</w:t>
                      </w:r>
                    </w:p>
                  </w:tc>
                  <w:tc>
                    <w:tcPr>
                      <w:tcW w:w="4252" w:type="dxa"/>
                    </w:tcPr>
                    <w:p w14:paraId="52EC1062" w14:textId="3AFF4B49">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123" w:type="dxa"/>
                    </w:tcPr>
                    <w:p w14:paraId="453D5F23" w14:textId="3BC59DD9">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1D59879" w14:textId="77777777">
                  <w:tc>
                    <w:tcPr>
                      <w:tcW w:w="2889" w:type="dxa"/>
                    </w:tcPr>
                    <w:p w14:paraId="10B9B8E9" w14:textId="1957D210">
                      <w:pPr>
                        <w:rPr>
                          <w:sz w:val="22"/>
                          <w:szCs w:val="22"/>
                        </w:rPr>
                      </w:pPr>
                      <w:r>
                        <w:rPr>
                          <w:sz w:val="22"/>
                          <w:szCs w:val="22"/>
                        </w:rPr>
                        <w:t xml:space="preserve">14.6. Kasmetinių atostogų  fiksuotoji norma</w:t>
                      </w:r>
                    </w:p>
                  </w:tc>
                  <w:tc>
                    <w:tcPr>
                      <w:tcW w:w="1806" w:type="dxa"/>
                    </w:tcPr>
                    <w:p w14:paraId="3FF774FF" w14:textId="3924E748">
                      <w:pPr>
                        <w:jc w:val="center"/>
                        <w:rPr>
                          <w:sz w:val="22"/>
                          <w:szCs w:val="22"/>
                        </w:rPr>
                      </w:pPr>
                      <w:r>
                        <w:rPr>
                          <w:sz w:val="22"/>
                          <w:szCs w:val="22"/>
                        </w:rPr>
                        <w:t>FN-05-03</w:t>
                      </w:r>
                    </w:p>
                  </w:tc>
                  <w:tc>
                    <w:tcPr>
                      <w:tcW w:w="1843" w:type="dxa"/>
                    </w:tcPr>
                    <w:p w14:paraId="135036E0" w14:textId="6380D5D6">
                      <w:pPr>
                        <w:jc w:val="center"/>
                        <w:rPr>
                          <w:sz w:val="22"/>
                          <w:szCs w:val="22"/>
                        </w:rPr>
                      </w:pPr>
                      <w:r>
                        <w:rPr>
                          <w:sz w:val="22"/>
                          <w:szCs w:val="22"/>
                        </w:rPr>
                        <w:t>01</w:t>
                      </w:r>
                    </w:p>
                  </w:tc>
                  <w:tc>
                    <w:tcPr>
                      <w:tcW w:w="4252" w:type="dxa"/>
                    </w:tcPr>
                    <w:p w14:paraId="0755F9DC" w14:textId="67D93CD4">
                      <w:pPr>
                        <w:rPr>
                          <w:sz w:val="22"/>
                          <w:szCs w:val="22"/>
                        </w:rPr>
                      </w:pPr>
                      <w:r>
                        <w:rPr>
                          <w:sz w:val="22"/>
                          <w:szCs w:val="22"/>
                        </w:rPr>
                        <w:t>Fiksuotoji norma, taikoma, kai priklauso nuo 26 iki 30 d. d. (jeigu dirbama 5 d. d. per savaitę) arba nuo 31 iki 36 d. d. (jeigu dirbama 6 d. d. per savaitę) kasmetinės atostogos</w:t>
                      </w:r>
                    </w:p>
                  </w:tc>
                  <w:tc>
                    <w:tcPr>
                      <w:tcW w:w="4123" w:type="dxa"/>
                    </w:tcPr>
                    <w:p w14:paraId="085F0F2B" w14:textId="434CC4F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5A3E0E67" w14:textId="77777777">
                  <w:tc>
                    <w:tcPr>
                      <w:tcW w:w="2889" w:type="dxa"/>
                    </w:tcPr>
                    <w:p w14:paraId="7CD4FDDB" w14:textId="1B7DCF0F">
                      <w:pPr>
                        <w:rPr>
                          <w:sz w:val="22"/>
                          <w:szCs w:val="22"/>
                        </w:rPr>
                      </w:pPr>
                      <w:r>
                        <w:rPr>
                          <w:sz w:val="22"/>
                          <w:szCs w:val="22"/>
                        </w:rPr>
                        <w:t>14.7. Kasmetinių atostogų fiksuotoji norma</w:t>
                      </w:r>
                    </w:p>
                  </w:tc>
                  <w:tc>
                    <w:tcPr>
                      <w:tcW w:w="1806" w:type="dxa"/>
                    </w:tcPr>
                    <w:p w14:paraId="121BC148" w14:textId="4AA74EBA">
                      <w:pPr>
                        <w:jc w:val="center"/>
                        <w:rPr>
                          <w:sz w:val="22"/>
                          <w:szCs w:val="22"/>
                        </w:rPr>
                      </w:pPr>
                      <w:r>
                        <w:rPr>
                          <w:sz w:val="22"/>
                          <w:szCs w:val="22"/>
                        </w:rPr>
                        <w:t>FN-05-04</w:t>
                      </w:r>
                    </w:p>
                  </w:tc>
                  <w:tc>
                    <w:tcPr>
                      <w:tcW w:w="1843" w:type="dxa"/>
                    </w:tcPr>
                    <w:p w14:paraId="4DD2B169" w14:textId="651E3A7D">
                      <w:pPr>
                        <w:jc w:val="center"/>
                        <w:rPr>
                          <w:sz w:val="22"/>
                          <w:szCs w:val="22"/>
                        </w:rPr>
                      </w:pPr>
                      <w:r>
                        <w:rPr>
                          <w:sz w:val="22"/>
                          <w:szCs w:val="22"/>
                        </w:rPr>
                        <w:t>01</w:t>
                      </w:r>
                    </w:p>
                  </w:tc>
                  <w:tc>
                    <w:tcPr>
                      <w:tcW w:w="4252" w:type="dxa"/>
                    </w:tcPr>
                    <w:p w14:paraId="26ECE336" w14:textId="5A04ED28">
                      <w:pPr>
                        <w:rPr>
                          <w:sz w:val="22"/>
                          <w:szCs w:val="22"/>
                        </w:rPr>
                      </w:pPr>
                      <w:r>
                        <w:rPr>
                          <w:sz w:val="22"/>
                          <w:szCs w:val="22"/>
                        </w:rPr>
                        <w:t>Fiksuotoji norma, taikoma, kai priklauso nuo 31 iki 36 d. d. (jeigu dirbama 5 d. d. per savaitę) arba nuo 37 iki 42 d. d. (jeigu dirbama 6 d. d. per savaitę) kasmetinės atostogos</w:t>
                      </w:r>
                    </w:p>
                  </w:tc>
                  <w:tc>
                    <w:tcPr>
                      <w:tcW w:w="4123" w:type="dxa"/>
                    </w:tcPr>
                    <w:p w14:paraId="68D54ED4" w14:textId="352A1BF9">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7F3CD64C" w14:textId="77777777">
                  <w:tc>
                    <w:tcPr>
                      <w:tcW w:w="2889" w:type="dxa"/>
                    </w:tcPr>
                    <w:p w14:paraId="19BB7B22" w14:textId="14327816">
                      <w:pPr>
                        <w:rPr>
                          <w:sz w:val="22"/>
                          <w:szCs w:val="22"/>
                        </w:rPr>
                      </w:pPr>
                      <w:r>
                        <w:rPr>
                          <w:sz w:val="22"/>
                          <w:szCs w:val="22"/>
                        </w:rPr>
                        <w:t>14.8. Kasmetinių atostogų fiksuotoji norma</w:t>
                      </w:r>
                    </w:p>
                  </w:tc>
                  <w:tc>
                    <w:tcPr>
                      <w:tcW w:w="1806" w:type="dxa"/>
                    </w:tcPr>
                    <w:p w14:paraId="486F888A" w14:textId="64A62F78">
                      <w:pPr>
                        <w:jc w:val="center"/>
                        <w:rPr>
                          <w:sz w:val="22"/>
                          <w:szCs w:val="22"/>
                        </w:rPr>
                      </w:pPr>
                      <w:r>
                        <w:rPr>
                          <w:sz w:val="22"/>
                          <w:szCs w:val="22"/>
                        </w:rPr>
                        <w:t>FN-05-05</w:t>
                      </w:r>
                    </w:p>
                  </w:tc>
                  <w:tc>
                    <w:tcPr>
                      <w:tcW w:w="1843" w:type="dxa"/>
                    </w:tcPr>
                    <w:p w14:paraId="79D5F105" w14:textId="54D8BB34">
                      <w:pPr>
                        <w:jc w:val="center"/>
                        <w:rPr>
                          <w:sz w:val="22"/>
                          <w:szCs w:val="22"/>
                        </w:rPr>
                      </w:pPr>
                      <w:r>
                        <w:rPr>
                          <w:sz w:val="22"/>
                          <w:szCs w:val="22"/>
                        </w:rPr>
                        <w:t>01</w:t>
                      </w:r>
                    </w:p>
                  </w:tc>
                  <w:tc>
                    <w:tcPr>
                      <w:tcW w:w="4252" w:type="dxa"/>
                    </w:tcPr>
                    <w:p w14:paraId="1F8C3352" w14:textId="55050EFD">
                      <w:pPr>
                        <w:rPr>
                          <w:sz w:val="22"/>
                          <w:szCs w:val="22"/>
                        </w:rPr>
                      </w:pPr>
                      <w:r>
                        <w:rPr>
                          <w:sz w:val="22"/>
                          <w:szCs w:val="22"/>
                        </w:rPr>
                        <w:t>Fiksuotoji norma, taikoma, kai priklauso nuo 37 iki 39 d. d. (jeigu dirbama 5 d. d. per savaitę) arba nuo 43 iki 47 d. d. (jeigu dirbama 6 d. d. per savaitę) kasmetinės atostogos</w:t>
                      </w:r>
                    </w:p>
                  </w:tc>
                  <w:tc>
                    <w:tcPr>
                      <w:tcW w:w="4123" w:type="dxa"/>
                    </w:tcPr>
                    <w:p w14:paraId="609996D8" w14:textId="2DC59EA5">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6A295F48" w14:textId="77777777">
                  <w:tc>
                    <w:tcPr>
                      <w:tcW w:w="2889" w:type="dxa"/>
                    </w:tcPr>
                    <w:p w14:paraId="5BF62F26" w14:textId="77343A6D">
                      <w:pPr>
                        <w:rPr>
                          <w:sz w:val="22"/>
                          <w:szCs w:val="22"/>
                        </w:rPr>
                      </w:pPr>
                      <w:r>
                        <w:rPr>
                          <w:sz w:val="22"/>
                          <w:szCs w:val="22"/>
                        </w:rPr>
                        <w:t>14.9. Kasmetinių atostogų fiksuotoji norma</w:t>
                      </w:r>
                    </w:p>
                  </w:tc>
                  <w:tc>
                    <w:tcPr>
                      <w:tcW w:w="1806" w:type="dxa"/>
                    </w:tcPr>
                    <w:p w14:paraId="0E7BA34B" w14:textId="77558454">
                      <w:pPr>
                        <w:jc w:val="center"/>
                        <w:rPr>
                          <w:sz w:val="22"/>
                          <w:szCs w:val="22"/>
                        </w:rPr>
                      </w:pPr>
                      <w:r>
                        <w:rPr>
                          <w:sz w:val="22"/>
                          <w:szCs w:val="22"/>
                        </w:rPr>
                        <w:t>FN-05-06</w:t>
                      </w:r>
                    </w:p>
                  </w:tc>
                  <w:tc>
                    <w:tcPr>
                      <w:tcW w:w="1843" w:type="dxa"/>
                    </w:tcPr>
                    <w:p w14:paraId="38342999" w14:textId="27C18E0C">
                      <w:pPr>
                        <w:jc w:val="center"/>
                        <w:rPr>
                          <w:sz w:val="22"/>
                          <w:szCs w:val="22"/>
                        </w:rPr>
                      </w:pPr>
                      <w:r>
                        <w:rPr>
                          <w:sz w:val="22"/>
                          <w:szCs w:val="22"/>
                        </w:rPr>
                        <w:t>01</w:t>
                      </w:r>
                    </w:p>
                  </w:tc>
                  <w:tc>
                    <w:tcPr>
                      <w:tcW w:w="4252" w:type="dxa"/>
                    </w:tcPr>
                    <w:p w14:paraId="442C92A5" w14:textId="0E849B49">
                      <w:pPr>
                        <w:rPr>
                          <w:sz w:val="22"/>
                          <w:szCs w:val="22"/>
                        </w:rPr>
                      </w:pPr>
                      <w:r>
                        <w:rPr>
                          <w:sz w:val="22"/>
                          <w:szCs w:val="22"/>
                        </w:rPr>
                        <w:t>Fiksuotoji norma, taikoma, kai priklauso 40 d. d. (jeigu dirbama 5 d. d. per savaitę) arba 48 d. d. (jeigu dirbama 6 d. d. per savaitę) kasmetinės atostogos</w:t>
                      </w:r>
                    </w:p>
                  </w:tc>
                  <w:tc>
                    <w:tcPr>
                      <w:tcW w:w="4123" w:type="dxa"/>
                    </w:tcPr>
                    <w:p w14:paraId="7D02A964" w14:textId="1357AB66">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7DA7F375" w14:textId="77777777">
                  <w:tc>
                    <w:tcPr>
                      <w:tcW w:w="2889" w:type="dxa"/>
                    </w:tcPr>
                    <w:p w14:paraId="3A47281C" w14:textId="395F5696">
                      <w:pPr>
                        <w:rPr>
                          <w:sz w:val="22"/>
                          <w:szCs w:val="22"/>
                        </w:rPr>
                      </w:pPr>
                      <w:r>
                        <w:rPr>
                          <w:sz w:val="22"/>
                          <w:szCs w:val="22"/>
                        </w:rPr>
                        <w:t>14.10. Kasmetinių atostogų fiksuotoji norma</w:t>
                      </w:r>
                    </w:p>
                  </w:tc>
                  <w:tc>
                    <w:tcPr>
                      <w:tcW w:w="1806" w:type="dxa"/>
                    </w:tcPr>
                    <w:p w14:paraId="56DA7EF4" w14:textId="6895FAA4">
                      <w:pPr>
                        <w:jc w:val="center"/>
                        <w:rPr>
                          <w:sz w:val="22"/>
                          <w:szCs w:val="22"/>
                        </w:rPr>
                      </w:pPr>
                      <w:r>
                        <w:rPr>
                          <w:sz w:val="22"/>
                          <w:szCs w:val="22"/>
                        </w:rPr>
                        <w:t>FN-05-07</w:t>
                      </w:r>
                    </w:p>
                  </w:tc>
                  <w:tc>
                    <w:tcPr>
                      <w:tcW w:w="1843" w:type="dxa"/>
                    </w:tcPr>
                    <w:p w14:paraId="17454D1B" w14:textId="5E9C5893">
                      <w:pPr>
                        <w:jc w:val="center"/>
                        <w:rPr>
                          <w:sz w:val="22"/>
                          <w:szCs w:val="22"/>
                        </w:rPr>
                      </w:pPr>
                      <w:r>
                        <w:rPr>
                          <w:sz w:val="22"/>
                          <w:szCs w:val="22"/>
                        </w:rPr>
                        <w:t>01</w:t>
                      </w:r>
                    </w:p>
                  </w:tc>
                  <w:tc>
                    <w:tcPr>
                      <w:tcW w:w="4252" w:type="dxa"/>
                    </w:tcPr>
                    <w:p w14:paraId="58ABBEF4" w14:textId="651C87AF">
                      <w:pPr>
                        <w:rPr>
                          <w:sz w:val="22"/>
                          <w:szCs w:val="22"/>
                        </w:rPr>
                      </w:pPr>
                      <w:r>
                        <w:rPr>
                          <w:sz w:val="22"/>
                          <w:szCs w:val="22"/>
                        </w:rPr>
                        <w:t>Fiksuotoji norma, taikoma, kai priklauso nuo 41 d. d. (jeigu dirbama 5 d. d. per savaitę) arba nuo 49 d. d. (jeigu dirbama 6 d. d. per savaitę) kasmetinės atostogos</w:t>
                      </w:r>
                    </w:p>
                  </w:tc>
                  <w:tc>
                    <w:tcPr>
                      <w:tcW w:w="4123" w:type="dxa"/>
                    </w:tcPr>
                    <w:p w14:paraId="4FC96EAE" w14:textId="16CE881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62043D7D" w14:textId="77777777">
                <w:pPr>
                  <w:jc w:val="both"/>
                  <w:rPr>
                    <w:i/>
                    <w:iCs/>
                    <w:sz w:val="22"/>
                    <w:szCs w:val="22"/>
                  </w:rPr>
                </w:pPr>
              </w:p>
              <w:p w14:paraId="57B7BCD3" w14:textId="77777777">
                <w:pPr>
                  <w:jc w:val="both"/>
                  <w:rPr>
                    <w:i/>
                    <w:iCs/>
                    <w:sz w:val="22"/>
                    <w:szCs w:val="22"/>
                  </w:rPr>
                </w:pPr>
              </w:p>
            </w:tc>
          </w:tr>
        </w:tbl>
        <w:p w14:paraId="5F145133" w14:textId="77777777">
          <w:pPr>
            <w:spacing w:line="276" w:lineRule="auto"/>
            <w:jc w:val="center"/>
            <w:rPr>
              <w:rFonts w:eastAsia="Calibri"/>
              <w:sz w:val="22"/>
              <w:szCs w:val="22"/>
            </w:rPr>
          </w:pPr>
        </w:p>
        <w:p w14:paraId="297BFF00" w14:textId="77777777">
          <w:pPr>
            <w:rPr>
              <w:sz w:val="18"/>
              <w:szCs w:val="18"/>
            </w:rPr>
          </w:pPr>
        </w:p>
        <w:sdt>
          <w:sdtPr>
            <w:alias w:val="pabaiga"/>
            <w:tag w:val="part_c8d43f29735c494e8758ce386604fa31"/>
            <w:lock w:val="sdtLocked"/>
            <w:richText/>
          </w:sdtPr>
          <w:sdtContent>
            <w:p w14:paraId="14A06C08" w14:textId="4C511EB8">
              <w:pPr>
                <w:spacing w:line="276" w:lineRule="auto"/>
                <w:jc w:val="center"/>
                <w:rPr>
                  <w:sz w:val="22"/>
                  <w:szCs w:val="22"/>
                </w:rPr>
              </w:pPr>
              <w:r>
                <w:rPr>
                  <w:rFonts w:eastAsia="Calibri"/>
                  <w:szCs w:val="24"/>
                </w:rPr>
                <w:t>________________</w:t>
              </w:r>
            </w:p>
            <w:p w14:paraId="386C73B3" w14:textId="339F785D">
              <w:pPr>
                <w:spacing w:line="276" w:lineRule="auto"/>
                <w:rPr>
                  <w:sz w:val="22"/>
                  <w:szCs w:val="22"/>
                </w:rPr>
              </w:pPr>
            </w:p>
            <w:p w14:paraId="6657260D" w14:textId="77777777">
              <w:pPr>
                <w:ind w:left="9923"/>
                <w:rPr>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992" w:left="1134" w:header="567" w:footer="567" w:gutter="0"/>
                  <w:cols w:space="1296"/>
                  <w:titlePg/>
                  <w:docGrid w:linePitch="360"/>
                </w:sectPr>
              </w:pPr>
            </w:p>
            <w:p w14:paraId="695578FF" w14:textId="77777777">
              <w:pPr>
                <w:tabs>
                  <w:tab w:val="center" w:pos="4986"/>
                  <w:tab w:val="right" w:pos="9972"/>
                </w:tabs>
              </w:pPr>
            </w:p>
            <w:p w14:paraId="43D5117B" w14:textId="77777777">
              <w:pPr>
                <w:tabs>
                  <w:tab w:val="center" w:pos="4986"/>
                  <w:tab w:val="right" w:pos="9972"/>
                </w:tabs>
              </w:pPr>
            </w:p>
            <w:p w14:paraId="2E650813" w14:textId="77777777">
              <w:pPr>
                <w:tabs>
                  <w:tab w:val="center" w:pos="4819"/>
                  <w:tab w:val="right" w:pos="9638"/>
                </w:tabs>
              </w:pPr>
            </w:p>
          </w:sdtContent>
        </w:sdt>
      </w:sdtContent>
    </w:sdt>
    <w:sdt>
      <w:sdtPr>
        <w:alias w:val="pr."/>
        <w:tag w:val="part_72882d0e816e4ec680eefc08ae4e3a4b"/>
        <w:lock w:val="sdtLocked"/>
        <w:richText/>
      </w:sdtPr>
      <w:sdtContent>
        <w:p w14:paraId="63CA110D" w14:textId="5588196F">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16</w:t>
          </w:r>
        </w:p>
        <w:p w14:paraId="59FD1AAE" w14:textId="77777777">
          <w:pPr>
            <w:ind w:left="10206"/>
            <w:rPr>
              <w:szCs w:val="24"/>
            </w:rPr>
          </w:pPr>
          <w:r>
            <w:rPr>
              <w:szCs w:val="24"/>
            </w:rPr>
            <w:t>priedas</w:t>
          </w:r>
        </w:p>
        <w:p w14:paraId="5DF561D2" w14:textId="77777777">
          <w:pPr>
            <w:rPr>
              <w:rFonts w:eastAsia="Calibri"/>
              <w:b/>
              <w:bCs/>
              <w:szCs w:val="24"/>
            </w:rPr>
          </w:pPr>
        </w:p>
        <w:p w14:paraId="29B6A29C" w14:textId="77777777">
          <w:pPr>
            <w:rPr>
              <w:rFonts w:eastAsia="Calibri"/>
              <w:b/>
              <w:bCs/>
              <w:szCs w:val="24"/>
            </w:rPr>
          </w:pPr>
        </w:p>
        <w:p w14:paraId="5E891509" w14:textId="77777777">
          <w:pPr>
            <w:jc w:val="center"/>
            <w:rPr>
              <w:rFonts w:eastAsia="Calibri"/>
              <w:b/>
              <w:bCs/>
              <w:szCs w:val="24"/>
            </w:rPr>
          </w:pPr>
          <w:sdt>
            <w:sdtPr>
              <w:alias w:val="Pavadinimas"/>
              <w:tag w:val="title_72882d0e816e4ec680eefc08ae4e3a4b"/>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4BF8D65B" w14:textId="77777777">
          <w:pPr>
            <w:jc w:val="center"/>
            <w:rPr>
              <w:rFonts w:eastAsia="Calibri"/>
              <w:b/>
              <w:bCs/>
              <w:szCs w:val="24"/>
            </w:rPr>
          </w:pPr>
        </w:p>
        <w:p w14:paraId="244443F7"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DC4A63B" w14:textId="1448AC53">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ESFIP)</w:t>
          </w:r>
        </w:p>
        <w:p w14:paraId="3C29FAA1"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06ADB7FC" w14:textId="77777777">
            <w:tc>
              <w:tcPr>
                <w:tcW w:w="3545" w:type="dxa"/>
              </w:tcPr>
              <w:p w14:paraId="3180BA1F" w14:textId="77777777">
                <w:pPr>
                  <w:jc w:val="center"/>
                  <w:rPr>
                    <w:rFonts w:eastAsia="Calibri"/>
                    <w:b/>
                    <w:szCs w:val="24"/>
                  </w:rPr>
                </w:pPr>
                <w:r>
                  <w:rPr>
                    <w:rFonts w:eastAsia="Calibri"/>
                    <w:b/>
                    <w:szCs w:val="24"/>
                  </w:rPr>
                  <w:t>Aplinkos tikslai</w:t>
                </w:r>
              </w:p>
              <w:p w14:paraId="3271039D" w14:textId="094AC04E">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528" w:type="dxa"/>
              </w:tcPr>
              <w:p w14:paraId="34A47B66" w14:textId="7777777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pPr>
                  <w:jc w:val="center"/>
                  <w:rPr>
                    <w:rFonts w:eastAsia="Calibri"/>
                    <w:i/>
                    <w:sz w:val="20"/>
                  </w:rPr>
                </w:pPr>
                <w:r>
                  <w:rPr>
                    <w:rFonts w:eastAsia="Calibri"/>
                    <w:b/>
                    <w:szCs w:val="24"/>
                  </w:rPr>
                  <w:t>Pagrindimo dokumentai</w:t>
                </w:r>
              </w:p>
              <w:p w14:paraId="6A5CD6EA"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33DF3B11" w14:textId="77777777">
            <w:tc>
              <w:tcPr>
                <w:tcW w:w="3545" w:type="dxa"/>
              </w:tcPr>
              <w:p w14:paraId="2F1574A3" w14:textId="15758152">
                <w:pPr>
                  <w:rPr>
                    <w:rFonts w:eastAsia="Calibri"/>
                  </w:rPr>
                </w:pPr>
                <w:r>
                  <w:rPr>
                    <w:rFonts w:eastAsia="Calibri"/>
                    <w:szCs w:val="24"/>
                  </w:rPr>
                  <w:t>1. Klimato kaitos švelninimas</w:t>
                </w:r>
              </w:p>
            </w:tc>
            <w:tc>
              <w:tcPr>
                <w:tcW w:w="5528" w:type="dxa"/>
              </w:tcPr>
              <w:p w14:paraId="0DACF6AB" w14:textId="15FA8E12">
                <w:pPr>
                  <w:jc w:val="both"/>
                  <w:rPr>
                    <w:bCs/>
                  </w:rPr>
                </w:pPr>
                <w:r>
                  <w:rPr>
                    <w:rFonts w:eastAsia="Calibri"/>
                    <w:bCs/>
                    <w:iCs/>
                    <w:szCs w:val="24"/>
                  </w:rPr>
                  <w:t xml:space="preserve">Vertinama, kad planuojamas įgyvendinti  projektas neturi jokio poveikio šiam aplinkos tikslui arba numatomas jo poveikis yra nereikšmingas, t. y. neplanuojama, kad įgyvendinamas projektas prisidės prie išmetamųjų šiltnamio efektą sukeliančių dujų išsiskyrimo. Planuojamos projekto veiklos (pagal savo pobūdį) neturi jokio tiesioginio ar netiesioginio neigiamo poveikio šiam aplinkos tikslui.</w:t>
                </w:r>
              </w:p>
            </w:tc>
            <w:tc>
              <w:tcPr>
                <w:tcW w:w="5776" w:type="dxa"/>
              </w:tcPr>
              <w:p w14:paraId="78C89CFB" w14:textId="2542A99E">
                <w:pPr>
                  <w:jc w:val="both"/>
                  <w:rPr>
                    <w:rFonts w:eastAsia="Calibri"/>
                    <w:i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433B4CE8" w14:textId="77777777">
                <w:pPr>
                  <w:tabs>
                    <w:tab w:val="left" w:pos="589"/>
                  </w:tabs>
                  <w:jc w:val="both"/>
                  <w:rPr>
                    <w:rFonts w:eastAsia="Calibri"/>
                    <w:iCs/>
                    <w:szCs w:val="24"/>
                  </w:rPr>
                </w:pPr>
              </w:p>
              <w:p w14:paraId="61E1F0C9" w14:textId="435895C3">
                <w:pPr>
                  <w:jc w:val="both"/>
                  <w:rPr>
                    <w:bCs/>
                  </w:rPr>
                </w:pPr>
              </w:p>
            </w:tc>
          </w:tr>
          <w:tr w14:paraId="62BB8FC4" w14:textId="77777777">
            <w:tc>
              <w:tcPr>
                <w:tcW w:w="3545" w:type="dxa"/>
              </w:tcPr>
              <w:p w14:paraId="15E9D22C" w14:textId="285C385F">
                <w:pPr>
                  <w:rPr>
                    <w:rFonts w:eastAsia="Calibri"/>
                  </w:rPr>
                </w:pPr>
                <w:r>
                  <w:rPr>
                    <w:rFonts w:eastAsia="Calibri"/>
                    <w:szCs w:val="24"/>
                  </w:rPr>
                  <w:t>2. Prisitaikymas prie klimato kaitos</w:t>
                </w:r>
              </w:p>
            </w:tc>
            <w:tc>
              <w:tcPr>
                <w:tcW w:w="5528" w:type="dxa"/>
              </w:tcPr>
              <w:p w14:paraId="4630910A" w14:textId="0A82D708">
                <w:pPr>
                  <w:jc w:val="both"/>
                  <w:rPr>
                    <w:bCs/>
                  </w:rPr>
                </w:pPr>
                <w:r>
                  <w:rPr>
                    <w:bCs/>
                    <w:szCs w:val="24"/>
                  </w:rPr>
                  <w:t xml:space="preserve">Vertinama, kad planuojamas įgyvendinti projektas neturi jokio poveikio šiam aplinkos tikslui arba numatomas jo poveikis yra nereikšmingas, t. y. neplanuojama, kad įgyvendinamas projektas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117ED8AD"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6CCF2B43" w14:textId="77777777">
                <w:pPr>
                  <w:jc w:val="both"/>
                  <w:rPr>
                    <w:rFonts w:eastAsia="Calibri"/>
                    <w:b/>
                  </w:rPr>
                </w:pPr>
              </w:p>
            </w:tc>
          </w:tr>
          <w:tr w14:paraId="56CB8F85" w14:textId="77777777">
            <w:tc>
              <w:tcPr>
                <w:tcW w:w="3545" w:type="dxa"/>
                <w:shd w:val="clear" w:color="auto" w:fill="auto"/>
              </w:tcPr>
              <w:p w14:paraId="508737BB" w14:textId="027D37D8">
                <w:pPr>
                  <w:rPr>
                    <w:rFonts w:eastAsia="Calibri"/>
                  </w:rPr>
                </w:pPr>
                <w:r>
                  <w:rPr>
                    <w:rFonts w:eastAsia="Calibri"/>
                    <w:szCs w:val="24"/>
                  </w:rPr>
                  <w:t>3. Tausus vandens ir jūrų išteklių naudojimas ir apsauga</w:t>
                </w:r>
              </w:p>
            </w:tc>
            <w:tc>
              <w:tcPr>
                <w:tcW w:w="5528" w:type="dxa"/>
                <w:shd w:val="clear" w:color="auto" w:fill="auto"/>
              </w:tcPr>
              <w:p w14:paraId="6E71DF7E" w14:textId="41D72D46">
                <w:pPr>
                  <w:jc w:val="both"/>
                  <w:rPr>
                    <w:rFonts w:eastAsia="Calibri"/>
                    <w:b/>
                  </w:rPr>
                </w:pPr>
                <w:r>
                  <w:rPr>
                    <w:bCs/>
                    <w:szCs w:val="24"/>
                  </w:rPr>
                  <w:t xml:space="preserve">Vertinama, kad planuojamas įgyvendinti projektas neturi jokio poveikio šiam aplinkos tikslui arba numatomas jo poveikis yra nereikšmingas, t. y. nedaro tiesioginio ir pirminio netiesioginio poveikio per visą gyvavimo ciklą, ir laikoma, kad jis atitinka tausaus išteklių naudojimo ir apsaugos tikslą. Įgyvendinant projektą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42E60A39"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197C775" w14:textId="27C43BD6">
                <w:pPr>
                  <w:jc w:val="both"/>
                  <w:rPr>
                    <w:rFonts w:eastAsia="Calibri"/>
                    <w:bCs/>
                  </w:rPr>
                </w:pPr>
              </w:p>
            </w:tc>
          </w:tr>
          <w:tr w14:paraId="5D4A7BC0" w14:textId="77777777">
            <w:tc>
              <w:tcPr>
                <w:tcW w:w="3545" w:type="dxa"/>
                <w:shd w:val="clear" w:color="auto" w:fill="auto"/>
              </w:tcPr>
              <w:p w14:paraId="797BE00C" w14:textId="40AD1534">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204F16C3" w14:textId="73245CDD">
                <w:pPr>
                  <w:jc w:val="both"/>
                  <w:rPr>
                    <w:bCs/>
                    <w:szCs w:val="24"/>
                  </w:rPr>
                </w:pPr>
                <w:r>
                  <w:rPr>
                    <w:bCs/>
                    <w:szCs w:val="24"/>
                  </w:rPr>
                  <w:t xml:space="preserve">Vertinama, kad planuojamas įgyvendinti  projektas neturi jokio poveikio šiam aplinkos tikslui arba numatomas jo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1528E79F" w14:textId="4344D2CA">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tc>
          </w:tr>
          <w:tr w14:paraId="7B365DAB" w14:textId="77777777">
            <w:tc>
              <w:tcPr>
                <w:tcW w:w="3545" w:type="dxa"/>
              </w:tcPr>
              <w:p w14:paraId="53908C25" w14:textId="4FFDA9DC">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38536029">
                <w:pPr>
                  <w:jc w:val="both"/>
                  <w:rPr>
                    <w:bCs/>
                  </w:rPr>
                </w:pPr>
                <w:r>
                  <w:rPr>
                    <w:bCs/>
                    <w:szCs w:val="24"/>
                  </w:rPr>
                  <w:t xml:space="preserve">Vertinama, kad planuojamas įgyvendinti projektas neturi jokio poveikio šiam aplinkos tikslui arba numatomas jo poveikis yra nereikšmingas, t. y. nedaro tiesioginio ir pirminio netiesioginio poveikio per visą gyvavimo ciklą, ir laikoma, kad jis atitinka oro, vandens ar žemės taršos prevencijos ir kontrolės tikslą: įgyvendinant projektą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554682F"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4767FBDE" w14:textId="77777777">
                <w:pPr>
                  <w:jc w:val="both"/>
                  <w:rPr>
                    <w:rFonts w:eastAsia="Calibri"/>
                  </w:rPr>
                </w:pPr>
              </w:p>
            </w:tc>
          </w:tr>
          <w:tr w14:paraId="42A9DBAF" w14:textId="77777777">
            <w:tc>
              <w:tcPr>
                <w:tcW w:w="3545" w:type="dxa"/>
              </w:tcPr>
              <w:p w14:paraId="6FB46A25" w14:textId="717357A4">
                <w:pPr>
                  <w:rPr>
                    <w:rFonts w:eastAsia="Calibri"/>
                  </w:rPr>
                </w:pPr>
                <w:r>
                  <w:rPr>
                    <w:rFonts w:eastAsia="Calibri"/>
                    <w:szCs w:val="24"/>
                  </w:rPr>
                  <w:t>6. Biologinės įvairovės ir ekosistemų apsauga ir atkūrimas</w:t>
                </w:r>
              </w:p>
            </w:tc>
            <w:tc>
              <w:tcPr>
                <w:tcW w:w="5528" w:type="dxa"/>
              </w:tcPr>
              <w:p w14:paraId="7759058C" w14:textId="4828F92B">
                <w:pPr>
                  <w:jc w:val="both"/>
                  <w:rPr>
                    <w:rFonts w:eastAsia="Calibri"/>
                    <w:bCs/>
                  </w:rPr>
                </w:pPr>
                <w:r>
                  <w:rPr>
                    <w:bCs/>
                    <w:szCs w:val="24"/>
                  </w:rPr>
                  <w:t>Vertinama, kad planuojamas įgyvendinti projektas neturi jokio poveikio šiam aplinkos tikslui arba numatomas jo poveikis yra nereikšmingas, t. y. nedaro tiesioginio ir pirminio netiesioginio poveikio per visą gyvavimo ciklą, ir laikoma, kad šis projektas atitinka biologinės įvairovės ir ekosistemų apsaugos ir atkūrimo tikslą: nenumatoma, kad projekto veiklos turės neigiamą poveikį biologinei įvairovei ar ekosistemų apsaugai, nes skaitmeninė infrastruktūra kuriama jau urbanizuotoje teritorijoje.</w:t>
                </w:r>
              </w:p>
            </w:tc>
            <w:tc>
              <w:tcPr>
                <w:tcW w:w="5776" w:type="dxa"/>
              </w:tcPr>
              <w:p w14:paraId="23E9BC12"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B3C482E" w14:textId="77777777">
                <w:pPr>
                  <w:jc w:val="both"/>
                  <w:rPr>
                    <w:rFonts w:eastAsia="Calibri"/>
                    <w:bCs/>
                    <w:iCs/>
                  </w:rPr>
                </w:pPr>
              </w:p>
            </w:tc>
          </w:tr>
        </w:tbl>
        <w:p w14:paraId="095DB3A7" w14:textId="77777777">
          <w:pPr>
            <w:spacing w:line="276" w:lineRule="auto"/>
            <w:jc w:val="center"/>
            <w:rPr>
              <w:rFonts w:ascii="Calibri" w:eastAsia="Calibri" w:hAnsi="Calibri"/>
              <w:sz w:val="22"/>
              <w:szCs w:val="22"/>
            </w:rPr>
          </w:pPr>
        </w:p>
        <w:sdt>
          <w:sdtPr>
            <w:alias w:val="pabaiga"/>
            <w:tag w:val="part_1c4f4e2722ca4e7c961fad31003848f3"/>
            <w:lock w:val="sdtLocked"/>
            <w:richText/>
          </w:sdtPr>
          <w:sdtContent>
            <w:p w14:paraId="6AC1B06F" w14:textId="77777777">
              <w:pPr>
                <w:spacing w:line="276" w:lineRule="auto"/>
                <w:jc w:val="center"/>
                <w:rPr>
                  <w:sz w:val="22"/>
                  <w:szCs w:val="22"/>
                </w:rPr>
              </w:pPr>
              <w:r>
                <w:rPr>
                  <w:rFonts w:ascii="Calibri" w:eastAsia="Calibri" w:hAnsi="Calibri"/>
                  <w:sz w:val="22"/>
                  <w:szCs w:val="22"/>
                </w:rPr>
                <w:t>________________</w:t>
              </w:r>
            </w:p>
            <w:p w14:paraId="71DF3334" w14:textId="77777777">
              <w:pPr>
                <w:spacing w:line="276" w:lineRule="auto"/>
                <w:rPr>
                  <w:sz w:val="22"/>
                  <w:szCs w:val="22"/>
                </w:rPr>
              </w:pPr>
            </w:p>
          </w:sdtContent>
        </w:sdt>
      </w:sdtContent>
    </w:sdt>
    <w:sectPr>
      <w:headerReference w:type="first" r:id="rId22"/>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62626E" w14:textId="77777777">
      <w:pPr>
        <w:rPr>
          <w:sz w:val="22"/>
          <w:szCs w:val="22"/>
        </w:rPr>
      </w:pPr>
      <w:r>
        <w:rPr>
          <w:sz w:val="22"/>
          <w:szCs w:val="22"/>
        </w:rPr>
        <w:separator/>
      </w:r>
    </w:p>
  </w:endnote>
  <w:endnote w:type="continuationSeparator" w:id="0">
    <w:p w14:paraId="0E8F70C0" w14:textId="77777777">
      <w:pPr>
        <w:rPr>
          <w:sz w:val="22"/>
          <w:szCs w:val="22"/>
        </w:rPr>
      </w:pPr>
      <w:r>
        <w:rPr>
          <w:sz w:val="22"/>
          <w:szCs w:val="22"/>
        </w:rPr>
        <w:continuationSeparator/>
      </w:r>
    </w:p>
  </w:endnote>
  <w:endnote w:type="continuationNotice" w:id="1">
    <w:p w14:paraId="048E11B4"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pPr>
      <w:tabs>
        <w:tab w:val="center" w:pos="4819"/>
        <w:tab w:val="right" w:pos="9638"/>
      </w:tabs>
    </w:pPr>
  </w:p>
  <w:p w14:paraId="179FF2A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5CCACD" w14:textId="77777777">
      <w:pPr>
        <w:rPr>
          <w:sz w:val="22"/>
          <w:szCs w:val="22"/>
        </w:rPr>
      </w:pPr>
      <w:r>
        <w:rPr>
          <w:sz w:val="22"/>
          <w:szCs w:val="22"/>
        </w:rPr>
        <w:separator/>
      </w:r>
    </w:p>
  </w:footnote>
  <w:footnote w:type="continuationSeparator" w:id="0">
    <w:p w14:paraId="3FB48EDB" w14:textId="77777777">
      <w:pPr>
        <w:rPr>
          <w:sz w:val="22"/>
          <w:szCs w:val="22"/>
        </w:rPr>
      </w:pPr>
      <w:r>
        <w:rPr>
          <w:sz w:val="22"/>
          <w:szCs w:val="22"/>
        </w:rPr>
        <w:continuationSeparator/>
      </w:r>
    </w:p>
  </w:footnote>
  <w:footnote w:type="continuationNotice" w:id="1">
    <w:p w14:paraId="0772036D"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227A030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14:paraId="48B8842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018316347">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5.xml"/>
  <Relationship Id="rId22" Type="http://schemas.openxmlformats.org/officeDocument/2006/relationships/header" Target="header4.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6" Abbr="16 pr." Title="2022–2030 METŲ SVEIKATOS PRIEŽIŪROS KOKYBĖS IR EFEKTYVUMO DIDINIMO PLĖTROS PROGRAMOS PAŽANGOS PRIEMONĖS NR. 11-002-02-11-01 „GERINTI SVEIKATOS PRIEŽIŪROS PASLAUGŲ KOKYBĘ IR PRIEINAMUMĄ“ PROJEKTŲ FINANSAVIMO SĄLYGŲ APRAŠAS Nr. 16" DocPartId="15ebd2368c0e422bb02e0ef253339a14" PartId="83dc0b6484d44a719852ca73d48ca8d1">
    <Part Type="pabaiga" DocPartId="51756c01e4384104af633f59c1b4d54d" PartId="c8d43f29735c494e8758ce386604fa31"/>
  </Part>
  <Part Type="priedas" Abbr="pr." Title="PROJEKTO (ĮSKAITANT JUNGTINĮ PROJEKTĄ) ATITIKTIES REIKŠMINGOS ŽALOS NEDARYMO HORIZONTALIAJAM PRINCIPUI VERTINIMO REIKALAVIMŲ APRAŠAS" DocPartId="06899c271c554581add343310ab05d9e" PartId="72882d0e816e4ec680eefc08ae4e3a4b">
    <Part Type="pabaiga" DocPartId="a80fba7b9b2d42199a1b6f1627b4ac5d" PartId="1c4f4e2722ca4e7c961fad31003848f3"/>
  </Part>
</Parts>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E3833E0E-EDEA-40AB-AE85-B5026A4F1FD7}">
  <ds:schemaRefs>
    <ds:schemaRef ds:uri="http://schemas.openxmlformats.org/officeDocument/2006/bibliography"/>
  </ds:schemaRefs>
</ds:datastoreItem>
</file>

<file path=customXml/itemProps5.xml><?xml version="1.0" encoding="utf-8"?>
<ds:datastoreItem xmlns:ds="http://schemas.openxmlformats.org/officeDocument/2006/customXml" ds:itemID="{EAD79A05-32F2-461F-927B-04287D5DCA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4416</Words>
  <Characters>32639</Characters>
  <Application>Microsoft Office Word</Application>
  <DocSecurity>4</DocSecurity>
  <Lines>679</Lines>
  <Paragraphs>301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36754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Virginija Levinskienė</dc:creator>
  <lastModifiedBy>adlibuser</lastModifiedBy>
  <dcterms:modified xsi:type="dcterms:W3CDTF">2024-05-20T05:05:00Z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Šukienė;#1227;#Sonata Macijauskienė;#166;#Margarita Kairienė;#24;#Ineta Valantinavičiūtė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