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5 pr."/>
        <w:tag w:val="part_18c659cbba5540afb68aa7a85cbe41d0"/>
        <w:lock w:val="sdtLocked"/>
        <w:richText/>
      </w:sdtPr>
      <w:sdtContent>
        <w:p>
          <w:pPr>
            <w:tabs>
              <w:tab w:val="center" w:pos="4680"/>
              <w:tab w:val="right" w:pos="9360"/>
            </w:tabs>
            <w:rPr>
              <w:sz w:val="22"/>
              <w:szCs w:val="22"/>
              <w:lang w:eastAsia="lt-LT"/>
            </w:rPr>
          </w:pPr>
        </w:p>
        <w:p>
          <w:pPr>
            <w:tabs>
              <w:tab w:val="center" w:pos="4819"/>
              <w:tab w:val="right" w:pos="9638"/>
            </w:tabs>
            <w:rPr>
              <w:sz w:val="22"/>
              <w:szCs w:val="22"/>
              <w:lang w:val="en-US"/>
            </w:rPr>
          </w:pPr>
        </w:p>
        <w:p>
          <w:pPr>
            <w:ind w:left="9639"/>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pPr>
            <w:ind w:left="9639"/>
            <w:jc w:val="both"/>
            <w:rPr>
              <w:szCs w:val="24"/>
            </w:rPr>
          </w:pPr>
          <w:sdt>
            <w:sdtPr>
              <w:alias w:val="Numeris"/>
              <w:tag w:val="nr_18c659cbba5540afb68aa7a85cbe41d0"/>
              <w:lock w:val="sdtLocked"/>
              <w:richText/>
            </w:sdtPr>
            <w:sdtContent>
              <w:r>
                <w:rPr>
                  <w:szCs w:val="24"/>
                </w:rPr>
                <w:t>15</w:t>
              </w:r>
            </w:sdtContent>
          </w:sdt>
          <w:r>
            <w:rPr>
              <w:szCs w:val="24"/>
            </w:rPr>
            <w:t xml:space="preserve"> priedas</w:t>
          </w:r>
        </w:p>
        <w:p>
          <w:pPr>
            <w:ind w:left="11057"/>
            <w:jc w:val="both"/>
            <w:rPr>
              <w:szCs w:val="24"/>
            </w:rPr>
          </w:pPr>
        </w:p>
        <w:sdt>
          <w:sdtPr>
            <w:alias w:val="Pavadinimas"/>
            <w:tag w:val="title_18c659cbba5540afb68aa7a85cbe41d0"/>
            <w:lock w:val="sdtLocked"/>
            <w:richText/>
          </w:sdtPr>
          <w:sdtContent>
            <w:p>
              <w:pPr>
                <w:jc w:val="center"/>
                <w:rPr>
                  <w:iCs/>
                  <w:szCs w:val="24"/>
                </w:rPr>
              </w:pPr>
              <w:r>
                <w:rPr>
                  <w:b/>
                  <w:bCs/>
                  <w:szCs w:val="24"/>
                </w:rPr>
                <w:t>2022–2030 METŲ SVEIKATOS PRIEŽIŪROS KOKYBĖS IR EFEKTYVUMO DIDINIMO PLĖTROS PROGRAMOS PAŽANGOS PRIEMONĖS NR. 11-002-02-11-01 „GERINTI SVEIKATOS PRIEŽIŪROS PASLAUGŲ KOKYBĘ IR PRIEINAMUMĄ“</w:t>
              </w:r>
            </w:p>
            <w:p>
              <w:pPr>
                <w:jc w:val="center"/>
                <w:rPr>
                  <w:b/>
                  <w:szCs w:val="24"/>
                </w:rPr>
              </w:pPr>
              <w:r>
                <w:rPr>
                  <w:b/>
                  <w:bCs/>
                  <w:szCs w:val="24"/>
                </w:rPr>
                <w:t>PROJEKTŲ FINANSAVIMO SĄLYGŲ APRAŠAS NR. 15</w:t>
              </w:r>
            </w:p>
          </w:sdtContent>
        </w:sdt>
        <w:p>
          <w:pPr>
            <w:spacing w:line="259" w:lineRule="auto"/>
            <w:jc w:val="center"/>
            <w:rPr>
              <w:b/>
              <w:szCs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295"/>
            <w:gridCol w:w="1134"/>
            <w:gridCol w:w="1066"/>
            <w:gridCol w:w="1134"/>
            <w:gridCol w:w="1344"/>
            <w:gridCol w:w="1276"/>
            <w:gridCol w:w="1134"/>
            <w:gridCol w:w="1134"/>
            <w:gridCol w:w="1134"/>
            <w:gridCol w:w="1275"/>
            <w:gridCol w:w="1134"/>
            <w:gridCol w:w="1134"/>
          </w:tblGrid>
          <w:tr>
            <w:tc>
              <w:tcPr>
                <w:tcW w:w="15304" w:type="dxa"/>
                <w:gridSpan w:val="13"/>
                <w:vAlign w:val="center"/>
              </w:tcPr>
              <w:p>
                <w:pPr>
                  <w:jc w:val="center"/>
                  <w:rPr>
                    <w:b/>
                    <w:sz w:val="22"/>
                    <w:szCs w:val="22"/>
                  </w:rPr>
                </w:pPr>
                <w:r>
                  <w:rPr>
                    <w:b/>
                    <w:sz w:val="22"/>
                    <w:szCs w:val="22"/>
                  </w:rPr>
                  <w:t>VEIKLOS AR POVEIKLĖS, KURIOMS NUSTATOMOS PROJEKTŲ FINANSAVIMO SĄLYGOS</w:t>
                </w:r>
              </w:p>
            </w:tc>
          </w:tr>
          <w:tr>
            <w:tc>
              <w:tcPr>
                <w:tcW w:w="1110" w:type="dxa"/>
                <w:vAlign w:val="center"/>
              </w:tcPr>
              <w:p>
                <w:pPr>
                  <w:jc w:val="center"/>
                  <w:rPr>
                    <w:b/>
                    <w:sz w:val="20"/>
                  </w:rPr>
                </w:pPr>
                <w:r>
                  <w:rPr>
                    <w:b/>
                    <w:sz w:val="20"/>
                  </w:rPr>
                  <w:t>Veiklos ar poveiklės pavadini-mas</w:t>
                </w:r>
              </w:p>
            </w:tc>
            <w:tc>
              <w:tcPr>
                <w:tcW w:w="1295" w:type="dxa"/>
                <w:vAlign w:val="center"/>
              </w:tcPr>
              <w:p>
                <w:pPr>
                  <w:jc w:val="center"/>
                  <w:rPr>
                    <w:b/>
                    <w:sz w:val="20"/>
                  </w:rPr>
                </w:pPr>
                <w:r>
                  <w:rPr>
                    <w:b/>
                    <w:sz w:val="20"/>
                  </w:rPr>
                  <w:t>Finansa-vimo šaltinis</w:t>
                </w:r>
              </w:p>
            </w:tc>
            <w:tc>
              <w:tcPr>
                <w:tcW w:w="1134" w:type="dxa"/>
                <w:vAlign w:val="center"/>
              </w:tcPr>
              <w:p>
                <w:pPr>
                  <w:jc w:val="center"/>
                  <w:rPr>
                    <w:b/>
                    <w:sz w:val="20"/>
                  </w:rPr>
                </w:pPr>
                <w:r>
                  <w:rPr>
                    <w:b/>
                    <w:bCs/>
                    <w:sz w:val="20"/>
                  </w:rPr>
                  <w:t>Prioritetas ar kompo-nentas</w:t>
                </w:r>
              </w:p>
            </w:tc>
            <w:tc>
              <w:tcPr>
                <w:tcW w:w="1066" w:type="dxa"/>
                <w:vAlign w:val="center"/>
              </w:tcPr>
              <w:p>
                <w:pPr>
                  <w:jc w:val="center"/>
                  <w:rPr>
                    <w:b/>
                    <w:sz w:val="20"/>
                  </w:rPr>
                </w:pPr>
                <w:r>
                  <w:rPr>
                    <w:b/>
                    <w:bCs/>
                    <w:sz w:val="20"/>
                  </w:rPr>
                  <w:t>Uždavi-nys ar priemonė</w:t>
                </w:r>
              </w:p>
            </w:tc>
            <w:tc>
              <w:tcPr>
                <w:tcW w:w="1134" w:type="dxa"/>
                <w:vAlign w:val="center"/>
              </w:tcPr>
              <w:p>
                <w:pPr>
                  <w:jc w:val="center"/>
                  <w:rPr>
                    <w:b/>
                    <w:sz w:val="20"/>
                  </w:rPr>
                </w:pPr>
                <w:r>
                  <w:rPr>
                    <w:b/>
                    <w:bCs/>
                    <w:sz w:val="20"/>
                  </w:rPr>
                  <w:t>Veikla ar paprie-monė</w:t>
                </w:r>
              </w:p>
            </w:tc>
            <w:tc>
              <w:tcPr>
                <w:tcW w:w="1344" w:type="dxa"/>
                <w:vAlign w:val="center"/>
              </w:tcPr>
              <w:p>
                <w:pPr>
                  <w:jc w:val="center"/>
                  <w:rPr>
                    <w:b/>
                    <w:sz w:val="20"/>
                  </w:rPr>
                </w:pPr>
                <w:r>
                  <w:rPr>
                    <w:b/>
                    <w:sz w:val="20"/>
                  </w:rPr>
                  <w:t>Intervenci-nės priemonės kodas</w:t>
                </w:r>
              </w:p>
            </w:tc>
            <w:tc>
              <w:tcPr>
                <w:tcW w:w="1276" w:type="dxa"/>
                <w:vAlign w:val="center"/>
              </w:tcPr>
              <w:p>
                <w:pPr>
                  <w:jc w:val="center"/>
                  <w:rPr>
                    <w:b/>
                    <w:bCs/>
                    <w:sz w:val="20"/>
                  </w:rPr>
                </w:pPr>
                <w:r>
                  <w:rPr>
                    <w:b/>
                    <w:sz w:val="20"/>
                  </w:rPr>
                  <w:t>Regionas, kuriam priskiriama veikla ar poveiklė</w:t>
                </w:r>
              </w:p>
            </w:tc>
            <w:tc>
              <w:tcPr>
                <w:tcW w:w="1134" w:type="dxa"/>
                <w:vAlign w:val="center"/>
              </w:tcPr>
              <w:p>
                <w:pPr>
                  <w:jc w:val="center"/>
                  <w:rPr>
                    <w:b/>
                    <w:sz w:val="20"/>
                  </w:rPr>
                </w:pPr>
                <w:r>
                  <w:rPr>
                    <w:b/>
                    <w:bCs/>
                    <w:sz w:val="20"/>
                  </w:rPr>
                  <w:t>Paramos formos kodas</w:t>
                </w:r>
              </w:p>
            </w:tc>
            <w:tc>
              <w:tcPr>
                <w:tcW w:w="1134" w:type="dxa"/>
                <w:vAlign w:val="center"/>
              </w:tcPr>
              <w:p>
                <w:pPr>
                  <w:jc w:val="center"/>
                  <w:rPr>
                    <w:b/>
                    <w:sz w:val="20"/>
                  </w:rPr>
                </w:pPr>
                <w:r>
                  <w:rPr>
                    <w:b/>
                    <w:bCs/>
                    <w:sz w:val="20"/>
                  </w:rPr>
                  <w:t>Pagrin-dinės teritorinės srities kodas (-ai)</w:t>
                </w:r>
              </w:p>
            </w:tc>
            <w:tc>
              <w:tcPr>
                <w:tcW w:w="1134" w:type="dxa"/>
                <w:vAlign w:val="center"/>
              </w:tcPr>
              <w:p>
                <w:pPr>
                  <w:jc w:val="center"/>
                  <w:rPr>
                    <w:b/>
                    <w:bCs/>
                    <w:sz w:val="20"/>
                  </w:rPr>
                </w:pPr>
                <w:r>
                  <w:rPr>
                    <w:b/>
                    <w:bCs/>
                    <w:sz w:val="20"/>
                  </w:rPr>
                  <w:t xml:space="preserve">Ekono-minės veiklos kodas </w:t>
                </w:r>
              </w:p>
              <w:p>
                <w:pPr>
                  <w:jc w:val="center"/>
                  <w:rPr>
                    <w:b/>
                    <w:sz w:val="20"/>
                  </w:rPr>
                </w:pPr>
                <w:r>
                  <w:rPr>
                    <w:b/>
                    <w:bCs/>
                    <w:sz w:val="20"/>
                  </w:rPr>
                  <w:t>(-ai)</w:t>
                </w:r>
              </w:p>
            </w:tc>
            <w:tc>
              <w:tcPr>
                <w:tcW w:w="1275" w:type="dxa"/>
                <w:vAlign w:val="center"/>
              </w:tcPr>
              <w:p>
                <w:pPr>
                  <w:jc w:val="center"/>
                  <w:rPr>
                    <w:b/>
                    <w:bCs/>
                    <w:sz w:val="20"/>
                  </w:rPr>
                </w:pPr>
                <w:r>
                  <w:rPr>
                    <w:b/>
                    <w:bCs/>
                    <w:sz w:val="20"/>
                  </w:rPr>
                  <w:t>„Europos socialinio fondo +“ (toliau – ESF+) antrinių temų kodai</w:t>
                </w:r>
              </w:p>
            </w:tc>
            <w:tc>
              <w:tcPr>
                <w:tcW w:w="1134" w:type="dxa"/>
                <w:vAlign w:val="center"/>
              </w:tcPr>
              <w:p>
                <w:pPr>
                  <w:jc w:val="center"/>
                  <w:rPr>
                    <w:b/>
                    <w:bCs/>
                    <w:sz w:val="20"/>
                  </w:rPr>
                </w:pPr>
                <w:r>
                  <w:rPr>
                    <w:b/>
                    <w:bCs/>
                    <w:sz w:val="20"/>
                  </w:rPr>
                  <w:t>Lyčių lygybės matmens kodas</w:t>
                </w:r>
              </w:p>
            </w:tc>
            <w:tc>
              <w:tcPr>
                <w:tcW w:w="1134" w:type="dxa"/>
                <w:vAlign w:val="center"/>
              </w:tcPr>
              <w:p>
                <w:pPr>
                  <w:jc w:val="center"/>
                  <w:rPr>
                    <w:b/>
                    <w:sz w:val="20"/>
                  </w:rPr>
                </w:pPr>
                <w:r>
                  <w:rPr>
                    <w:b/>
                    <w:sz w:val="20"/>
                  </w:rPr>
                  <w:t>Nepanau-dotos Ekonomi-kos gaivinimo ir atsparu-mo didinimo priemonės lėšos</w:t>
                </w:r>
              </w:p>
              <w:p>
                <w:pPr>
                  <w:jc w:val="center"/>
                  <w:rPr>
                    <w:b/>
                    <w:bCs/>
                    <w:sz w:val="20"/>
                  </w:rPr>
                </w:pPr>
                <w:r>
                  <w:rPr>
                    <w:b/>
                    <w:sz w:val="20"/>
                  </w:rPr>
                  <w:t>(Taip / Ne)</w:t>
                </w:r>
              </w:p>
            </w:tc>
          </w:tr>
          <w:tr>
            <w:trPr>
              <w:trHeight w:val="2258"/>
            </w:trPr>
            <w:tc>
              <w:tcPr>
                <w:tcW w:w="1110" w:type="dxa"/>
                <w:vMerge w:val="restart"/>
                <w:tcMar>
                  <w:left w:w="28" w:type="dxa"/>
                  <w:right w:w="28" w:type="dxa"/>
                </w:tcMar>
                <w:vAlign w:val="center"/>
              </w:tcPr>
              <w:p>
                <w:pPr>
                  <w:rPr>
                    <w:i/>
                    <w:sz w:val="22"/>
                    <w:szCs w:val="22"/>
                  </w:rPr>
                </w:pPr>
                <w:r>
                  <w:rPr>
                    <w:sz w:val="22"/>
                    <w:szCs w:val="22"/>
                  </w:rPr>
                  <w:t xml:space="preserve">11.4. </w:t>
                </w:r>
                <w:r>
                  <w:rPr>
                    <w:iCs/>
                    <w:sz w:val="22"/>
                    <w:szCs w:val="22"/>
                  </w:rPr>
                  <w:t>Ilgalaikės priežiūros paslaugas teikiančių specialistų parengimas</w:t>
                </w:r>
              </w:p>
            </w:tc>
            <w:tc>
              <w:tcPr>
                <w:tcW w:w="1295" w:type="dxa"/>
                <w:tcMar>
                  <w:left w:w="28" w:type="dxa"/>
                  <w:right w:w="28" w:type="dxa"/>
                </w:tcMar>
              </w:tcPr>
              <w:p>
                <w:pPr>
                  <w:jc w:val="center"/>
                  <w:rPr>
                    <w:iCs/>
                    <w:sz w:val="22"/>
                    <w:szCs w:val="22"/>
                  </w:rPr>
                </w:pPr>
                <w:r>
                  <w:rPr>
                    <w:iCs/>
                    <w:sz w:val="22"/>
                    <w:szCs w:val="22"/>
                  </w:rPr>
                  <w:t>Ekonomikos gaivinimo ir atsparumo didinimo priemonės subsidijos lėšos (toliau – EGADP lėšos)</w:t>
                </w:r>
              </w:p>
            </w:tc>
            <w:tc>
              <w:tcPr>
                <w:tcW w:w="1134" w:type="dxa"/>
                <w:vMerge w:val="restart"/>
                <w:tcMar>
                  <w:left w:w="28" w:type="dxa"/>
                  <w:right w:w="28" w:type="dxa"/>
                </w:tcMar>
                <w:vAlign w:val="center"/>
              </w:tcPr>
              <w:p>
                <w:pPr>
                  <w:jc w:val="center"/>
                  <w:rPr>
                    <w:i/>
                    <w:sz w:val="22"/>
                    <w:szCs w:val="22"/>
                  </w:rPr>
                </w:pPr>
                <w:r>
                  <w:rPr>
                    <w:sz w:val="22"/>
                    <w:szCs w:val="22"/>
                  </w:rPr>
                  <w:t>A.1</w:t>
                </w:r>
              </w:p>
            </w:tc>
            <w:tc>
              <w:tcPr>
                <w:tcW w:w="1066" w:type="dxa"/>
                <w:vMerge w:val="restart"/>
                <w:tcMar>
                  <w:left w:w="28" w:type="dxa"/>
                  <w:right w:w="28" w:type="dxa"/>
                </w:tcMar>
                <w:vAlign w:val="center"/>
              </w:tcPr>
              <w:p>
                <w:pPr>
                  <w:jc w:val="center"/>
                  <w:rPr>
                    <w:sz w:val="22"/>
                    <w:szCs w:val="22"/>
                  </w:rPr>
                </w:pPr>
                <w:r>
                  <w:rPr>
                    <w:sz w:val="22"/>
                    <w:szCs w:val="22"/>
                  </w:rPr>
                  <w:t>A.1.2</w:t>
                </w:r>
              </w:p>
            </w:tc>
            <w:tc>
              <w:tcPr>
                <w:tcW w:w="1134" w:type="dxa"/>
                <w:vMerge w:val="restart"/>
                <w:tcMar>
                  <w:left w:w="28" w:type="dxa"/>
                  <w:right w:w="28" w:type="dxa"/>
                </w:tcMar>
                <w:vAlign w:val="center"/>
              </w:tcPr>
              <w:p>
                <w:pPr>
                  <w:jc w:val="center"/>
                  <w:rPr>
                    <w:i/>
                    <w:sz w:val="22"/>
                    <w:szCs w:val="22"/>
                  </w:rPr>
                </w:pPr>
                <w:r>
                  <w:rPr>
                    <w:sz w:val="22"/>
                    <w:szCs w:val="22"/>
                  </w:rPr>
                  <w:t>A.1.2.2</w:t>
                </w:r>
              </w:p>
            </w:tc>
            <w:tc>
              <w:tcPr>
                <w:tcW w:w="1344" w:type="dxa"/>
                <w:tcMar>
                  <w:left w:w="28" w:type="dxa"/>
                  <w:right w:w="28" w:type="dxa"/>
                </w:tcMar>
                <w:vAlign w:val="center"/>
              </w:tcPr>
              <w:p>
                <w:pPr>
                  <w:jc w:val="center"/>
                  <w:rPr>
                    <w:sz w:val="22"/>
                    <w:szCs w:val="22"/>
                  </w:rPr>
                </w:pPr>
                <w:r>
                  <w:rPr>
                    <w:sz w:val="22"/>
                    <w:szCs w:val="22"/>
                  </w:rPr>
                  <w:t>124</w:t>
                </w:r>
              </w:p>
            </w:tc>
            <w:tc>
              <w:tcPr>
                <w:tcW w:w="1276" w:type="dxa"/>
                <w:vMerge w:val="restart"/>
                <w:tcMar>
                  <w:left w:w="28" w:type="dxa"/>
                  <w:right w:w="28" w:type="dxa"/>
                </w:tcMar>
                <w:vAlign w:val="center"/>
              </w:tcPr>
              <w:p>
                <w:pPr>
                  <w:jc w:val="center"/>
                  <w:rPr>
                    <w:i/>
                    <w:sz w:val="22"/>
                    <w:szCs w:val="22"/>
                  </w:rPr>
                </w:pPr>
                <w:r>
                  <w:rPr>
                    <w:sz w:val="22"/>
                    <w:szCs w:val="22"/>
                  </w:rPr>
                  <w:t>-</w:t>
                </w:r>
              </w:p>
            </w:tc>
            <w:tc>
              <w:tcPr>
                <w:tcW w:w="1134" w:type="dxa"/>
                <w:vMerge w:val="restart"/>
                <w:tcMar>
                  <w:left w:w="28" w:type="dxa"/>
                  <w:right w:w="28" w:type="dxa"/>
                </w:tcMar>
                <w:vAlign w:val="center"/>
              </w:tcPr>
              <w:p>
                <w:pPr>
                  <w:jc w:val="center"/>
                  <w:rPr>
                    <w:i/>
                    <w:sz w:val="22"/>
                    <w:szCs w:val="22"/>
                  </w:rPr>
                </w:pPr>
                <w:r>
                  <w:rPr>
                    <w:sz w:val="22"/>
                    <w:szCs w:val="22"/>
                  </w:rPr>
                  <w:t>-</w:t>
                </w:r>
              </w:p>
            </w:tc>
            <w:tc>
              <w:tcPr>
                <w:tcW w:w="1134" w:type="dxa"/>
                <w:vMerge w:val="restart"/>
                <w:tcMar>
                  <w:left w:w="28" w:type="dxa"/>
                  <w:right w:w="28" w:type="dxa"/>
                </w:tcMar>
                <w:vAlign w:val="center"/>
              </w:tcPr>
              <w:p>
                <w:pPr>
                  <w:jc w:val="center"/>
                  <w:rPr>
                    <w:sz w:val="22"/>
                    <w:szCs w:val="22"/>
                  </w:rPr>
                </w:pPr>
                <w:r>
                  <w:rPr>
                    <w:sz w:val="22"/>
                    <w:szCs w:val="22"/>
                  </w:rPr>
                  <w:t>-</w:t>
                </w:r>
              </w:p>
            </w:tc>
            <w:tc>
              <w:tcPr>
                <w:tcW w:w="1134" w:type="dxa"/>
                <w:vMerge w:val="restart"/>
                <w:tcMar>
                  <w:left w:w="28" w:type="dxa"/>
                  <w:right w:w="28" w:type="dxa"/>
                </w:tcMar>
                <w:vAlign w:val="center"/>
              </w:tcPr>
              <w:p>
                <w:pPr>
                  <w:jc w:val="center"/>
                  <w:rPr>
                    <w:sz w:val="22"/>
                    <w:szCs w:val="22"/>
                  </w:rPr>
                </w:pPr>
                <w:r>
                  <w:rPr>
                    <w:sz w:val="22"/>
                    <w:szCs w:val="22"/>
                  </w:rPr>
                  <w:t>-</w:t>
                </w:r>
              </w:p>
            </w:tc>
            <w:tc>
              <w:tcPr>
                <w:tcW w:w="1275" w:type="dxa"/>
                <w:vMerge w:val="restart"/>
                <w:tcMar>
                  <w:left w:w="28" w:type="dxa"/>
                  <w:right w:w="28" w:type="dxa"/>
                </w:tcMar>
                <w:vAlign w:val="center"/>
              </w:tcPr>
              <w:p>
                <w:pPr>
                  <w:jc w:val="center"/>
                  <w:rPr>
                    <w:i/>
                    <w:iCs/>
                    <w:sz w:val="22"/>
                    <w:szCs w:val="22"/>
                  </w:rPr>
                </w:pPr>
                <w:r>
                  <w:rPr>
                    <w:sz w:val="22"/>
                    <w:szCs w:val="22"/>
                  </w:rPr>
                  <w:t>-</w:t>
                </w:r>
              </w:p>
            </w:tc>
            <w:tc>
              <w:tcPr>
                <w:tcW w:w="1134" w:type="dxa"/>
                <w:vMerge w:val="restart"/>
                <w:tcMar>
                  <w:left w:w="28" w:type="dxa"/>
                  <w:right w:w="28" w:type="dxa"/>
                </w:tcMar>
                <w:vAlign w:val="center"/>
              </w:tcPr>
              <w:p>
                <w:pPr>
                  <w:jc w:val="center"/>
                  <w:rPr>
                    <w:i/>
                    <w:iCs/>
                    <w:sz w:val="22"/>
                    <w:szCs w:val="22"/>
                  </w:rPr>
                </w:pPr>
                <w:r>
                  <w:rPr>
                    <w:sz w:val="22"/>
                    <w:szCs w:val="22"/>
                  </w:rPr>
                  <w:t>-</w:t>
                </w:r>
              </w:p>
            </w:tc>
            <w:tc>
              <w:tcPr>
                <w:tcW w:w="1134" w:type="dxa"/>
                <w:vAlign w:val="center"/>
              </w:tcPr>
              <w:p>
                <w:pPr>
                  <w:jc w:val="center"/>
                  <w:rPr>
                    <w:i/>
                    <w:iCs/>
                    <w:sz w:val="22"/>
                    <w:szCs w:val="22"/>
                  </w:rPr>
                </w:pPr>
                <w:r>
                  <w:rPr>
                    <w:sz w:val="22"/>
                    <w:szCs w:val="22"/>
                  </w:rPr>
                  <w:t>Ne</w:t>
                </w:r>
              </w:p>
            </w:tc>
          </w:tr>
          <w:tr>
            <w:trPr>
              <w:trHeight w:val="1136"/>
            </w:trPr>
            <w:tc>
              <w:tcPr>
                <w:tcW w:w="1110" w:type="dxa"/>
                <w:vMerge/>
                <w:tcMar>
                  <w:left w:w="28" w:type="dxa"/>
                  <w:right w:w="28" w:type="dxa"/>
                </w:tcMar>
              </w:tcPr>
              <w:p>
                <w:pPr>
                  <w:ind w:firstLine="48"/>
                  <w:jc w:val="center"/>
                  <w:rPr>
                    <w:sz w:val="22"/>
                    <w:szCs w:val="22"/>
                  </w:rPr>
                </w:pPr>
              </w:p>
            </w:tc>
            <w:tc>
              <w:tcPr>
                <w:tcW w:w="1295" w:type="dxa"/>
                <w:tcMar>
                  <w:left w:w="28" w:type="dxa"/>
                  <w:right w:w="28" w:type="dxa"/>
                </w:tcMar>
              </w:tcPr>
              <w:p>
                <w:pPr>
                  <w:jc w:val="center"/>
                  <w:rPr>
                    <w:bCs/>
                    <w:iCs/>
                    <w:sz w:val="22"/>
                    <w:szCs w:val="22"/>
                  </w:rPr>
                </w:pPr>
                <w:r>
                  <w:rPr>
                    <w:bCs/>
                    <w:iCs/>
                    <w:sz w:val="22"/>
                    <w:szCs w:val="22"/>
                  </w:rPr>
                  <w:t>Valstybės biudžeto lėšos, skirtos ES fondų lėšomis netinkamam finansuoti pridėtinės vertės mokesčiui apmokėti, – (toliau – VB lėšos).</w:t>
                </w:r>
              </w:p>
            </w:tc>
            <w:tc>
              <w:tcPr>
                <w:tcW w:w="1134" w:type="dxa"/>
                <w:vMerge/>
                <w:tcMar>
                  <w:left w:w="28" w:type="dxa"/>
                  <w:right w:w="28" w:type="dxa"/>
                </w:tcMar>
              </w:tcPr>
              <w:p>
                <w:pPr>
                  <w:jc w:val="center"/>
                  <w:rPr>
                    <w:i/>
                    <w:iCs/>
                    <w:sz w:val="22"/>
                    <w:szCs w:val="22"/>
                  </w:rPr>
                </w:pPr>
              </w:p>
            </w:tc>
            <w:tc>
              <w:tcPr>
                <w:tcW w:w="1066" w:type="dxa"/>
                <w:vMerge/>
                <w:tcMar>
                  <w:left w:w="28" w:type="dxa"/>
                  <w:right w:w="28" w:type="dxa"/>
                </w:tcMar>
              </w:tcPr>
              <w:p>
                <w:pPr>
                  <w:jc w:val="center"/>
                  <w:rPr>
                    <w:i/>
                    <w:sz w:val="22"/>
                    <w:szCs w:val="22"/>
                  </w:rPr>
                </w:pPr>
              </w:p>
            </w:tc>
            <w:tc>
              <w:tcPr>
                <w:tcW w:w="1134" w:type="dxa"/>
                <w:vMerge/>
                <w:tcMar>
                  <w:left w:w="28" w:type="dxa"/>
                  <w:right w:w="28" w:type="dxa"/>
                </w:tcMar>
              </w:tcPr>
              <w:p>
                <w:pPr>
                  <w:jc w:val="center"/>
                  <w:rPr>
                    <w:i/>
                    <w:iCs/>
                    <w:sz w:val="22"/>
                    <w:szCs w:val="22"/>
                  </w:rPr>
                </w:pPr>
              </w:p>
            </w:tc>
            <w:tc>
              <w:tcPr>
                <w:tcW w:w="1344" w:type="dxa"/>
                <w:tcMar>
                  <w:left w:w="28" w:type="dxa"/>
                  <w:right w:w="28" w:type="dxa"/>
                </w:tcMar>
              </w:tcPr>
              <w:p>
                <w:pPr>
                  <w:jc w:val="center"/>
                  <w:rPr>
                    <w:sz w:val="22"/>
                    <w:szCs w:val="22"/>
                  </w:rPr>
                </w:pPr>
              </w:p>
            </w:tc>
            <w:tc>
              <w:tcPr>
                <w:tcW w:w="1276" w:type="dxa"/>
                <w:vMerge/>
                <w:tcMar>
                  <w:left w:w="28" w:type="dxa"/>
                  <w:right w:w="28" w:type="dxa"/>
                </w:tcMar>
              </w:tcPr>
              <w:p>
                <w:pPr>
                  <w:jc w:val="center"/>
                  <w:rPr>
                    <w:i/>
                    <w:sz w:val="22"/>
                    <w:szCs w:val="22"/>
                  </w:rPr>
                </w:pPr>
              </w:p>
            </w:tc>
            <w:tc>
              <w:tcPr>
                <w:tcW w:w="1134" w:type="dxa"/>
                <w:vMerge/>
                <w:tcMar>
                  <w:left w:w="28" w:type="dxa"/>
                  <w:right w:w="28" w:type="dxa"/>
                </w:tcMar>
              </w:tcPr>
              <w:p>
                <w:pPr>
                  <w:jc w:val="center"/>
                  <w:rPr>
                    <w:i/>
                    <w:sz w:val="22"/>
                    <w:szCs w:val="22"/>
                  </w:rPr>
                </w:pPr>
              </w:p>
            </w:tc>
            <w:tc>
              <w:tcPr>
                <w:tcW w:w="1134" w:type="dxa"/>
                <w:vMerge/>
                <w:tcMar>
                  <w:left w:w="28" w:type="dxa"/>
                  <w:right w:w="28" w:type="dxa"/>
                </w:tcMar>
              </w:tcPr>
              <w:p>
                <w:pPr>
                  <w:jc w:val="center"/>
                  <w:rPr>
                    <w:i/>
                    <w:iCs/>
                    <w:sz w:val="22"/>
                    <w:szCs w:val="22"/>
                  </w:rPr>
                </w:pPr>
              </w:p>
            </w:tc>
            <w:tc>
              <w:tcPr>
                <w:tcW w:w="1134" w:type="dxa"/>
                <w:vMerge/>
                <w:tcMar>
                  <w:left w:w="28" w:type="dxa"/>
                  <w:right w:w="28" w:type="dxa"/>
                </w:tcMar>
              </w:tcPr>
              <w:p>
                <w:pPr>
                  <w:jc w:val="center"/>
                  <w:rPr>
                    <w:i/>
                    <w:iCs/>
                    <w:sz w:val="22"/>
                    <w:szCs w:val="22"/>
                  </w:rPr>
                </w:pPr>
              </w:p>
            </w:tc>
            <w:tc>
              <w:tcPr>
                <w:tcW w:w="1275" w:type="dxa"/>
                <w:vMerge/>
                <w:tcMar>
                  <w:left w:w="28" w:type="dxa"/>
                  <w:right w:w="28" w:type="dxa"/>
                </w:tcMar>
              </w:tcPr>
              <w:p>
                <w:pPr>
                  <w:jc w:val="center"/>
                  <w:rPr>
                    <w:i/>
                    <w:iCs/>
                    <w:sz w:val="22"/>
                    <w:szCs w:val="22"/>
                  </w:rPr>
                </w:pPr>
              </w:p>
            </w:tc>
            <w:tc>
              <w:tcPr>
                <w:tcW w:w="1134" w:type="dxa"/>
                <w:vMerge/>
                <w:tcMar>
                  <w:left w:w="28" w:type="dxa"/>
                  <w:right w:w="28" w:type="dxa"/>
                </w:tcMar>
              </w:tcPr>
              <w:p>
                <w:pPr>
                  <w:jc w:val="center"/>
                  <w:rPr>
                    <w:i/>
                    <w:iCs/>
                    <w:sz w:val="22"/>
                    <w:szCs w:val="22"/>
                  </w:rPr>
                </w:pPr>
              </w:p>
            </w:tc>
            <w:tc>
              <w:tcPr>
                <w:tcW w:w="1134" w:type="dxa"/>
              </w:tcPr>
              <w:p>
                <w:pPr>
                  <w:jc w:val="center"/>
                  <w:rPr>
                    <w:i/>
                    <w:iCs/>
                    <w:sz w:val="22"/>
                    <w:szCs w:val="22"/>
                  </w:rPr>
                </w:pPr>
              </w:p>
            </w:tc>
          </w:tr>
        </w:tbl>
        <w:p>
          <w:pPr>
            <w:jc w:val="both"/>
          </w:pPr>
          <w:r>
            <w:rPr>
              <w:b/>
              <w:bCs/>
            </w:rPr>
            <w:t>Pastaba.</w:t>
          </w:r>
          <w: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 1 punkte.</w:t>
          </w:r>
        </w:p>
        <w:p>
          <w:pPr>
            <w:jc w:val="both"/>
            <w:rPr>
              <w:b/>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trPr>
              <w:trHeight w:val="405"/>
            </w:trPr>
            <w:tc>
              <w:tcPr>
                <w:tcW w:w="3783" w:type="dxa"/>
                <w:shd w:val="clear" w:color="auto" w:fill="auto"/>
                <w:vAlign w:val="center"/>
              </w:tcPr>
              <w:p>
                <w:pPr>
                  <w:jc w:val="center"/>
                  <w:rPr>
                    <w:szCs w:val="24"/>
                  </w:rPr>
                </w:pPr>
                <w:r>
                  <w:rPr>
                    <w:szCs w:val="24"/>
                  </w:rPr>
                  <w:t>Rodiklio pavadinimas</w:t>
                </w:r>
              </w:p>
            </w:tc>
            <w:tc>
              <w:tcPr>
                <w:tcW w:w="3784" w:type="dxa"/>
                <w:shd w:val="clear" w:color="auto" w:fill="auto"/>
                <w:vAlign w:val="center"/>
              </w:tcPr>
              <w:p>
                <w:pPr>
                  <w:jc w:val="center"/>
                  <w:rPr>
                    <w:szCs w:val="24"/>
                  </w:rPr>
                </w:pPr>
                <w:r>
                  <w:rPr>
                    <w:szCs w:val="24"/>
                  </w:rPr>
                  <w:t>Rodiklio kodas</w:t>
                </w:r>
              </w:p>
            </w:tc>
            <w:tc>
              <w:tcPr>
                <w:tcW w:w="3783" w:type="dxa"/>
                <w:shd w:val="clear" w:color="auto" w:fill="auto"/>
                <w:vAlign w:val="center"/>
              </w:tcPr>
              <w:p>
                <w:pPr>
                  <w:jc w:val="center"/>
                  <w:rPr>
                    <w:szCs w:val="24"/>
                  </w:rPr>
                </w:pPr>
                <w:r>
                  <w:rPr>
                    <w:szCs w:val="24"/>
                  </w:rPr>
                  <w:t>Matavimo vienetai</w:t>
                </w:r>
              </w:p>
            </w:tc>
            <w:tc>
              <w:tcPr>
                <w:tcW w:w="3784" w:type="dxa"/>
                <w:shd w:val="clear" w:color="auto" w:fill="auto"/>
                <w:vAlign w:val="center"/>
              </w:tcPr>
              <w:p>
                <w:pPr>
                  <w:jc w:val="center"/>
                  <w:rPr>
                    <w:szCs w:val="24"/>
                  </w:rPr>
                </w:pPr>
                <w:r>
                  <w:rPr>
                    <w:szCs w:val="24"/>
                  </w:rPr>
                  <w:t>Siektina reikšmė ir pasiekimo data</w:t>
                </w:r>
              </w:p>
            </w:tc>
          </w:tr>
          <w:tr>
            <w:trPr>
              <w:trHeight w:val="416"/>
            </w:trPr>
            <w:tc>
              <w:tcPr>
                <w:tcW w:w="3783" w:type="dxa"/>
              </w:tcPr>
              <w:p>
                <w:pPr>
                  <w:jc w:val="center"/>
                  <w:rPr>
                    <w:i/>
                    <w:iCs/>
                    <w:szCs w:val="24"/>
                  </w:rPr>
                </w:pPr>
                <w:r>
                  <w:rPr>
                    <w:szCs w:val="24"/>
                  </w:rPr>
                  <w:t>Baigtas mažiausiai 1 000 ilgalaikės priežiūros specialistų mokymas</w:t>
                </w:r>
              </w:p>
            </w:tc>
            <w:tc>
              <w:tcPr>
                <w:tcW w:w="3784" w:type="dxa"/>
              </w:tcPr>
              <w:p>
                <w:pPr>
                  <w:jc w:val="center"/>
                  <w:rPr>
                    <w:szCs w:val="24"/>
                    <w:lang w:eastAsia="lt-LT"/>
                  </w:rPr>
                </w:pPr>
                <w:r>
                  <w:rPr>
                    <w:szCs w:val="24"/>
                    <w:lang w:eastAsia="lt-LT"/>
                  </w:rPr>
                  <w:t>P-11-002-02-11-01-70</w:t>
                </w:r>
              </w:p>
              <w:p>
                <w:pPr>
                  <w:jc w:val="center"/>
                  <w:rPr>
                    <w:i/>
                    <w:iCs/>
                    <w:szCs w:val="24"/>
                  </w:rPr>
                </w:pPr>
                <w:r>
                  <w:rPr>
                    <w:szCs w:val="24"/>
                    <w:lang w:eastAsia="lt-LT"/>
                  </w:rPr>
                  <w:t>R.S.1.3016.1</w:t>
                </w:r>
              </w:p>
            </w:tc>
            <w:tc>
              <w:tcPr>
                <w:tcW w:w="3783" w:type="dxa"/>
              </w:tcPr>
              <w:p>
                <w:pPr>
                  <w:jc w:val="center"/>
                  <w:rPr>
                    <w:i/>
                    <w:iCs/>
                    <w:szCs w:val="24"/>
                  </w:rPr>
                </w:pPr>
                <w:r>
                  <w:rPr>
                    <w:szCs w:val="24"/>
                  </w:rPr>
                  <w:t>Asmenys</w:t>
                </w:r>
              </w:p>
            </w:tc>
            <w:tc>
              <w:tcPr>
                <w:tcW w:w="3784" w:type="dxa"/>
              </w:tcPr>
              <w:p>
                <w:pPr>
                  <w:jc w:val="center"/>
                  <w:rPr>
                    <w:szCs w:val="24"/>
                  </w:rPr>
                </w:pPr>
                <w:r>
                  <w:rPr>
                    <w:szCs w:val="24"/>
                  </w:rPr>
                  <w:t>1 000</w:t>
                </w:r>
              </w:p>
              <w:p>
                <w:pPr>
                  <w:jc w:val="center"/>
                  <w:rPr>
                    <w:i/>
                    <w:iCs/>
                    <w:szCs w:val="24"/>
                  </w:rPr>
                </w:pPr>
                <w:r>
                  <w:rPr>
                    <w:szCs w:val="24"/>
                    <w:lang w:val="en-US"/>
                  </w:rPr>
                  <w:t>(2024 m. IV ketv.)</w:t>
                </w:r>
              </w:p>
            </w:tc>
          </w:tr>
        </w:tbl>
        <w:p>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trPr>
              <w:trHeight w:val="298"/>
            </w:trPr>
            <w:tc>
              <w:tcPr>
                <w:tcW w:w="15158" w:type="dxa"/>
              </w:tcPr>
              <w:p>
                <w:pPr>
                  <w:jc w:val="both"/>
                  <w:rPr>
                    <w:szCs w:val="24"/>
                  </w:rPr>
                </w:pPr>
                <w:r>
                  <w:rPr>
                    <w:szCs w:val="24"/>
                  </w:rPr>
                  <w:t>Ministerijos stebėsenos rodiklių aprašymo kortelės</w:t>
                </w:r>
              </w:p>
            </w:tc>
          </w:tr>
          <w:tr>
            <w:trPr>
              <w:trHeight w:val="315"/>
            </w:trPr>
            <w:tc>
              <w:tcPr>
                <w:tcW w:w="15158" w:type="dxa"/>
              </w:tcPr>
              <w:p>
                <w:pPr>
                  <w:spacing w:line="259" w:lineRule="auto"/>
                  <w:jc w:val="both"/>
                  <w:rPr>
                    <w:iCs/>
                    <w:szCs w:val="24"/>
                  </w:rPr>
                </w:pPr>
                <w:r>
                  <w:rPr>
                    <w:iCs/>
                    <w:szCs w:val="24"/>
                  </w:rPr>
                  <w:t>https://sam.lrv.lt/lt/administracine-informacija/planavimo-dokumentai/pletros-programos/sveikatos-prieziuros-kokybes-ir-efektyvumo-didinimo-pletros-programa</w:t>
                </w:r>
              </w:p>
            </w:tc>
          </w:tr>
        </w:tbl>
        <w:p>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tc>
              <w:tcPr>
                <w:tcW w:w="15134" w:type="dxa"/>
              </w:tcPr>
              <w:p>
                <w:pPr>
                  <w:rPr>
                    <w:b/>
                    <w:szCs w:val="24"/>
                  </w:rPr>
                </w:pPr>
                <w:r>
                  <w:rPr>
                    <w:b/>
                    <w:szCs w:val="24"/>
                  </w:rPr>
                  <w:t>SPECIALIEJI FINANSAVIMO REIKALAVIMAI</w:t>
                </w:r>
              </w:p>
            </w:tc>
          </w:tr>
          <w:tr>
            <w:tc>
              <w:tcPr>
                <w:tcW w:w="15134" w:type="dxa"/>
              </w:tcPr>
              <w:p>
                <w:pPr>
                  <w:rPr>
                    <w:b/>
                    <w:bCs/>
                    <w:szCs w:val="24"/>
                  </w:rPr>
                </w:pPr>
                <w:r>
                  <w:rPr>
                    <w:b/>
                    <w:bCs/>
                    <w:szCs w:val="24"/>
                  </w:rPr>
                  <w:t>1. Taikomi teisės aktai</w:t>
                </w:r>
              </w:p>
            </w:tc>
          </w:tr>
          <w:tr>
            <w:tc>
              <w:tcPr>
                <w:tcW w:w="15134" w:type="dxa"/>
              </w:tcPr>
              <w:p>
                <w:pPr>
                  <w:tabs>
                    <w:tab w:val="left" w:pos="306"/>
                  </w:tabs>
                  <w:ind w:left="23"/>
                  <w:jc w:val="both"/>
                  <w:rPr>
                    <w:szCs w:val="24"/>
                    <w:lang w:eastAsia="lt-LT"/>
                  </w:rPr>
                </w:pPr>
                <w: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w:t>
                  <w:br/>
                  <w:t>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priemonės aprašas), 15 priedą „2022–2030 metų sveikatos priežiūros kokybės ir efektyvumo didinimo plėtros programos pažangos priemonės Nr. 11-002-02-11-01 „Gerinti sveikatos priežiūros paslaugų kokybę ir prieinamumą“ projektų finansavimo sąlygų aprašas Nr. 15“ (toliau – Aprašas):</w:t>
                </w:r>
              </w:p>
              <w:p>
                <w:pPr>
                  <w:tabs>
                    <w:tab w:val="left" w:pos="600"/>
                  </w:tabs>
                  <w:ind w:left="29"/>
                  <w:jc w:val="both"/>
                  <w:rPr>
                    <w:b/>
                    <w:bCs/>
                    <w:szCs w:val="24"/>
                  </w:rPr>
                </w:pPr>
                <w:r>
                  <w:rPr>
                    <w:b/>
                    <w:bCs/>
                    <w:szCs w:val="24"/>
                  </w:rPr>
                  <w:t>1.1. bendrieji teisės aktai:</w:t>
                </w:r>
              </w:p>
              <w:p>
                <w:pPr>
                  <w:tabs>
                    <w:tab w:val="left" w:pos="600"/>
                  </w:tabs>
                  <w:ind w:left="29"/>
                  <w:jc w:val="both"/>
                  <w:rPr>
                    <w:szCs w:val="24"/>
                  </w:rPr>
                </w:pPr>
                <w:r>
                  <w:rPr>
                    <w:szCs w:val="24"/>
                    <w:lang w:eastAsia="lt-LT"/>
                  </w:rPr>
                  <w:t xml:space="preserve">1.1.1. </w:t>
                </w:r>
                <w:r>
                  <w:rPr>
                    <w:szCs w:val="24"/>
                  </w:rPr>
                  <w:t xml:space="preserve">2021 m. vasario 12 d. Europos Parlamento ir Tarybos reglamentas </w:t>
                </w:r>
                <w:r>
                  <w:rPr>
                    <w:szCs w:val="24"/>
                  </w:rPr>
                  <w:t>(ES)2021/241</w:t>
                </w:r>
                <w:r>
                  <w:rPr>
                    <w:szCs w:val="24"/>
                  </w:rPr>
                  <w:t>, kuriuo nustatoma ekonomikos gaivinimo ir atsparumo didinimo priemonė;</w:t>
                </w:r>
              </w:p>
              <w:p>
                <w:pPr>
                  <w:tabs>
                    <w:tab w:val="left" w:pos="600"/>
                  </w:tabs>
                  <w:ind w:left="29"/>
                  <w:jc w:val="both"/>
                  <w:rPr>
                    <w:szCs w:val="24"/>
                  </w:rPr>
                </w:pPr>
                <w:r>
                  <w:rPr>
                    <w:szCs w:val="24"/>
                    <w:lang w:eastAsia="lt-LT"/>
                  </w:rPr>
                  <w:t xml:space="preserve">1.1.2. </w:t>
                </w:r>
                <w:r>
                  <w:rPr>
                    <w:szCs w:val="24"/>
                  </w:rPr>
                  <w:t>2021 m. liepos 28 d. Europos Sąjungos Tarybos sprendimas dėl Ekonomikos gaivinimo ir atsparumo didinimo plano „Naujos kartos Lietuva“ patvirtinimo;</w:t>
                </w:r>
              </w:p>
              <w:p>
                <w:pPr>
                  <w:tabs>
                    <w:tab w:val="left" w:pos="457"/>
                  </w:tabs>
                  <w:ind w:firstLine="34"/>
                  <w:jc w:val="both"/>
                  <w:rPr>
                    <w:szCs w:val="24"/>
                  </w:rPr>
                </w:pPr>
                <w:r>
                  <w:rPr>
                    <w:szCs w:val="24"/>
                  </w:rPr>
                  <w:t xml:space="preserve">1.1.3. 2022 m. birželio 22 d. Lietuvos Respublikos finansų ministro įsakymu Nr. 1K-237 „Dėl 2021–2027 metų Europos Sąjungos fondų investicijų programos ir Ekonomikos gaivinimo ir atsparumo didinimo plano „Naujos kartos Lietuva“ įgyvendinimo“ </w:t>
                </w:r>
                <w:r>
                  <w:t>p</w:t>
                </w:r>
                <w:r>
                  <w:rPr>
                    <w:szCs w:val="24"/>
                  </w:rPr>
                  <w:t>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pPr>
                  <w:jc w:val="both"/>
                  <w:rPr>
                    <w:b/>
                    <w:bCs/>
                    <w:szCs w:val="24"/>
                  </w:rPr>
                </w:pPr>
                <w:r>
                  <w:rPr>
                    <w:b/>
                    <w:bCs/>
                    <w:szCs w:val="24"/>
                  </w:rPr>
                  <w:t>1.2. specialieji teisės aktai:</w:t>
                </w:r>
              </w:p>
              <w:p>
                <w:pPr>
                  <w:jc w:val="both"/>
                </w:pPr>
                <w:r>
                  <w:rPr>
                    <w:szCs w:val="24"/>
                  </w:rPr>
                  <w:t>1.2.1.</w:t>
                </w:r>
                <w:r>
                  <w:t xml:space="preserve"> Lietuvos Respublikos sveikatos apsaugos ministro ir Lietuvos Respublikos socialinės apsaugos ir darbo ministro 1999 m. spalio 6 d.</w:t>
                </w:r>
                <w:r>
                  <w:rPr>
                    <w:szCs w:val="24"/>
                  </w:rPr>
                  <w:t xml:space="preserve"> įsakymas </w:t>
                </w:r>
                <w:r>
                  <w:t>Nr. 432/77</w:t>
                </w:r>
                <w:r>
                  <w:rPr>
                    <w:szCs w:val="24"/>
                  </w:rPr>
                  <w:t xml:space="preserve"> „</w:t>
                </w:r>
                <w:r>
                  <w:t>Dėl Sveikatos priežiūros įstaigų socialinių darbuotojų veiklos sveikatos priežiūros įstaigose nuostatų patvirtinimo“;</w:t>
                </w:r>
              </w:p>
              <w:p>
                <w:pPr>
                  <w:jc w:val="both"/>
                  <w:rPr>
                    <w:szCs w:val="24"/>
                  </w:rPr>
                </w:pPr>
                <w:r>
                  <w:rPr>
                    <w:szCs w:val="24"/>
                  </w:rPr>
                  <w:t xml:space="preserve">1.2.2. </w:t>
                </w:r>
                <w:r>
                  <w:t>Lietuvos Respublikos sveikatos apsaugos ministro 2002 m. kovo 18 d. įsakymas Nr. 132 „Dėl Sveikatos priežiūros ir farmacijos specialistų profesinės kvalifikacijos tobulinimo ir jo finansavimo tvarkos aprašo patvirtinimo“;</w:t>
                </w:r>
              </w:p>
              <w:p>
                <w:pPr>
                  <w:jc w:val="both"/>
                </w:pPr>
                <w:r>
                  <w:rPr>
                    <w:szCs w:val="24"/>
                    <w:lang w:val="pt-BR"/>
                  </w:rPr>
                  <w:t xml:space="preserve">1.2.3. </w:t>
                </w:r>
                <w:r>
                  <w:t>Lietuvos Respublikos sveikatos apsaugos ministro 2011 m. birželio 8 d. įsakymas Nr. V-591 „Dėl Lietuvos medicinos normos MN 28:2019 „Bendrosios praktikos slaugytojas“ patvirtinimo“;</w:t>
                </w:r>
              </w:p>
              <w:p>
                <w:pPr>
                  <w:jc w:val="both"/>
                  <w:rPr>
                    <w:szCs w:val="24"/>
                    <w:lang w:val="pt-BR"/>
                  </w:rPr>
                </w:pPr>
                <w:r>
                  <w:rPr>
                    <w:lang w:val="pt-BR"/>
                  </w:rPr>
                  <w:t xml:space="preserve">1.2.4. </w:t>
                </w:r>
                <w:r>
                  <w:t>Lietuvos Respublikos sveikatos apsaugos ministro 2011 m. birželio 28 d. įsakymas Nr. V-645 „Dėl Sveikatos specialistų tobulinimo programų derinimo taisyklių ir Tobulinimo programų vertinimo komisijos nuostatų patvirtinimo“;</w:t>
                </w:r>
              </w:p>
              <w:p>
                <w:pPr>
                  <w:jc w:val="both"/>
                </w:pPr>
                <w:r>
                  <w:rPr>
                    <w:szCs w:val="24"/>
                  </w:rPr>
                  <w:t xml:space="preserve">1.2.5. </w:t>
                </w:r>
                <w:r>
                  <w:t xml:space="preserve">Lietuvos Respublikos sveikatos apsaugos ministro </w:t>
                </w:r>
                <w:r>
                  <w:rPr>
                    <w:bdr w:val="none" w:sz="0" w:space="0" w:color="auto" w:frame="1"/>
                  </w:rPr>
                  <w:t>2017 m. liepos 7 d. įsakymas Nr. V-852</w:t>
                </w:r>
                <w:r>
                  <w:rPr>
                    <w:szCs w:val="24"/>
                  </w:rPr>
                  <w:t xml:space="preserve"> „</w:t>
                </w:r>
                <w:r>
                  <w:t>Dėl Lietuvos medicinos normos MN 160:2017 „Išplėstinės praktikos slaugytojas“ patvirtinimo“;</w:t>
                </w:r>
              </w:p>
              <w:p>
                <w:pPr>
                  <w:jc w:val="both"/>
                  <w:rPr>
                    <w:sz w:val="22"/>
                    <w:szCs w:val="22"/>
                  </w:rPr>
                </w:pPr>
                <w:r>
                  <w:t>1.2.6. Lietuvos Respublikos sveikatos apsaugos ministro ir Lietuvos Respublikos socialinės apsaugos ministro 2023 m. liepos 21 d. įsakymas Nr</w:t>
                </w:r>
                <w:r>
                  <w:rPr>
                    <w:szCs w:val="24"/>
                  </w:rPr>
                  <w:t xml:space="preserve">. </w:t>
                </w:r>
                <w:r>
                  <w:rPr>
                    <w:szCs w:val="24"/>
                    <w:shd w:val="clear" w:color="auto" w:fill="FFFFFF"/>
                  </w:rPr>
                  <w:t xml:space="preserve">A1-492/V-836 </w:t>
                </w:r>
                <w:r>
                  <w:t>„Dėl Ilgalaikės priežiūros paslaugų teikimo tvarkos aprašo ir ilgalaikės priežiūros paslaugų teikimo pagrindų kvalifikacijos tobulinimo programos turinio gairių patvirtinimo“.</w:t>
                </w:r>
              </w:p>
            </w:tc>
          </w:tr>
          <w:tr>
            <w:tc>
              <w:tcPr>
                <w:tcW w:w="15134" w:type="dxa"/>
              </w:tcPr>
              <w:p>
                <w:pPr>
                  <w:rPr>
                    <w:b/>
                    <w:szCs w:val="24"/>
                  </w:rPr>
                </w:pPr>
                <w:r>
                  <w:rPr>
                    <w:b/>
                    <w:szCs w:val="24"/>
                  </w:rPr>
                  <w:t>2. Reikalavimai projektams, pareiškėjams ir partneriams</w:t>
                </w:r>
              </w:p>
            </w:tc>
          </w:tr>
          <w:tr>
            <w:tc>
              <w:tcPr>
                <w:tcW w:w="15134" w:type="dxa"/>
              </w:tcPr>
              <w:p>
                <w:pPr>
                  <w:tabs>
                    <w:tab w:val="left" w:pos="454"/>
                  </w:tabs>
                  <w:jc w:val="both"/>
                  <w:rPr>
                    <w:szCs w:val="24"/>
                  </w:rPr>
                </w:pPr>
                <w:r>
                  <w:rPr>
                    <w:szCs w:val="24"/>
                  </w:rPr>
                  <w:t xml:space="preserve">2.1. Pagal šį Aprašą finansuojama veikla atitinka Pažangos priemonės aprašo III skyriaus „Plėtros programos pažangos priemonės veiklų suvestinė“                 11 veiklą „Specialistų kvalifikacijos tobulinimas ir perkvalifikavimas“, 11.4 poveiklę „Ilgalaikės priežiūros paslaugas teikiančių specialistų parengimas“.</w:t>
                </w:r>
              </w:p>
              <w:p>
                <w:pPr>
                  <w:tabs>
                    <w:tab w:val="left" w:pos="454"/>
                  </w:tabs>
                  <w:jc w:val="both"/>
                  <w:rPr>
                    <w:szCs w:val="24"/>
                  </w:rPr>
                </w:pPr>
                <w:r>
                  <w:rPr>
                    <w:szCs w:val="24"/>
                  </w:rPr>
                  <w:t xml:space="preserve">2.2. Investicijas numatoma skirti ilgalaikės priežiūros paslaugas (toliau – IPP) teikiančių įstaigų darbuotojų, kurie sudarys mobiliąsias komandas, ir naujai steigiamų dienos centrų darbuotojų papildomam profesiniam pasirengimui ir trūkstamų specifinių kompetencijų suformavimui: ne mažiau kaip 1 000 IPP teikiančių specialistų, nurodytų Aprašo 4.1 papunktyje, specialiesiems mokymams, suteikiant papildomų žinių apie įvairių ilgalaikės priežiūros pacientų tikslinių grupių poreikius ir paslaugų teikimo ypatumus, darbą komandoje, bendravimą su šeimos nariais ir pan. </w:t>
                </w:r>
              </w:p>
              <w:p>
                <w:pPr>
                  <w:tabs>
                    <w:tab w:val="left" w:pos="454"/>
                  </w:tabs>
                  <w:jc w:val="both"/>
                  <w:rPr>
                    <w:szCs w:val="24"/>
                  </w:rPr>
                </w:pPr>
                <w:r>
                  <w:t>Mo</w:t>
                </w:r>
                <w:r>
                  <w:rPr>
                    <w:szCs w:val="24"/>
                  </w:rPr>
                  <w:t xml:space="preserve">bilioji komanda šiame Apraše suprantama kaip jau veikianti ir ambulatorines slaugos paslaugas namuose (ilgalaikės priežiūros sveikatos priežiūros paslaugas) teikianti specialistų komanda, kuri, vadovaudamasi Ambulatorinių slaugos paslaugų namuose teikimo reikalavimų aprašu, patvirtintu </w:t>
                </w:r>
                <w:r>
                  <w:t xml:space="preserve">Lietuvos Respublikos sveikatos apsaugos ministro 2007 m. gruodžio 14 d. įsakymu Nr. V-1026 „Dėl </w:t>
                </w:r>
                <w:r>
                  <w:rPr>
                    <w:szCs w:val="24"/>
                    <w:lang w:eastAsia="lt-LT"/>
                  </w:rPr>
                  <w:t>Ambulatorinių slaugos paslaugų namuose teikimo reikalavimų ir šių paslaugų apmokėjimo tvarkos aprašo patvirtinimo“ (toliau – Reikalavimų aprašas), teikia asmens sveikatos priežiūros paslaugas ir užtikrina socialinių paslaugų teikimą vienu iš Reikalavimų apraše nurodytų būdų.</w:t>
                </w:r>
              </w:p>
              <w:p>
                <w:pPr>
                  <w:jc w:val="both"/>
                  <w:rPr>
                    <w:szCs w:val="24"/>
                  </w:rPr>
                </w:pPr>
                <w:r>
                  <w:rPr>
                    <w:szCs w:val="24"/>
                  </w:rPr>
                  <w:t xml:space="preserve">2.3.Pagal Aprašą įgyvendinamas vienas projektas. </w:t>
                </w:r>
              </w:p>
              <w:p>
                <w:pPr>
                  <w:tabs>
                    <w:tab w:val="left" w:pos="454"/>
                  </w:tabs>
                  <w:jc w:val="both"/>
                  <w:rPr>
                    <w:szCs w:val="24"/>
                    <w:lang w:val="pt-BR"/>
                  </w:rPr>
                </w:pPr>
                <w:r>
                  <w:rPr>
                    <w:szCs w:val="24"/>
                  </w:rPr>
                  <w:t>2.4. Galimas pareiškėjas – Higienos institutas.</w:t>
                </w:r>
              </w:p>
              <w:p>
                <w:pPr>
                  <w:tabs>
                    <w:tab w:val="left" w:pos="454"/>
                  </w:tabs>
                  <w:jc w:val="both"/>
                  <w:rPr>
                    <w:szCs w:val="24"/>
                  </w:rPr>
                </w:pPr>
                <w:r>
                  <w:rPr>
                    <w:szCs w:val="24"/>
                  </w:rPr>
                  <w:t xml:space="preserve">2.5. Partneriai nėra galimi. </w:t>
                </w:r>
              </w:p>
              <w:p>
                <w:pPr>
                  <w:tabs>
                    <w:tab w:val="left" w:pos="426"/>
                    <w:tab w:val="left" w:pos="709"/>
                    <w:tab w:val="left" w:pos="885"/>
                  </w:tabs>
                  <w:jc w:val="both"/>
                  <w:rPr>
                    <w:rFonts w:eastAsia="Calibri"/>
                    <w:szCs w:val="24"/>
                  </w:rPr>
                </w:pPr>
                <w:r>
                  <w:rPr>
                    <w:szCs w:val="24"/>
                  </w:rPr>
                  <w:t xml:space="preserve">2.6. </w:t>
                </w:r>
                <w:r>
                  <w:rPr>
                    <w:rFonts w:eastAsia="Calibri"/>
                    <w:szCs w:val="24"/>
                  </w:rPr>
                  <w:t>Projektui taikoma finansavimo forma – dotacija.</w:t>
                </w:r>
              </w:p>
              <w:p>
                <w:pPr>
                  <w:tabs>
                    <w:tab w:val="left" w:pos="458"/>
                  </w:tabs>
                  <w:jc w:val="both"/>
                  <w:rPr>
                    <w:szCs w:val="24"/>
                  </w:rPr>
                </w:pPr>
                <w:r>
                  <w:rPr>
                    <w:bCs/>
                    <w:szCs w:val="24"/>
                  </w:rPr>
                  <w:t xml:space="preserve">2.7. </w:t>
                </w:r>
                <w:r>
                  <w:rPr>
                    <w:szCs w:val="24"/>
                  </w:rPr>
                  <w:t>Projektui pagal šio Aprašo veiklą įgyvendinti skiriama iki 2 100 000,00 Eur (dviejų milijonų šimto tūkstančių eurų) EGADP lėšų ir iki 440 000,00 Eur (keturių šimtų keturiasdešimt tūkstančių eurų) VB lėšų, skirtų netinkamam finansuoti EGADP lėšomis PVM apmokėti.</w:t>
                </w:r>
              </w:p>
              <w:p>
                <w:pPr>
                  <w:tabs>
                    <w:tab w:val="left" w:pos="454"/>
                  </w:tabs>
                  <w:jc w:val="both"/>
                  <w:rPr>
                    <w:bCs/>
                    <w:szCs w:val="24"/>
                  </w:rPr>
                </w:pPr>
                <w:r>
                  <w:rPr>
                    <w:szCs w:val="24"/>
                  </w:rPr>
                  <w:t xml:space="preserve">2.8. </w:t>
                </w:r>
                <w:r>
                  <w:rPr>
                    <w:bCs/>
                    <w:szCs w:val="24"/>
                  </w:rPr>
                  <w:t>Didžiausia galima projekto finansuojamoji dalis sudaro 100 proc. visų tinkamų finansuoti projekto išlaidų. Pareiškėjas savo iniciatyva ir savo ir (arba) kitų šaltinių lėšomis gali prisidėti prie projekto įgyvendinimo.</w:t>
                </w:r>
              </w:p>
              <w:p>
                <w:pPr>
                  <w:jc w:val="both"/>
                  <w:rPr>
                    <w:szCs w:val="24"/>
                  </w:rPr>
                </w:pPr>
                <w:r>
                  <w:rPr>
                    <w:szCs w:val="24"/>
                  </w:rPr>
                  <w:t>2.9. Finansuojamos veiklos turi būti baigtos įgyvendinti ir ne mažiau kaip 1 000 IPP teikiančių specialistų mokymas baigtas iki 2024 metų gruodžio 31 d. Projekto veiklų įgyvendinimo terminas gali būti pratęstas, pratęsus Ekonomikos gaivinimo ir atsparumo didinimo plane „Naujos kartos Lietuva“ numatytą projekto veiklų įgyvendinimo terminą.</w:t>
                </w:r>
              </w:p>
              <w:p>
                <w:pPr>
                  <w:tabs>
                    <w:tab w:val="left" w:pos="459"/>
                  </w:tabs>
                  <w:jc w:val="both"/>
                  <w:rPr>
                    <w:szCs w:val="24"/>
                  </w:rPr>
                </w:pPr>
                <w:r>
                  <w:rPr>
                    <w:szCs w:val="24"/>
                  </w:rPr>
                  <w:t>2.10. Projektas turi atitikti projekto bendruosius atrankos kriterijus, nustatytus PAFT 2 priede „Projektų bendrųjų atrankos kriterijų sąrašas ir jų vertinimo metodika“.</w:t>
                </w:r>
              </w:p>
              <w:p>
                <w:pPr>
                  <w:tabs>
                    <w:tab w:val="left" w:pos="459"/>
                  </w:tabs>
                  <w:jc w:val="both"/>
                  <w:rPr>
                    <w:szCs w:val="24"/>
                  </w:rPr>
                </w:pPr>
                <w:r>
                  <w:rPr>
                    <w:szCs w:val="24"/>
                  </w:rPr>
                  <w:t>2.11. Projektui taikomos matomumo ir informavimo priemonės, nurodytos PAFT VIII skyriaus „Kiti projektų reikalavimai“ pirmame skirsnyje „Informavimas apie projektą ir komunikacija“. Papildomi matomumo reikalavimai nenustatomi.</w:t>
                </w:r>
              </w:p>
              <w:p>
                <w:pPr>
                  <w:tabs>
                    <w:tab w:val="left" w:pos="459"/>
                  </w:tabs>
                  <w:jc w:val="both"/>
                  <w:rPr>
                    <w:szCs w:val="24"/>
                  </w:rPr>
                </w:pPr>
                <w:r>
                  <w:rPr>
                    <w:szCs w:val="24"/>
                  </w:rPr>
                  <w:t>2.12. Kartu su PĮP (PAFT 1 priedas „Projekto įgyvendinimo plano forma“) administruojančiajai institucijai – VšĮ Centrinei projektų valdymo agentūrai – (toliau – administruojančioji institucija) turi būti pateikti:</w:t>
                </w:r>
              </w:p>
              <w:p>
                <w:pPr>
                  <w:tabs>
                    <w:tab w:val="left" w:pos="604"/>
                  </w:tabs>
                  <w:jc w:val="both"/>
                  <w:rPr>
                    <w:szCs w:val="24"/>
                  </w:rPr>
                </w:pPr>
                <w:r>
                  <w:rPr>
                    <w:szCs w:val="24"/>
                  </w:rPr>
                  <w:t>2.12.1. įgaliojimas pasirašyti PĮP, jei jį pasirašo ne pareiškėjo įstaigos vadovas;</w:t>
                </w:r>
              </w:p>
              <w:p>
                <w:pPr>
                  <w:tabs>
                    <w:tab w:val="left" w:pos="680"/>
                  </w:tabs>
                  <w:jc w:val="both"/>
                  <w:rPr>
                    <w:szCs w:val="24"/>
                  </w:rPr>
                </w:pPr>
                <w:r>
                  <w:rPr>
                    <w:szCs w:val="24"/>
                  </w:rPr>
                  <w:t xml:space="preserve">2.12.2. dokumentai, pagrindžiantys projekto išlaidų pagrįstumą (sudarytos sutartys, komerciniai pasiūlymai, nuorodos į rinkoje esančias kainas (pvz.,  Centrinėje viešųjų pirkimų informacinėje sistemoje) ir kt.);</w:t>
                </w:r>
              </w:p>
              <w:p>
                <w:pPr>
                  <w:ind w:left="36"/>
                  <w:jc w:val="both"/>
                  <w:rPr>
                    <w:szCs w:val="24"/>
                  </w:rPr>
                </w:pPr>
                <w:r>
                  <w:rPr>
                    <w:szCs w:val="24"/>
                  </w:rPr>
                  <w:t xml:space="preserve">2.12.3. dokumentai, pagrindžiantys darbo užmokesčio išlaidų pagrįstumą (veiklų sąrašas, kuriame turi būti nurodytos projektą vykdančių asmenų darbo valandos projekte, valandinis įkainis, jo pagrindimas).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2–3 mėn. laikotarpio analogiškos pareigybės nuasmenintas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pPr>
                  <w:ind w:left="36"/>
                  <w:jc w:val="both"/>
                  <w:rPr>
                    <w:szCs w:val="24"/>
                  </w:rPr>
                </w:pPr>
                <w:r>
                  <w:rPr>
                    <w:szCs w:val="24"/>
                  </w:rPr>
                  <w:t>2.12.4. pareiškėjo įsipareigojimo padengti netinkamas finansuoti, tačiau šiam projektui įgyvendinti būtinas išlaidas, ir tinkamas išlaidas, kurių nepadengia projekto finansavimas, pagrindimo dokumentas (juridinio asmens valdymo organo, turinčio kompetenciją priimti atitinkamą sprendimą, ministerijos, kaip asignavimų valdytojos, garantinis raštas, savivaldybės tarybos sprendimas, banko sąskaitos išrašas, paskolos sutartis, garantinis banko raštas ir kt.).</w:t>
                </w:r>
              </w:p>
              <w:p>
                <w:pPr>
                  <w:jc w:val="both"/>
                  <w:rPr>
                    <w:szCs w:val="24"/>
                  </w:rPr>
                </w:pPr>
                <w:r>
                  <w:rPr>
                    <w:szCs w:val="24"/>
                  </w:rPr>
                  <w:t>2.12.5. Administruojančioji institucija PĮP vertinimo metu gali nustatyti papildomas finansavimo sutarties sąlygas dėl:</w:t>
                </w:r>
              </w:p>
              <w:p>
                <w:pPr>
                  <w:rPr>
                    <w:rFonts w:ascii="Arial" w:hAnsi="Arial" w:cs="Arial"/>
                    <w:szCs w:val="24"/>
                    <w:lang w:eastAsia="lt-LT"/>
                  </w:rPr>
                </w:pPr>
                <w:r>
                  <w:rPr>
                    <w:szCs w:val="24"/>
                  </w:rPr>
                  <w:t xml:space="preserve">2.12.5.1. </w:t>
                </w:r>
                <w:r>
                  <w:rPr>
                    <w:szCs w:val="24"/>
                    <w:lang w:eastAsia="lt-LT"/>
                  </w:rPr>
                  <w:t xml:space="preserve">pirkimų derinimo / vykdymo terminų; </w:t>
                </w:r>
              </w:p>
              <w:p>
                <w:pPr>
                  <w:rPr>
                    <w:rFonts w:ascii="Arial" w:hAnsi="Arial" w:cs="Arial"/>
                    <w:szCs w:val="24"/>
                    <w:lang w:eastAsia="lt-LT"/>
                  </w:rPr>
                </w:pPr>
                <w:r>
                  <w:rPr>
                    <w:szCs w:val="24"/>
                    <w:lang w:eastAsia="lt-LT"/>
                  </w:rPr>
                  <w:t xml:space="preserve">2.12.5.2. pirkimo sutarčių pasirašymo terminų; </w:t>
                </w:r>
              </w:p>
              <w:p>
                <w:pPr>
                  <w:ind w:left="36"/>
                  <w:jc w:val="both"/>
                  <w:rPr>
                    <w:sz w:val="22"/>
                    <w:szCs w:val="22"/>
                  </w:rPr>
                </w:pPr>
                <w:r>
                  <w:rPr>
                    <w:szCs w:val="24"/>
                    <w:lang w:eastAsia="lt-LT"/>
                  </w:rPr>
                  <w:t>2.12.5.3. projektui skirtų lėšų įsisavinimo spartos.</w:t>
                </w:r>
              </w:p>
            </w:tc>
          </w:tr>
          <w:tr>
            <w:tc>
              <w:tcPr>
                <w:tcW w:w="15134" w:type="dxa"/>
              </w:tcPr>
              <w:p>
                <w:pPr>
                  <w:jc w:val="both"/>
                  <w:rPr>
                    <w:iCs/>
                    <w:szCs w:val="24"/>
                  </w:rPr>
                </w:pPr>
                <w:r>
                  <w:rPr>
                    <w:b/>
                    <w:szCs w:val="24"/>
                  </w:rPr>
                  <w:t>3.</w:t>
                </w:r>
                <w:r>
                  <w:rPr>
                    <w:szCs w:val="24"/>
                  </w:rPr>
                  <w:t xml:space="preserve"> </w:t>
                </w:r>
                <w:r>
                  <w:rPr>
                    <w:b/>
                    <w:szCs w:val="24"/>
                  </w:rPr>
                  <w:t>Reikalavimai jungtinio projekto projektams ir jungtinio projekto projektų pareiškėjams</w:t>
                </w:r>
              </w:p>
            </w:tc>
          </w:tr>
          <w:tr>
            <w:trPr>
              <w:trHeight w:val="338"/>
            </w:trPr>
            <w:tc>
              <w:tcPr>
                <w:tcW w:w="15134" w:type="dxa"/>
              </w:tcPr>
              <w:p>
                <w:pPr>
                  <w:ind w:left="357" w:hanging="357"/>
                  <w:jc w:val="both"/>
                  <w:rPr>
                    <w:i/>
                    <w:iCs/>
                    <w:sz w:val="22"/>
                    <w:szCs w:val="22"/>
                  </w:rPr>
                </w:pPr>
                <w:r>
                  <w:rPr>
                    <w:szCs w:val="24"/>
                  </w:rPr>
                  <w:t>Netaikoma</w:t>
                </w:r>
              </w:p>
            </w:tc>
          </w:tr>
          <w:tr>
            <w:trPr>
              <w:trHeight w:val="285"/>
            </w:trPr>
            <w:tc>
              <w:tcPr>
                <w:tcW w:w="15134" w:type="dxa"/>
              </w:tcPr>
              <w:p>
                <w:pPr>
                  <w:rPr>
                    <w:b/>
                    <w:szCs w:val="24"/>
                  </w:rPr>
                </w:pPr>
                <w:r>
                  <w:rPr>
                    <w:b/>
                    <w:szCs w:val="24"/>
                  </w:rPr>
                  <w:t>4. Projekto tikslinės grupės</w:t>
                </w:r>
              </w:p>
            </w:tc>
          </w:tr>
          <w:tr>
            <w:trPr>
              <w:trHeight w:val="285"/>
            </w:trPr>
            <w:tc>
              <w:tcPr>
                <w:tcW w:w="15134" w:type="dxa"/>
              </w:tcPr>
              <w:p>
                <w:pPr>
                  <w:jc w:val="both"/>
                  <w:rPr>
                    <w:szCs w:val="24"/>
                  </w:rPr>
                </w:pPr>
                <w:r>
                  <w:rPr>
                    <w:szCs w:val="24"/>
                  </w:rPr>
                  <w:t>4.1. Projekto tikslinė grupė – slaugytojai, slaugytojų padėjėjai, socialiniai darbuotojai, individualios priežiūros darbuotojai:</w:t>
                </w:r>
              </w:p>
              <w:p>
                <w:pPr>
                  <w:jc w:val="both"/>
                </w:pPr>
                <w:r>
                  <w:t>4.1.1. slaugytojas – asmuo, turintis galiojančią slaugos praktikos licenciją verstis slaugos praktika pagal bendrosios praktikos slaugytojo profesinę kvalifikaciją;</w:t>
                </w:r>
              </w:p>
              <w:p>
                <w:pPr>
                  <w:jc w:val="both"/>
                </w:pPr>
                <w:r>
                  <w:t>4.1.2. slaugytojo padėjėjas – asmuo, turintis Valstybinės akreditavimo sveikatos priežiūros veiklai tarnybos prie Sveikatos apsaugos ministerijos suteiktą slaugytojo padėjėjo spaudo numerį;</w:t>
                </w:r>
              </w:p>
              <w:p>
                <w:pPr>
                  <w:jc w:val="both"/>
                </w:pPr>
                <w:r>
                  <w:t>4.1.3. socialinis darbuotojas – asmuo, dirbantis socialinio darbuotojo pareigose IPP teikiančioje įstaigoje ar įstaigoje, kuri yra sudariusi bendradarbiavimo sutartį su IPP paslaugas teikiančia įstaiga, ir dalyvaujantis teikiant IPP paslaugą;</w:t>
                </w:r>
              </w:p>
              <w:p>
                <w:pPr>
                  <w:jc w:val="both"/>
                </w:pPr>
                <w:r>
                  <w:t>4.1.4. individualios priežiūros darbuotojas – asmuo, einantis individualios priežiūros specialisto pareigas IPP teikiančioje įstaigoje ar įstaigoje, kuri yra sudariusi bendradarbiavimo sutartį su IPP paslaugas teikiančia įstaiga, ir dalyvaujantis teikiant IPP paslaugą.</w:t>
                </w:r>
              </w:p>
              <w:p>
                <w:pPr>
                  <w:jc w:val="both"/>
                  <w:rPr>
                    <w:bCs/>
                    <w:szCs w:val="24"/>
                  </w:rPr>
                </w:pPr>
                <w:r>
                  <w:rPr>
                    <w:sz w:val="22"/>
                    <w:szCs w:val="22"/>
                  </w:rPr>
                  <w:t>4.2. T</w:t>
                </w:r>
                <w:r>
                  <w:rPr>
                    <w:bCs/>
                    <w:szCs w:val="24"/>
                  </w:rPr>
                  <w:t xml:space="preserve">ikslinės grupės asmenys pirmąją dalyvavimo projekto veiklose dieną turi pateikti: </w:t>
                </w:r>
              </w:p>
              <w:p>
                <w:pPr>
                  <w:jc w:val="both"/>
                  <w:rPr>
                    <w:bCs/>
                    <w:szCs w:val="24"/>
                  </w:rPr>
                </w:pPr>
                <w:r>
                  <w:rPr>
                    <w:bCs/>
                    <w:szCs w:val="24"/>
                  </w:rPr>
                  <w:t>4.2.1. Aprašo 4.1.1 ir 4.1.2 papunkčiuose nurodyti asmenys – kvalifikaciją patvirtinančius dokumentus ir darbdavio (IPP teikiančios įstaigos) išduotą laisvos formos pažymą, patvirtinančią, jog asmuo dirba atitinkamu specialistu IPP paslaugas teikiančioje įstaigoje;</w:t>
                </w:r>
              </w:p>
              <w:p>
                <w:pPr>
                  <w:jc w:val="both"/>
                  <w:rPr>
                    <w:sz w:val="22"/>
                    <w:szCs w:val="22"/>
                  </w:rPr>
                </w:pPr>
                <w:r>
                  <w:rPr>
                    <w:bCs/>
                    <w:szCs w:val="24"/>
                  </w:rPr>
                  <w:t xml:space="preserve">4.2.2. Aprašo 4.1.3 ir 4.1.4 papunkčiuose nurodyti asmenys – </w:t>
                </w:r>
                <w:r>
                  <w:t>darbdavio (IPP teikiančios įstaigos ar įstaigos, kuri yra sudariusi bendradarbiavimo sutartį dėl socialinių paslaugų teikimo su IPP paslaugas teikiančia įstaiga) i</w:t>
                </w:r>
                <w:r>
                  <w:rPr>
                    <w:bCs/>
                    <w:szCs w:val="24"/>
                  </w:rPr>
                  <w:t xml:space="preserve">šduotą laisvos formos pažymą, patvirtinančią, jog asmuo dirba atitinkamu specialistu IPP paslaugas teikiančioje įstaigoje </w:t>
                </w:r>
                <w:r>
                  <w:t>ar įstaigoje, kuri yra sudariusi bendradarbiavimo sutartį dėl socialinių paslaugų teikimo su IPP paslaugas teikiančia įstaiga,</w:t>
                </w:r>
                <w:r>
                  <w:rPr>
                    <w:bCs/>
                    <w:szCs w:val="24"/>
                  </w:rPr>
                  <w:t xml:space="preserve"> ir dalyvauja </w:t>
                </w:r>
                <w:r>
                  <w:t>teikiant IPP paslaugą</w:t>
                </w:r>
                <w:r>
                  <w:rPr>
                    <w:bCs/>
                    <w:szCs w:val="24"/>
                  </w:rPr>
                  <w:t>.</w:t>
                </w:r>
              </w:p>
              <w:p>
                <w:pPr>
                  <w:jc w:val="both"/>
                  <w:rPr>
                    <w:sz w:val="22"/>
                    <w:szCs w:val="22"/>
                  </w:rPr>
                </w:pPr>
                <w:r>
                  <w:rPr>
                    <w:bCs/>
                    <w:szCs w:val="24"/>
                  </w:rPr>
                  <w:t xml:space="preserve">4.3. </w:t>
                </w:r>
                <w:r>
                  <w:t xml:space="preserve">Darbdavys (IPP teikianti įstaiga ar įstaiga, kuri yra sudariusi bendradarbiavimo sutartį dėl socialinių paslaugų teikimo su IPP paslaugas teikiančia įstaiga) gali išduoti vieną pažymą dėl kelių projekto veiklose dalyvaujančių tikslinės grupės asmenų. </w:t>
                </w:r>
              </w:p>
            </w:tc>
          </w:tr>
          <w:tr>
            <w:trPr>
              <w:trHeight w:val="285"/>
            </w:trPr>
            <w:tc>
              <w:tcPr>
                <w:tcW w:w="15134" w:type="dxa"/>
              </w:tcPr>
              <w:p>
                <w:pPr>
                  <w:rPr>
                    <w:sz w:val="22"/>
                    <w:szCs w:val="22"/>
                  </w:rPr>
                </w:pPr>
                <w:r>
                  <w:rPr>
                    <w:b/>
                    <w:szCs w:val="24"/>
                  </w:rPr>
                  <w:t>5</w:t>
                </w:r>
                <w:r>
                  <w:rPr>
                    <w:szCs w:val="24"/>
                  </w:rPr>
                  <w:t xml:space="preserve">. </w:t>
                </w:r>
                <w:r>
                  <w:rPr>
                    <w:b/>
                    <w:szCs w:val="24"/>
                  </w:rPr>
                  <w:t>Horizontaliųjų principų (toliau – HP) reikalavimai</w:t>
                </w:r>
              </w:p>
            </w:tc>
          </w:tr>
          <w:tr>
            <w:tc>
              <w:tcPr>
                <w:tcW w:w="15134" w:type="dxa"/>
              </w:tcPr>
              <w:p>
                <w:pPr>
                  <w:jc w:val="both"/>
                </w:pPr>
                <w:r>
                  <w:t>5.1. Projekto įgyvendinimo metu neturi būti pažeidžiamas HP laikymasis.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w:t>
                </w:r>
              </w:p>
              <w:p>
                <w:pPr>
                  <w:jc w:val="both"/>
                  <w:rPr>
                    <w:szCs w:val="24"/>
                    <w:lang w:eastAsia="lt-LT"/>
                  </w:rPr>
                </w:pPr>
                <w:r>
                  <w:rPr>
                    <w:szCs w:val="24"/>
                    <w:lang w:eastAsia="lt-LT"/>
                  </w:rPr>
                  <w:t>5</w:t>
                </w:r>
                <w:r>
                  <w:t xml:space="preserve">.2. Pareiškėjas turi įvertinti, kad tikslinės grupės nariai gali turėti specialiųjų poreikių, į kuriuos reikia atsižvelgti (pvz.: parinkti veiklos vietą, prieinamą žmonėms, turintiems judėjimo negalią, parinkti tinkamas mokomąsias priemones akliesiems ar silpnaregiams ir pan.), </w:t>
                </w:r>
                <w:r>
                  <w:rPr>
                    <w:szCs w:val="24"/>
                    <w:lang w:eastAsia="lt-LT"/>
                  </w:rPr>
                  <w:t xml:space="preserve">– </w:t>
                </w:r>
                <w:r>
                  <w:t>taip bus prisidedama prie horizontaliųjų principų įgyvendinimo rengiant ir įgyvendinant Apraše nurodytas veiklas.</w:t>
                </w:r>
              </w:p>
              <w:p>
                <w:pPr>
                  <w:jc w:val="both"/>
                </w:pPr>
                <w:r>
                  <w:t>5.3. Projektų atitikties reikšmingos žalos nedarymo HP vertinimo reikalavimai pateikiami Aprašo priede „Projekto atitikties reikšmingos žalos nedarymo horizontaliajam principui vertinimo reikalavimų aprašas“.</w:t>
                </w:r>
              </w:p>
              <w:p>
                <w:pPr>
                  <w:jc w:val="both"/>
                  <w:rPr>
                    <w:sz w:val="22"/>
                    <w:szCs w:val="22"/>
                  </w:rPr>
                </w:pPr>
                <w:r>
                  <w:t xml:space="preserve">5.4. </w:t>
                </w:r>
                <w:r>
                  <w:rPr>
                    <w:szCs w:val="24"/>
                  </w:rPr>
                  <w:t xml:space="preserve">Įvertinus Ekonomikos gaivinimo ir atsparumo didinimo priemonės 1 komponento planuojamos reformos „Ilgalaikės priežiūros paslaugų teikimo reforma“ </w:t>
                </w:r>
                <w:r>
                  <w:rPr>
                    <w:bCs/>
                    <w:szCs w:val="24"/>
                  </w:rPr>
                  <w:t>poveikį šešiems aplinkos veiksniams, nurodytiems</w:t>
                </w:r>
                <w:r>
                  <w:rPr>
                    <w:szCs w:val="24"/>
                  </w:rPr>
                  <w:t xml:space="preserve"> 2020 m. birželio 18 d. Europos Parlamento ir Tarybos reglamento </w:t>
                </w:r>
                <w:r>
                  <w:rPr>
                    <w:szCs w:val="24"/>
                  </w:rPr>
                  <w:t>(ES) Nr. 2020/852</w:t>
                </w:r>
                <w:r>
                  <w:rPr>
                    <w:szCs w:val="24"/>
                  </w:rPr>
                  <w:t xml:space="preserve"> dėl sistemos tvariam investavimui palengvinti sukūrimo, kuriuo iš dalies keičiamas Reglamentas </w:t>
                </w:r>
                <w:r>
                  <w:rPr>
                    <w:szCs w:val="24"/>
                  </w:rPr>
                  <w:t>(ES) 2019/208</w:t>
                </w:r>
                <w:r>
                  <w:rPr>
                    <w:szCs w:val="24"/>
                  </w:rPr>
                  <w:t>, 17 straipsnyje</w:t>
                </w:r>
                <w:r>
                  <w:rPr>
                    <w:bCs/>
                    <w:szCs w:val="24"/>
                  </w:rPr>
                  <w:t xml:space="preserv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w:t>
                </w:r>
              </w:p>
            </w:tc>
          </w:tr>
          <w:tr>
            <w:tc>
              <w:tcPr>
                <w:tcW w:w="15134" w:type="dxa"/>
              </w:tcPr>
              <w:p>
                <w:pPr>
                  <w:spacing w:line="259" w:lineRule="auto"/>
                  <w:jc w:val="both"/>
                  <w:rPr>
                    <w:b/>
                    <w:iCs/>
                    <w:szCs w:val="24"/>
                  </w:rPr>
                </w:pPr>
                <w:r>
                  <w:rPr>
                    <w:b/>
                    <w:iCs/>
                    <w:szCs w:val="24"/>
                  </w:rPr>
                  <w:t>6. Europos Sąjungos pagrindinių teisių chartijos (toliau – Chartija) reikalavimai</w:t>
                </w:r>
              </w:p>
            </w:tc>
          </w:tr>
          <w:tr>
            <w:tc>
              <w:tcPr>
                <w:tcW w:w="15134" w:type="dxa"/>
              </w:tcPr>
              <w:p>
                <w:pPr>
                  <w:jc w:val="both"/>
                  <w:rPr>
                    <w:szCs w:val="24"/>
                  </w:rPr>
                </w:pPr>
                <w:r>
                  <w:rPr>
                    <w:szCs w:val="24"/>
                  </w:rPr>
                  <w:t>Pagal Aprašą finansuojamos veiklos neturi riboti ar pažeisti Chartijoje apibrėžtų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w:t>
                </w:r>
              </w:p>
              <w:p>
                <w:pPr>
                  <w:jc w:val="both"/>
                  <w:rPr>
                    <w:sz w:val="22"/>
                    <w:szCs w:val="22"/>
                  </w:rPr>
                </w:pPr>
                <w:r>
                  <w:t>Projekte neturi būti numatyta veiksmų, kurie galėtų riboti ar pažeisti Chartijoje numatytas pagrindines teises.</w:t>
                </w:r>
              </w:p>
            </w:tc>
          </w:tr>
          <w:tr>
            <w:tc>
              <w:tcPr>
                <w:tcW w:w="15134" w:type="dxa"/>
              </w:tcPr>
              <w:p>
                <w:pPr>
                  <w:rPr>
                    <w:b/>
                    <w:szCs w:val="24"/>
                  </w:rPr>
                </w:pPr>
                <w:r>
                  <w:rPr>
                    <w:b/>
                    <w:szCs w:val="24"/>
                  </w:rPr>
                  <w:t>7. Apskritis, kurioje gali būti įgyvendinami projektai</w:t>
                </w:r>
              </w:p>
            </w:tc>
          </w:tr>
          <w:tr>
            <w:tc>
              <w:tcPr>
                <w:tcW w:w="15134" w:type="dxa"/>
              </w:tcPr>
              <w:p>
                <w:pPr>
                  <w:jc w:val="both"/>
                  <w:rPr>
                    <w:i/>
                    <w:sz w:val="22"/>
                    <w:szCs w:val="22"/>
                  </w:rPr>
                </w:pPr>
                <w:r>
                  <w:rPr>
                    <w:szCs w:val="24"/>
                  </w:rPr>
                  <w:t xml:space="preserve">Netaikoma </w:t>
                </w:r>
              </w:p>
            </w:tc>
          </w:tr>
          <w:tr>
            <w:tc>
              <w:tcPr>
                <w:tcW w:w="15134" w:type="dxa"/>
              </w:tcPr>
              <w:p>
                <w:pPr>
                  <w:jc w:val="both"/>
                  <w:rPr>
                    <w:szCs w:val="24"/>
                  </w:rPr>
                </w:pPr>
                <w:r>
                  <w:rPr>
                    <w:b/>
                    <w:szCs w:val="24"/>
                  </w:rPr>
                  <w:t>8.</w:t>
                </w:r>
                <w:r>
                  <w:rPr>
                    <w:szCs w:val="24"/>
                  </w:rPr>
                  <w:t xml:space="preserve"> </w:t>
                </w:r>
                <w:r>
                  <w:rPr>
                    <w:b/>
                    <w:szCs w:val="24"/>
                  </w:rPr>
                  <w:t>Reikalavimai valstybės pagalbai (kurie nėra nurodyti kituose Aprašo punktuose)</w:t>
                </w:r>
              </w:p>
            </w:tc>
          </w:tr>
          <w:tr>
            <w:tc>
              <w:tcPr>
                <w:tcW w:w="15134" w:type="dxa"/>
              </w:tcPr>
              <w:p>
                <w:pPr>
                  <w:jc w:val="both"/>
                  <w:rPr>
                    <w:i/>
                    <w:iCs/>
                    <w:sz w:val="22"/>
                    <w:szCs w:val="22"/>
                  </w:rPr>
                </w:pPr>
                <w:r>
                  <w:rPr>
                    <w:szCs w:val="24"/>
                  </w:rPr>
                  <w:t xml:space="preserve">Pagal šį Aprašą valstybės pagalba, kaip ji apibrėžta Sutarties dėl Europos Sąjungos veikimo 107 straipsnyje, ir </w:t>
                </w:r>
                <w:r>
                  <w:rPr>
                    <w:i/>
                    <w:iCs/>
                    <w:szCs w:val="24"/>
                  </w:rPr>
                  <w:t>de minimis</w:t>
                </w:r>
                <w:r>
                  <w:rPr>
                    <w:szCs w:val="24"/>
                  </w:rPr>
                  <w:t xml:space="preserve"> pagalba, kuri atitinka 2013 m. gruodžio 18 d. Komisijos reglamento </w:t>
                </w:r>
                <w:r>
                  <w:rPr>
                    <w:szCs w:val="24"/>
                  </w:rPr>
                  <w:t>(ES) Nr. 1407/2013</w:t>
                </w:r>
                <w:r>
                  <w:rPr>
                    <w:szCs w:val="24"/>
                  </w:rPr>
                  <w:t xml:space="preserve"> dėl Sutarties dėl Europos Sąjungos veikimo 107 ir 108 straipsnių taikymo </w:t>
                </w:r>
                <w:r>
                  <w:rPr>
                    <w:i/>
                    <w:iCs/>
                    <w:szCs w:val="24"/>
                  </w:rPr>
                  <w:t>de minimis</w:t>
                </w:r>
                <w:r>
                  <w:rPr>
                    <w:szCs w:val="24"/>
                  </w:rPr>
                  <w:t xml:space="preserve"> pagalbai  nuostatas, neteikiama.</w:t>
                </w:r>
              </w:p>
            </w:tc>
          </w:tr>
          <w:tr>
            <w:tc>
              <w:tcPr>
                <w:tcW w:w="15134" w:type="dxa"/>
              </w:tcPr>
              <w:p>
                <w:pPr>
                  <w:ind w:left="426" w:hanging="426"/>
                  <w:jc w:val="both"/>
                  <w:rPr>
                    <w:szCs w:val="24"/>
                  </w:rPr>
                </w:pPr>
                <w:r>
                  <w:rPr>
                    <w:b/>
                    <w:szCs w:val="24"/>
                  </w:rPr>
                  <w:t>9.</w:t>
                </w:r>
                <w:r>
                  <w:rPr>
                    <w:szCs w:val="24"/>
                  </w:rPr>
                  <w:t xml:space="preserve"> </w:t>
                </w:r>
                <w:r>
                  <w:rPr>
                    <w:b/>
                    <w:szCs w:val="24"/>
                  </w:rPr>
                  <w:t>Projektų atrankos kriterijai</w:t>
                </w:r>
              </w:p>
              <w:p>
                <w:pPr>
                  <w:jc w:val="both"/>
                  <w:rPr>
                    <w:i/>
                    <w:szCs w:val="24"/>
                  </w:rPr>
                </w:pPr>
                <w:r>
                  <w:t>(Kiekvienas projektas turi atitikti PAFT</w:t>
                </w:r>
                <w:r>
                  <w:rPr>
                    <w:iCs/>
                  </w:rPr>
                  <w:t xml:space="preserve"> 2 priede nustatytus projektų bendruosius atrankos kriterijus.)</w:t>
                </w:r>
              </w:p>
            </w:tc>
          </w:tr>
          <w:tr>
            <w:trPr>
              <w:trHeight w:val="274"/>
            </w:trPr>
            <w:tc>
              <w:tcPr>
                <w:tcW w:w="15134" w:type="dxa"/>
              </w:tcPr>
              <w:p>
                <w:pPr>
                  <w:jc w:val="both"/>
                  <w:rPr>
                    <w:i/>
                    <w:sz w:val="22"/>
                    <w:szCs w:val="22"/>
                  </w:rPr>
                </w:pPr>
                <w:r>
                  <w:rPr>
                    <w:iCs/>
                    <w:szCs w:val="24"/>
                  </w:rPr>
                  <w:t>Specialieji ir prioritetiniai projektų atrankos kriterijai nėra nustatomi.</w:t>
                </w:r>
              </w:p>
            </w:tc>
          </w:tr>
          <w:tr>
            <w:trPr>
              <w:trHeight w:val="309"/>
            </w:trPr>
            <w:tc>
              <w:tcPr>
                <w:tcW w:w="15134" w:type="dxa"/>
              </w:tcPr>
              <w:p>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pPr>
                  <w:jc w:val="both"/>
                  <w:rPr>
                    <w:i/>
                    <w:sz w:val="22"/>
                    <w:szCs w:val="22"/>
                  </w:rPr>
                </w:pPr>
                <w:r>
                  <w:t>(Kiekvienas jungtinio projekto projektas turi atitikti PAFT</w:t>
                </w:r>
                <w:r>
                  <w:rPr>
                    <w:iCs/>
                  </w:rPr>
                  <w:t xml:space="preserve"> 2 priede nustatytus projektų bendruosius atrankos kriterijus.)</w:t>
                </w:r>
              </w:p>
            </w:tc>
          </w:tr>
          <w:tr>
            <w:trPr>
              <w:trHeight w:val="231"/>
            </w:trPr>
            <w:tc>
              <w:tcPr>
                <w:tcW w:w="15134" w:type="dxa"/>
              </w:tcPr>
              <w:p>
                <w:pPr>
                  <w:jc w:val="both"/>
                  <w:rPr>
                    <w:i/>
                    <w:sz w:val="22"/>
                    <w:szCs w:val="22"/>
                  </w:rPr>
                </w:pPr>
                <w:r>
                  <w:rPr>
                    <w:iCs/>
                    <w:szCs w:val="24"/>
                  </w:rPr>
                  <w:t>Netaikoma.</w:t>
                </w:r>
              </w:p>
            </w:tc>
          </w:tr>
          <w:tr>
            <w:tc>
              <w:tcPr>
                <w:tcW w:w="15134" w:type="dxa"/>
              </w:tcPr>
              <w:p>
                <w:pPr>
                  <w:rPr>
                    <w:szCs w:val="24"/>
                  </w:rPr>
                </w:pPr>
                <w:r>
                  <w:rPr>
                    <w:b/>
                    <w:szCs w:val="24"/>
                  </w:rPr>
                  <w:t>11.</w:t>
                </w:r>
                <w:r>
                  <w:rPr>
                    <w:szCs w:val="24"/>
                  </w:rPr>
                  <w:t xml:space="preserve"> </w:t>
                </w:r>
                <w:r>
                  <w:rPr>
                    <w:b/>
                    <w:szCs w:val="24"/>
                  </w:rPr>
                  <w:t>Reikalavimai įgyvendinus projektų veiklas</w:t>
                </w:r>
              </w:p>
            </w:tc>
          </w:tr>
          <w:tr>
            <w:tc>
              <w:tcPr>
                <w:tcW w:w="15134" w:type="dxa"/>
              </w:tcPr>
              <w:p>
                <w:pPr>
                  <w:jc w:val="both"/>
                  <w:rPr>
                    <w:iCs/>
                    <w:sz w:val="22"/>
                    <w:szCs w:val="22"/>
                  </w:rPr>
                </w:pPr>
                <w:r>
                  <w:rPr>
                    <w:iCs/>
                    <w:sz w:val="22"/>
                    <w:szCs w:val="22"/>
                  </w:rPr>
                  <w:t>Netaikoma.</w:t>
                </w:r>
              </w:p>
            </w:tc>
          </w:tr>
          <w:tr>
            <w:tc>
              <w:tcPr>
                <w:tcW w:w="15134" w:type="dxa"/>
              </w:tcPr>
              <w:p>
                <w:pPr>
                  <w:rPr>
                    <w:szCs w:val="24"/>
                  </w:rPr>
                </w:pPr>
                <w:r>
                  <w:rPr>
                    <w:b/>
                    <w:szCs w:val="24"/>
                  </w:rPr>
                  <w:t>12.</w:t>
                </w:r>
                <w:r>
                  <w:rPr>
                    <w:szCs w:val="24"/>
                  </w:rPr>
                  <w:t xml:space="preserve"> </w:t>
                </w:r>
                <w:r>
                  <w:rPr>
                    <w:b/>
                    <w:szCs w:val="24"/>
                  </w:rPr>
                  <w:t>Kiti reikalavimai</w:t>
                </w:r>
              </w:p>
            </w:tc>
          </w:tr>
          <w:tr>
            <w:tc>
              <w:tcPr>
                <w:tcW w:w="15134" w:type="dxa"/>
              </w:tcPr>
              <w:p>
                <w:pPr>
                  <w:tabs>
                    <w:tab w:val="left" w:pos="458"/>
                  </w:tabs>
                  <w:jc w:val="both"/>
                  <w:rPr>
                    <w:iCs/>
                    <w:sz w:val="22"/>
                    <w:szCs w:val="22"/>
                  </w:rPr>
                </w:pPr>
                <w:r>
                  <w:rPr>
                    <w:bCs/>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tc>
              <w:tcPr>
                <w:tcW w:w="15134" w:type="dxa"/>
              </w:tcPr>
              <w:p>
                <w:pPr>
                  <w:rPr>
                    <w:b/>
                    <w:szCs w:val="24"/>
                  </w:rPr>
                </w:pPr>
                <w:r>
                  <w:rPr>
                    <w:b/>
                    <w:szCs w:val="24"/>
                  </w:rPr>
                  <w:t>IŠLAIDŲ TINKAMUMO FINANSUOTI REIKALAVIMAI</w:t>
                </w:r>
              </w:p>
            </w:tc>
          </w:tr>
          <w:tr>
            <w:tc>
              <w:tcPr>
                <w:tcW w:w="15134" w:type="dxa"/>
              </w:tcPr>
              <w:p>
                <w:pPr>
                  <w:jc w:val="both"/>
                  <w:rPr>
                    <w:b/>
                    <w:szCs w:val="24"/>
                  </w:rPr>
                </w:pPr>
                <w:r>
                  <w:rPr>
                    <w:b/>
                    <w:szCs w:val="24"/>
                  </w:rPr>
                  <w:t>13. Išlaidų tinkamumo finansuoti reikalavimai</w:t>
                </w:r>
              </w:p>
            </w:tc>
          </w:tr>
          <w:tr>
            <w:tc>
              <w:tcPr>
                <w:tcW w:w="15134" w:type="dxa"/>
              </w:tcPr>
              <w:p>
                <w:pPr>
                  <w:tabs>
                    <w:tab w:val="left" w:pos="458"/>
                  </w:tabs>
                  <w:jc w:val="both"/>
                  <w:rPr>
                    <w:bCs/>
                    <w:szCs w:val="24"/>
                  </w:rPr>
                </w:pPr>
                <w:r>
                  <w:rPr>
                    <w:bCs/>
                    <w:szCs w:val="24"/>
                  </w:rPr>
                  <w:t xml:space="preserve">13.1. Išlaidų tinkamumo finansuoti reikalavimai nustatyti </w:t>
                </w:r>
                <w:r>
                  <w:rPr>
                    <w:rFonts w:eastAsia="Calibri"/>
                    <w:szCs w:val="24"/>
                  </w:rPr>
                  <w:t>PAFT VII skyriuje „Projektų išlaidų reikalavimai“</w:t>
                </w:r>
                <w:r>
                  <w:rPr>
                    <w:bCs/>
                    <w:szCs w:val="24"/>
                  </w:rPr>
                  <w:t>.</w:t>
                </w:r>
              </w:p>
              <w:p>
                <w:pPr>
                  <w:tabs>
                    <w:tab w:val="left" w:pos="458"/>
                  </w:tabs>
                  <w:jc w:val="both"/>
                  <w:rPr>
                    <w:bCs/>
                    <w:szCs w:val="24"/>
                  </w:rPr>
                </w:pPr>
                <w:r>
                  <w:rPr>
                    <w:bCs/>
                    <w:szCs w:val="24"/>
                  </w:rPr>
                  <w:t>13.2. Projekto tinkamų finansuoti išlaidų dalis, kurios nepadengia projektui skiriamo finansavimo lėšos, turi būti finansuojama iš projekto vykdytojo lėšų.</w:t>
                </w:r>
              </w:p>
              <w:p>
                <w:pPr>
                  <w:tabs>
                    <w:tab w:val="left" w:pos="458"/>
                  </w:tabs>
                  <w:jc w:val="both"/>
                  <w:rPr>
                    <w:bCs/>
                    <w:szCs w:val="24"/>
                  </w:rPr>
                </w:pPr>
                <w:r>
                  <w:rPr>
                    <w:bCs/>
                    <w:szCs w:val="24"/>
                  </w:rPr>
                  <w:t>13.3. Projekto vykdytojui, vadovaujantis PAFT numatytomis sąlygomis, gali būti mokamas avansas.</w:t>
                </w:r>
              </w:p>
              <w:p>
                <w:pPr>
                  <w:tabs>
                    <w:tab w:val="left" w:pos="458"/>
                  </w:tabs>
                  <w:jc w:val="both"/>
                  <w:rPr>
                    <w:bCs/>
                    <w:szCs w:val="24"/>
                  </w:rPr>
                </w:pPr>
                <w:r>
                  <w:rPr>
                    <w:bCs/>
                    <w:szCs w:val="24"/>
                  </w:rPr>
                  <w:t>13.4. Projekto išlaidos projekto įgyvendinimo metu apmokamos išlaidų kompensavimo būdu projekto vykdytojui deklaruojant patirtas ir apmokėtas išlaidas, supaprastintai apmokamas išlaidas arba kartu derinant šias abi apmokėjimo formas.</w:t>
                </w:r>
              </w:p>
              <w:p>
                <w:pPr>
                  <w:tabs>
                    <w:tab w:val="left" w:pos="458"/>
                  </w:tabs>
                  <w:jc w:val="both"/>
                  <w:rPr>
                    <w:bCs/>
                    <w:szCs w:val="24"/>
                  </w:rPr>
                </w:pPr>
                <w:r>
                  <w:rPr>
                    <w:bCs/>
                    <w:szCs w:val="24"/>
                  </w:rPr>
                  <w:t xml:space="preserve">13.5. PVM nėra tinkamas finansuoti EGADP lėšomis. PVM gali būti finansuojamas Lietuvos biudžeto lėšomis vadovaujantis PAFT </w:t>
                </w:r>
                <w:r>
                  <w:rPr>
                    <w:rFonts w:eastAsia="Calibri"/>
                    <w:szCs w:val="24"/>
                  </w:rPr>
                  <w:t>VII skyriaus „Projektų išlaidų reikalavimai“ ketvirtame</w:t>
                </w:r>
                <w:r>
                  <w:rPr>
                    <w:bCs/>
                    <w:szCs w:val="24"/>
                  </w:rPr>
                  <w:t xml:space="preserve"> skirsnyje „PVM“ nustatyta tvarka. Projektuose išlaidos nurodomos su PVM, o jo tinkamumas finansuoti nustatomas vertinimo metu.</w:t>
                </w:r>
              </w:p>
              <w:p>
                <w:pPr>
                  <w:tabs>
                    <w:tab w:val="left" w:pos="458"/>
                  </w:tabs>
                  <w:jc w:val="both"/>
                  <w:rPr>
                    <w:bCs/>
                    <w:szCs w:val="24"/>
                  </w:rPr>
                </w:pPr>
                <w:r>
                  <w:rPr>
                    <w:bCs/>
                    <w:szCs w:val="24"/>
                  </w:rPr>
                  <w:t>13.6. Projekto vykdytojas teikia administruojančiajai institucijai informaciją apie EGADP projekto dalyvius vadovaudamasis PAFT IV skyriaus „Projektų įgyvendinimas“ šeštu skirsniu „Informacija apie projektų dalyvius“ ir Tarpinstitucinės darbo grupės, sudarytos Lietuvos Respublikos finansų ministro 2021 m.  birželio 11 d.  įsakymu Nr. 1K-219 „Dėl tarpinstitucinės darbo grupės sudarymo“, patvirtinta Projekto dalyvių informacijos administravimo instrukcija (aktuali versija), kuri skelbiama https://www.esinvesticijos.lt.</w:t>
                </w:r>
              </w:p>
              <w:p>
                <w:pPr>
                  <w:jc w:val="both"/>
                  <w:rPr>
                    <w:bCs/>
                    <w:szCs w:val="24"/>
                  </w:rPr>
                </w:pPr>
                <w:r>
                  <w:rPr>
                    <w:bCs/>
                    <w:szCs w:val="24"/>
                  </w:rPr>
                  <w:t xml:space="preserve">13.7. Projektams taikomi supaprastinti išlaidų dydžiai, </w:t>
                </w:r>
                <w:r>
                  <w:rPr>
                    <w:szCs w:val="24"/>
                  </w:rPr>
                  <w:t xml:space="preserve">kurie </w:t>
                </w:r>
                <w:r>
                  <w:rPr>
                    <w:bCs/>
                    <w:szCs w:val="24"/>
                  </w:rPr>
                  <w:t xml:space="preserve">nurodyti Aprašo 14 punkte „Projektų veiklų ir jungtinio projekto projektų įgyvendinimui taikomi supaprastintai apmokamų išlaidų dydžiai“. </w:t>
                </w:r>
                <w:r>
                  <w:rPr>
                    <w:szCs w:val="24"/>
                  </w:rPr>
                  <w:t>Netiesioginėms išlaidoms taikoma 7 proc. fiksuotoji norma nuo tinkamų finansuoti tiesioginių projekto išlaidų.</w:t>
                </w:r>
              </w:p>
              <w:p>
                <w:pPr>
                  <w:jc w:val="both"/>
                  <w:rPr>
                    <w:bCs/>
                    <w:szCs w:val="24"/>
                  </w:rPr>
                </w:pPr>
                <w:r>
                  <w:rPr>
                    <w:bCs/>
                    <w:szCs w:val="24"/>
                  </w:rPr>
                  <w:t xml:space="preserve">13.8. Pagal Aprašą netinkamos finansuoti projekto lėšomis išlaidos nustatytos PAFT VII skyriaus „Projektų išlaidų reikalavimai“ trečiame skirsnyje „Netinkamos finansuoti išlaidos“. Be kitų šiame skirsnyje nurodytų reikalavimų, EGADP finansavimo reikalavimų neatitinkančiomis išlaidomis taip pat laikomos: </w:t>
                </w:r>
              </w:p>
              <w:p>
                <w:pPr>
                  <w:jc w:val="both"/>
                  <w:rPr>
                    <w:bCs/>
                    <w:szCs w:val="24"/>
                  </w:rPr>
                </w:pPr>
                <w:r>
                  <w:rPr>
                    <w:bCs/>
                    <w:szCs w:val="24"/>
                  </w:rPr>
                  <w:t>13.8.1. infrastruktūros, žemės ir kito nekilnojamojo turto pirkimo išlaidos;</w:t>
                </w:r>
              </w:p>
              <w:p>
                <w:pPr>
                  <w:jc w:val="both"/>
                  <w:rPr>
                    <w:bCs/>
                    <w:szCs w:val="24"/>
                  </w:rPr>
                </w:pPr>
                <w:r>
                  <w:rPr>
                    <w:bCs/>
                    <w:szCs w:val="24"/>
                  </w:rPr>
                  <w:t>13.8.2. baldų, įrangos (įrenginių) ar transporto priemonių pirkimo išlaidos;</w:t>
                </w:r>
              </w:p>
              <w:p>
                <w:pPr>
                  <w:jc w:val="both"/>
                  <w:rPr>
                    <w:bCs/>
                    <w:szCs w:val="24"/>
                  </w:rPr>
                </w:pPr>
                <w:r>
                  <w:rPr>
                    <w:bCs/>
                    <w:szCs w:val="24"/>
                  </w:rPr>
                  <w:t>13.8.3. pastatų, kitų statinių ir patalpų statybos, rekonstravimo, remonto ir panašios išlaidos;</w:t>
                </w:r>
              </w:p>
              <w:p>
                <w:pPr>
                  <w:jc w:val="both"/>
                  <w:rPr>
                    <w:bCs/>
                    <w:szCs w:val="24"/>
                  </w:rPr>
                </w:pPr>
                <w:r>
                  <w:rPr>
                    <w:bCs/>
                    <w:szCs w:val="24"/>
                  </w:rPr>
                  <w:t>13.8.4. naudojamo ilgalaikio turto nusidėvėjimo (amortizacijos) sąnaudos;</w:t>
                </w:r>
              </w:p>
              <w:p>
                <w:pPr>
                  <w:jc w:val="both"/>
                  <w:rPr>
                    <w:bCs/>
                    <w:szCs w:val="24"/>
                  </w:rPr>
                </w:pPr>
                <w:r>
                  <w:rPr>
                    <w:bCs/>
                    <w:szCs w:val="24"/>
                  </w:rPr>
                  <w:t>13.8.5. nepiniginis projekto vykdytojo / partnerio įnašas;</w:t>
                </w:r>
              </w:p>
              <w:p>
                <w:pPr>
                  <w:jc w:val="both"/>
                  <w:rPr>
                    <w:bCs/>
                  </w:rPr>
                </w:pPr>
                <w:r>
                  <w:rPr>
                    <w:bCs/>
                    <w:szCs w:val="24"/>
                  </w:rPr>
                  <w:t>13.8.6. PĮP rengimo išlaidos (išskyrus investicijų projekto ar kitų su PĮP privalomų teikti dokumentų rengimo išlaidas);</w:t>
                </w:r>
              </w:p>
              <w:p>
                <w:pPr>
                  <w:jc w:val="both"/>
                </w:pPr>
                <w:r>
                  <w:rPr>
                    <w:bCs/>
                    <w:szCs w:val="24"/>
                  </w:rPr>
                  <w:t xml:space="preserve">13.8.7 </w:t>
                </w:r>
                <w:r>
                  <w:t xml:space="preserve">išlaidos, kuriomis pakeičiamos periodinės nacionalinės biudžeto išlaidos (tokios kaip valstybės tarnautojų, mokytojų, gydytojų atlyginimai už kasdienį darbą, periodinės infrastruktūros priežiūros išlaidos ir pan., angl. </w:t>
                </w:r>
                <w:r>
                  <w:rPr>
                    <w:i/>
                    <w:iCs/>
                  </w:rPr>
                  <w:t>recurrent costs</w:t>
                </w:r>
                <w:r>
                  <w:t>), išskyrus atvejus, kai tokios išlaidos suderintos su EK.</w:t>
                </w:r>
              </w:p>
              <w:p>
                <w:pPr>
                  <w:jc w:val="both"/>
                </w:pPr>
                <w:r>
                  <w:t>13.9. Darbo užmokesčio išlaidos tinkamos finansuoti esamiems įstaigų darbuotojams tik tuo atveju, jei darbo užmokestis mokamas už papildomų funkcijų ar užduočių, nenustatytų pareigybės aprašyme, vykdymą.</w:t>
                </w:r>
              </w:p>
              <w:p>
                <w:pPr>
                  <w:jc w:val="both"/>
                  <w:rPr>
                    <w:sz w:val="22"/>
                    <w:szCs w:val="22"/>
                  </w:rPr>
                </w:pPr>
                <w:r>
                  <w:t>13.10. Pagal Aprašą tinkamomis finansuoti laikomos išlaidos, kurios patirtos nuo projekto sutarties pasirašymo dienos iki 2024 m. gruodžio 31 d.</w:t>
                </w:r>
              </w:p>
            </w:tc>
          </w:tr>
          <w:tr>
            <w:trPr>
              <w:trHeight w:val="349"/>
            </w:trPr>
            <w:tc>
              <w:tcPr>
                <w:tcW w:w="15134" w:type="dxa"/>
              </w:tcPr>
              <w:p>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tc>
              <w:tcPr>
                <w:tcW w:w="15134"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10"/>
                  <w:gridCol w:w="1985"/>
                  <w:gridCol w:w="1843"/>
                  <w:gridCol w:w="3543"/>
                  <w:gridCol w:w="4793"/>
                </w:tblGrid>
                <w:tr>
                  <w:tc>
                    <w:tcPr>
                      <w:tcW w:w="14874" w:type="dxa"/>
                      <w:gridSpan w:val="5"/>
                      <w:tcBorders>
                        <w:top w:val="single" w:sz="8" w:space="0" w:color="auto"/>
                        <w:left w:val="single" w:sz="8" w:space="0" w:color="auto"/>
                        <w:bottom w:val="single" w:sz="8" w:space="0" w:color="auto"/>
                        <w:right w:val="single" w:sz="8" w:space="0" w:color="auto"/>
                      </w:tcBorders>
                    </w:tcPr>
                    <w:p>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pPr>
                        <w:jc w:val="both"/>
                        <w:rPr>
                          <w:bCs/>
                          <w:sz w:val="22"/>
                          <w:szCs w:val="22"/>
                        </w:rPr>
                      </w:pPr>
                      <w:r>
                        <w:rPr>
                          <w:rFonts w:eastAsia="MS Gothic"/>
                          <w:b/>
                          <w:bCs/>
                          <w:szCs w:val="24"/>
                        </w:rPr>
                        <w:t>X</w:t>
                      </w:r>
                      <w:r>
                        <w:rPr>
                          <w:rFonts w:ascii="MS Gothic" w:eastAsia="MS Gothic" w:hAnsi="MS Gothic" w:cs="MS Gothic"/>
                          <w:b/>
                          <w:bCs/>
                          <w:sz w:val="22"/>
                          <w:szCs w:val="22"/>
                        </w:rPr>
                        <w:t xml:space="preserve"> </w:t>
                      </w:r>
                      <w:r>
                        <w:rPr>
                          <w:b/>
                          <w:bCs/>
                          <w:sz w:val="22"/>
                          <w:szCs w:val="22"/>
                        </w:rPr>
                        <w:t>Neindeksuojama</w:t>
                      </w:r>
                    </w:p>
                  </w:tc>
                </w:tr>
                <w:tr>
                  <w:tc>
                    <w:tcPr>
                      <w:tcW w:w="271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Veiklos ir (ar) išlaidos, kurioms taikomi supaprastintai apmokamų išlaidų dydžiai</w:t>
                      </w:r>
                    </w:p>
                  </w:tc>
                  <w:tc>
                    <w:tcPr>
                      <w:tcW w:w="1985"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kodas</w:t>
                      </w:r>
                    </w:p>
                  </w:tc>
                  <w:tc>
                    <w:tcPr>
                      <w:tcW w:w="1843" w:type="dxa"/>
                      <w:tcBorders>
                        <w:top w:val="single" w:sz="8" w:space="0" w:color="auto"/>
                        <w:left w:val="single" w:sz="8" w:space="0" w:color="auto"/>
                        <w:bottom w:val="single" w:sz="8" w:space="0" w:color="auto"/>
                        <w:right w:val="single" w:sz="8" w:space="0" w:color="auto"/>
                      </w:tcBorders>
                      <w:vAlign w:val="center"/>
                    </w:tcPr>
                    <w:p>
                      <w:pPr>
                        <w:jc w:val="center"/>
                        <w:rPr>
                          <w:b/>
                          <w:bCs/>
                          <w:i/>
                          <w:iCs/>
                          <w:sz w:val="22"/>
                          <w:szCs w:val="22"/>
                        </w:rPr>
                      </w:pPr>
                      <w:r>
                        <w:rPr>
                          <w:b/>
                          <w:bCs/>
                          <w:sz w:val="22"/>
                          <w:szCs w:val="22"/>
                        </w:rPr>
                        <w:t>Supaprastintai apmokamų išlaidų dydžio versija</w:t>
                      </w:r>
                    </w:p>
                  </w:tc>
                  <w:tc>
                    <w:tcPr>
                      <w:tcW w:w="3543"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pavadinimas</w:t>
                      </w:r>
                    </w:p>
                  </w:tc>
                  <w:tc>
                    <w:tcPr>
                      <w:tcW w:w="4793"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Papildoma informacija</w:t>
                      </w:r>
                    </w:p>
                  </w:tc>
                </w:tr>
                <w:tr>
                  <w:tc>
                    <w:tcPr>
                      <w:tcW w:w="2710" w:type="dxa"/>
                      <w:tcBorders>
                        <w:top w:val="single" w:sz="8" w:space="0" w:color="auto"/>
                        <w:left w:val="single" w:sz="8" w:space="0" w:color="auto"/>
                        <w:bottom w:val="single" w:sz="8" w:space="0" w:color="auto"/>
                        <w:right w:val="single" w:sz="8" w:space="0" w:color="auto"/>
                      </w:tcBorders>
                    </w:tcPr>
                    <w:p>
                      <w:pPr>
                        <w:rPr>
                          <w:szCs w:val="24"/>
                        </w:rPr>
                      </w:pPr>
                      <w:r>
                        <w:rPr>
                          <w:szCs w:val="24"/>
                        </w:rPr>
                        <w:t xml:space="preserve">Matomumo ir informavimo apie projektą priemonės </w:t>
                      </w:r>
                    </w:p>
                  </w:tc>
                  <w:tc>
                    <w:tcPr>
                      <w:tcW w:w="1985"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FS-01-01</w:t>
                      </w:r>
                    </w:p>
                    <w:p>
                      <w:pPr>
                        <w:jc w:val="center"/>
                        <w:rPr>
                          <w:i/>
                          <w:iCs/>
                          <w:szCs w:val="24"/>
                        </w:rPr>
                      </w:pPr>
                    </w:p>
                  </w:tc>
                  <w:tc>
                    <w:tcPr>
                      <w:tcW w:w="1843" w:type="dxa"/>
                      <w:tcBorders>
                        <w:top w:val="single" w:sz="8" w:space="0" w:color="auto"/>
                        <w:left w:val="single" w:sz="8" w:space="0" w:color="auto"/>
                        <w:bottom w:val="single" w:sz="8" w:space="0" w:color="auto"/>
                        <w:right w:val="single" w:sz="8" w:space="0" w:color="auto"/>
                      </w:tcBorders>
                    </w:tcPr>
                    <w:p>
                      <w:pPr>
                        <w:jc w:val="center"/>
                        <w:rPr>
                          <w:i/>
                          <w:iCs/>
                          <w:szCs w:val="24"/>
                          <w:lang w:val="en-US"/>
                        </w:rPr>
                      </w:pPr>
                      <w:r>
                        <w:rPr>
                          <w:szCs w:val="24"/>
                        </w:rPr>
                        <w:t>02</w:t>
                      </w:r>
                    </w:p>
                  </w:tc>
                  <w:tc>
                    <w:tcPr>
                      <w:tcW w:w="3543" w:type="dxa"/>
                      <w:tcBorders>
                        <w:top w:val="single" w:sz="8" w:space="0" w:color="auto"/>
                        <w:left w:val="single" w:sz="8" w:space="0" w:color="auto"/>
                        <w:bottom w:val="single" w:sz="8" w:space="0" w:color="auto"/>
                        <w:right w:val="single" w:sz="8" w:space="0" w:color="auto"/>
                      </w:tcBorders>
                    </w:tcPr>
                    <w:p>
                      <w:pPr>
                        <w:rPr>
                          <w:i/>
                          <w:iCs/>
                          <w:szCs w:val="24"/>
                        </w:rPr>
                      </w:pPr>
                      <w:r>
                        <w:rPr>
                          <w:szCs w:val="24"/>
                        </w:rPr>
                        <w:t>Įgyvendintų privalomų matomumo ir informavimo priemonių apie ES fondų investicijų veiklas fiksuotoji suma, pirmojo rinkinio FS be PVM</w:t>
                      </w:r>
                    </w:p>
                  </w:tc>
                  <w:tc>
                    <w:tcPr>
                      <w:tcW w:w="4793" w:type="dxa"/>
                      <w:tcBorders>
                        <w:top w:val="single" w:sz="8" w:space="0" w:color="auto"/>
                        <w:left w:val="single" w:sz="8" w:space="0" w:color="auto"/>
                        <w:bottom w:val="single" w:sz="8" w:space="0" w:color="auto"/>
                        <w:right w:val="single" w:sz="8" w:space="0" w:color="auto"/>
                      </w:tcBorders>
                    </w:tcPr>
                    <w:p>
                      <w:pPr>
                        <w:rPr>
                          <w:i/>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tc>
                    <w:tcPr>
                      <w:tcW w:w="2710" w:type="dxa"/>
                      <w:tcBorders>
                        <w:top w:val="single" w:sz="8" w:space="0" w:color="auto"/>
                        <w:left w:val="single" w:sz="8" w:space="0" w:color="auto"/>
                        <w:bottom w:val="single" w:sz="8" w:space="0" w:color="auto"/>
                        <w:right w:val="single" w:sz="8" w:space="0" w:color="auto"/>
                      </w:tcBorders>
                    </w:tcPr>
                    <w:p>
                      <w:pPr>
                        <w:rPr>
                          <w:szCs w:val="24"/>
                        </w:rPr>
                      </w:pPr>
                      <w:r>
                        <w:rPr>
                          <w:szCs w:val="24"/>
                        </w:rPr>
                        <w:t>Matomumo ir informavimo apie projektą priemonės</w:t>
                      </w:r>
                    </w:p>
                  </w:tc>
                  <w:tc>
                    <w:tcPr>
                      <w:tcW w:w="1985"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rPr>
                        <w:t>FS-01-02</w:t>
                      </w:r>
                    </w:p>
                  </w:tc>
                  <w:tc>
                    <w:tcPr>
                      <w:tcW w:w="1843"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rPr>
                        <w:t>02</w:t>
                      </w:r>
                    </w:p>
                  </w:tc>
                  <w:tc>
                    <w:tcPr>
                      <w:tcW w:w="3543" w:type="dxa"/>
                      <w:tcBorders>
                        <w:top w:val="single" w:sz="8" w:space="0" w:color="auto"/>
                        <w:left w:val="single" w:sz="8" w:space="0" w:color="auto"/>
                        <w:bottom w:val="single" w:sz="8" w:space="0" w:color="auto"/>
                        <w:right w:val="single" w:sz="8" w:space="0" w:color="auto"/>
                      </w:tcBorders>
                    </w:tcPr>
                    <w:p>
                      <w:pPr>
                        <w:rPr>
                          <w:i/>
                          <w:iCs/>
                          <w:szCs w:val="24"/>
                        </w:rPr>
                      </w:pPr>
                      <w:r>
                        <w:rPr>
                          <w:szCs w:val="24"/>
                        </w:rPr>
                        <w:t>Įgyvendintų privalomų matomumo ir informavimo priemonių apie ES fondų investicijų veiklas fiksuotoji suma, pirmojo rinkinio FS su PVM</w:t>
                      </w:r>
                    </w:p>
                  </w:tc>
                  <w:tc>
                    <w:tcPr>
                      <w:tcW w:w="4793" w:type="dxa"/>
                      <w:tcBorders>
                        <w:top w:val="single" w:sz="8" w:space="0" w:color="auto"/>
                        <w:left w:val="single" w:sz="8" w:space="0" w:color="auto"/>
                        <w:bottom w:val="single" w:sz="8" w:space="0" w:color="auto"/>
                        <w:right w:val="single" w:sz="8" w:space="0" w:color="auto"/>
                      </w:tcBorders>
                    </w:tcPr>
                    <w:p>
                      <w:pPr>
                        <w:rPr>
                          <w:i/>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tc>
                    <w:tcPr>
                      <w:tcW w:w="2710" w:type="dxa"/>
                      <w:tcBorders>
                        <w:top w:val="single" w:sz="8" w:space="0" w:color="auto"/>
                        <w:left w:val="single" w:sz="8" w:space="0" w:color="auto"/>
                        <w:bottom w:val="single" w:sz="8" w:space="0" w:color="auto"/>
                        <w:right w:val="single" w:sz="8" w:space="0" w:color="auto"/>
                      </w:tcBorders>
                    </w:tcPr>
                    <w:p>
                      <w:pPr>
                        <w:rPr>
                          <w:szCs w:val="24"/>
                        </w:rPr>
                      </w:pPr>
                      <w:r>
                        <w:rPr>
                          <w:szCs w:val="24"/>
                        </w:rPr>
                        <w:t>Matomumo ir informavimo apie projektą priemonės</w:t>
                      </w:r>
                    </w:p>
                  </w:tc>
                  <w:tc>
                    <w:tcPr>
                      <w:tcW w:w="1985" w:type="dxa"/>
                      <w:tcBorders>
                        <w:top w:val="single" w:sz="8" w:space="0" w:color="auto"/>
                        <w:left w:val="single" w:sz="8" w:space="0" w:color="auto"/>
                        <w:bottom w:val="single" w:sz="8" w:space="0" w:color="auto"/>
                        <w:right w:val="single" w:sz="8" w:space="0" w:color="auto"/>
                      </w:tcBorders>
                    </w:tcPr>
                    <w:p>
                      <w:pPr>
                        <w:spacing w:line="276" w:lineRule="auto"/>
                        <w:jc w:val="center"/>
                        <w:rPr>
                          <w:szCs w:val="24"/>
                        </w:rPr>
                      </w:pPr>
                      <w:r>
                        <w:rPr>
                          <w:szCs w:val="24"/>
                        </w:rPr>
                        <w:t>FS-01-03</w:t>
                      </w:r>
                    </w:p>
                    <w:p>
                      <w:pPr>
                        <w:jc w:val="center"/>
                        <w:rPr>
                          <w:szCs w:val="24"/>
                        </w:rPr>
                      </w:pPr>
                    </w:p>
                  </w:tc>
                  <w:tc>
                    <w:tcPr>
                      <w:tcW w:w="1843"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02</w:t>
                      </w:r>
                    </w:p>
                  </w:tc>
                  <w:tc>
                    <w:tcPr>
                      <w:tcW w:w="3543" w:type="dxa"/>
                      <w:tcBorders>
                        <w:top w:val="single" w:sz="8" w:space="0" w:color="auto"/>
                        <w:left w:val="single" w:sz="8" w:space="0" w:color="auto"/>
                        <w:bottom w:val="single" w:sz="8" w:space="0" w:color="auto"/>
                        <w:right w:val="single" w:sz="8" w:space="0" w:color="auto"/>
                      </w:tcBorders>
                    </w:tcPr>
                    <w:p>
                      <w:pPr>
                        <w:rPr>
                          <w:szCs w:val="24"/>
                          <w:lang w:val="pt-BR"/>
                        </w:rPr>
                      </w:pPr>
                      <w:r>
                        <w:rPr>
                          <w:szCs w:val="24"/>
                        </w:rPr>
                        <w:t xml:space="preserve">Įgyvendintų privalomų matomumo ir informavimo priemonių apie ES fondų investicijų veiklas fiksuotoji suma, antrojo rinkinio FS be PVM </w:t>
                      </w:r>
                    </w:p>
                  </w:tc>
                  <w:tc>
                    <w:tcPr>
                      <w:tcW w:w="4793" w:type="dxa"/>
                      <w:tcBorders>
                        <w:top w:val="single" w:sz="8" w:space="0" w:color="auto"/>
                        <w:left w:val="single" w:sz="8" w:space="0" w:color="auto"/>
                        <w:bottom w:val="single" w:sz="8" w:space="0" w:color="auto"/>
                        <w:right w:val="single" w:sz="8" w:space="0" w:color="auto"/>
                      </w:tcBorders>
                    </w:tcPr>
                    <w:p>
                      <w:pPr>
                        <w:rPr>
                          <w:i/>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tc>
                    <w:tcPr>
                      <w:tcW w:w="2710" w:type="dxa"/>
                      <w:tcBorders>
                        <w:top w:val="single" w:sz="8" w:space="0" w:color="auto"/>
                        <w:left w:val="single" w:sz="8" w:space="0" w:color="auto"/>
                        <w:bottom w:val="single" w:sz="8" w:space="0" w:color="auto"/>
                        <w:right w:val="single" w:sz="8" w:space="0" w:color="auto"/>
                      </w:tcBorders>
                    </w:tcPr>
                    <w:p>
                      <w:pPr>
                        <w:rPr>
                          <w:szCs w:val="24"/>
                        </w:rPr>
                      </w:pPr>
                      <w:r>
                        <w:rPr>
                          <w:szCs w:val="24"/>
                        </w:rPr>
                        <w:t>Matomumo ir informavimo apie projektą priemonės</w:t>
                      </w:r>
                    </w:p>
                  </w:tc>
                  <w:tc>
                    <w:tcPr>
                      <w:tcW w:w="1985"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FS-01-04</w:t>
                      </w:r>
                    </w:p>
                  </w:tc>
                  <w:tc>
                    <w:tcPr>
                      <w:tcW w:w="1843"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02</w:t>
                      </w:r>
                    </w:p>
                  </w:tc>
                  <w:tc>
                    <w:tcPr>
                      <w:tcW w:w="3543" w:type="dxa"/>
                      <w:tcBorders>
                        <w:top w:val="single" w:sz="8" w:space="0" w:color="auto"/>
                        <w:left w:val="single" w:sz="8" w:space="0" w:color="auto"/>
                        <w:bottom w:val="single" w:sz="8" w:space="0" w:color="auto"/>
                        <w:right w:val="single" w:sz="8" w:space="0" w:color="auto"/>
                      </w:tcBorders>
                    </w:tcPr>
                    <w:p>
                      <w:pPr>
                        <w:rPr>
                          <w:szCs w:val="24"/>
                        </w:rPr>
                      </w:pPr>
                      <w:r>
                        <w:rPr>
                          <w:szCs w:val="24"/>
                        </w:rPr>
                        <w:t>Įgyvendintų privalomų matomumo ir informavimo priemonių apie ES fondų investicijų veiklas fiksuotoji suma, antrojo rinkinio FS su PVM</w:t>
                      </w:r>
                    </w:p>
                  </w:tc>
                  <w:tc>
                    <w:tcPr>
                      <w:tcW w:w="4793" w:type="dxa"/>
                      <w:tcBorders>
                        <w:top w:val="single" w:sz="8" w:space="0" w:color="auto"/>
                        <w:left w:val="single" w:sz="8" w:space="0" w:color="auto"/>
                        <w:bottom w:val="single" w:sz="8" w:space="0" w:color="auto"/>
                        <w:right w:val="single" w:sz="8" w:space="0" w:color="auto"/>
                      </w:tcBorders>
                    </w:tcPr>
                    <w:p>
                      <w:pPr>
                        <w:rPr>
                          <w:i/>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tc>
                    <w:tcPr>
                      <w:tcW w:w="2710" w:type="dxa"/>
                      <w:tcBorders>
                        <w:top w:val="single" w:sz="8" w:space="0" w:color="auto"/>
                        <w:left w:val="single" w:sz="8" w:space="0" w:color="auto"/>
                        <w:bottom w:val="single" w:sz="8" w:space="0" w:color="auto"/>
                        <w:right w:val="single" w:sz="8" w:space="0" w:color="auto"/>
                      </w:tcBorders>
                    </w:tcPr>
                    <w:p>
                      <w:pPr>
                        <w:rPr>
                          <w:szCs w:val="24"/>
                        </w:rPr>
                      </w:pPr>
                      <w:r>
                        <w:rPr>
                          <w:szCs w:val="24"/>
                        </w:rPr>
                        <w:t>Netiesioginės išlaidos</w:t>
                      </w:r>
                    </w:p>
                  </w:tc>
                  <w:tc>
                    <w:tcPr>
                      <w:tcW w:w="1985"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rPr>
                        <w:t>FN-01</w:t>
                      </w:r>
                    </w:p>
                  </w:tc>
                  <w:tc>
                    <w:tcPr>
                      <w:tcW w:w="1843"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rPr>
                        <w:t>-</w:t>
                      </w:r>
                    </w:p>
                  </w:tc>
                  <w:tc>
                    <w:tcPr>
                      <w:tcW w:w="3543" w:type="dxa"/>
                      <w:tcBorders>
                        <w:top w:val="single" w:sz="8" w:space="0" w:color="auto"/>
                        <w:left w:val="single" w:sz="8" w:space="0" w:color="auto"/>
                        <w:bottom w:val="single" w:sz="8" w:space="0" w:color="auto"/>
                        <w:right w:val="single" w:sz="8" w:space="0" w:color="auto"/>
                      </w:tcBorders>
                    </w:tcPr>
                    <w:p>
                      <w:pPr>
                        <w:rPr>
                          <w:i/>
                          <w:iCs/>
                          <w:szCs w:val="24"/>
                        </w:rPr>
                      </w:pPr>
                      <w:r>
                        <w:rPr>
                          <w:szCs w:val="24"/>
                        </w:rPr>
                        <w:t>Iki 7 proc. netiesioginių išlaidų fiksuotoji norma</w:t>
                      </w:r>
                    </w:p>
                  </w:tc>
                  <w:tc>
                    <w:tcPr>
                      <w:tcW w:w="4793" w:type="dxa"/>
                      <w:tcBorders>
                        <w:top w:val="single" w:sz="8" w:space="0" w:color="auto"/>
                        <w:left w:val="single" w:sz="8" w:space="0" w:color="auto"/>
                        <w:bottom w:val="single" w:sz="8" w:space="0" w:color="auto"/>
                        <w:right w:val="single" w:sz="8" w:space="0" w:color="auto"/>
                      </w:tcBorders>
                    </w:tcPr>
                    <w:p>
                      <w:pPr>
                        <w:rPr>
                          <w:iCs/>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tc>
                    <w:tcPr>
                      <w:tcW w:w="2710" w:type="dxa"/>
                      <w:tcBorders>
                        <w:top w:val="single" w:sz="8" w:space="0" w:color="auto"/>
                        <w:left w:val="single" w:sz="8" w:space="0" w:color="auto"/>
                        <w:bottom w:val="single" w:sz="8" w:space="0" w:color="auto"/>
                        <w:right w:val="single" w:sz="8" w:space="0" w:color="auto"/>
                      </w:tcBorders>
                    </w:tcPr>
                    <w:p>
                      <w:pPr>
                        <w:rPr>
                          <w:szCs w:val="24"/>
                        </w:rPr>
                      </w:pPr>
                      <w:r>
                        <w:rPr>
                          <w:szCs w:val="24"/>
                        </w:rPr>
                        <w:t>Kasmetinių atostogų išlaidos</w:t>
                      </w:r>
                    </w:p>
                  </w:tc>
                  <w:tc>
                    <w:tcPr>
                      <w:tcW w:w="1985"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rPr>
                        <w:t>FN-05-01</w:t>
                      </w:r>
                    </w:p>
                  </w:tc>
                  <w:tc>
                    <w:tcPr>
                      <w:tcW w:w="1843"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rPr>
                        <w:t>01</w:t>
                      </w:r>
                    </w:p>
                  </w:tc>
                  <w:tc>
                    <w:tcPr>
                      <w:tcW w:w="3543" w:type="dxa"/>
                      <w:tcBorders>
                        <w:top w:val="single" w:sz="8" w:space="0" w:color="auto"/>
                        <w:left w:val="single" w:sz="8" w:space="0" w:color="auto"/>
                        <w:bottom w:val="single" w:sz="8" w:space="0" w:color="auto"/>
                        <w:right w:val="single" w:sz="8" w:space="0" w:color="auto"/>
                      </w:tcBorders>
                    </w:tcPr>
                    <w:p>
                      <w:pPr>
                        <w:rPr>
                          <w:i/>
                          <w:iCs/>
                          <w:szCs w:val="24"/>
                        </w:rPr>
                      </w:pPr>
                      <w:r>
                        <w:rPr>
                          <w:szCs w:val="24"/>
                        </w:rPr>
                        <w:t>Fiksuotoji norma, taikoma, kai priklauso 20 d. d. (jeigu dirbama 5 d. d. per savaitę) arba 24 d. d. (jeigu dirbama 6 d. d. per savaitę) kasmetinės atostogos</w:t>
                      </w:r>
                    </w:p>
                  </w:tc>
                  <w:tc>
                    <w:tcPr>
                      <w:tcW w:w="4793" w:type="dxa"/>
                      <w:tcBorders>
                        <w:top w:val="single" w:sz="8" w:space="0" w:color="auto"/>
                        <w:left w:val="single" w:sz="8" w:space="0" w:color="auto"/>
                        <w:bottom w:val="single" w:sz="8" w:space="0" w:color="auto"/>
                        <w:right w:val="single" w:sz="8" w:space="0" w:color="auto"/>
                      </w:tcBorders>
                    </w:tcPr>
                    <w:p>
                      <w:pPr>
                        <w:rPr>
                          <w:i/>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tc>
                    <w:tcPr>
                      <w:tcW w:w="2710" w:type="dxa"/>
                      <w:tcBorders>
                        <w:top w:val="single" w:sz="8" w:space="0" w:color="auto"/>
                        <w:left w:val="single" w:sz="8" w:space="0" w:color="auto"/>
                        <w:bottom w:val="single" w:sz="8" w:space="0" w:color="auto"/>
                        <w:right w:val="single" w:sz="8" w:space="0" w:color="auto"/>
                      </w:tcBorders>
                    </w:tcPr>
                    <w:p>
                      <w:pPr>
                        <w:rPr>
                          <w:szCs w:val="24"/>
                        </w:rPr>
                      </w:pPr>
                      <w:r>
                        <w:rPr>
                          <w:szCs w:val="24"/>
                        </w:rPr>
                        <w:t>Kasmetinių atostogų išlaidos</w:t>
                      </w:r>
                    </w:p>
                  </w:tc>
                  <w:tc>
                    <w:tcPr>
                      <w:tcW w:w="1985"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rPr>
                        <w:t>FN-05-02</w:t>
                      </w:r>
                    </w:p>
                  </w:tc>
                  <w:tc>
                    <w:tcPr>
                      <w:tcW w:w="1843"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rPr>
                        <w:t>01</w:t>
                      </w:r>
                    </w:p>
                  </w:tc>
                  <w:tc>
                    <w:tcPr>
                      <w:tcW w:w="3543" w:type="dxa"/>
                      <w:tcBorders>
                        <w:top w:val="single" w:sz="8" w:space="0" w:color="auto"/>
                        <w:left w:val="single" w:sz="8" w:space="0" w:color="auto"/>
                        <w:bottom w:val="single" w:sz="8" w:space="0" w:color="auto"/>
                        <w:right w:val="single" w:sz="8" w:space="0" w:color="auto"/>
                      </w:tcBorders>
                    </w:tcPr>
                    <w:p>
                      <w:pPr>
                        <w:rPr>
                          <w:i/>
                          <w:iCs/>
                          <w:szCs w:val="24"/>
                        </w:rPr>
                      </w:pPr>
                      <w:r>
                        <w:rPr>
                          <w:szCs w:val="24"/>
                        </w:rPr>
                        <w:t>Fiksuotoji norma, taikoma, kai priklauso nuo 21 iki 25 d. d. (jeigu dirbama 5 d. d. per savaitę) arba nuo 25 iki 30 d. d. (jeigu dirbama 6 d. d. per savaitę) kasmetinės atostogos</w:t>
                      </w:r>
                    </w:p>
                  </w:tc>
                  <w:tc>
                    <w:tcPr>
                      <w:tcW w:w="4793" w:type="dxa"/>
                      <w:tcBorders>
                        <w:top w:val="single" w:sz="8" w:space="0" w:color="auto"/>
                        <w:left w:val="single" w:sz="8" w:space="0" w:color="auto"/>
                        <w:bottom w:val="single" w:sz="8" w:space="0" w:color="auto"/>
                        <w:right w:val="single" w:sz="8" w:space="0" w:color="auto"/>
                      </w:tcBorders>
                    </w:tcPr>
                    <w:p>
                      <w:pPr>
                        <w:rPr>
                          <w:i/>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tc>
                    <w:tcPr>
                      <w:tcW w:w="2710" w:type="dxa"/>
                      <w:tcBorders>
                        <w:top w:val="single" w:sz="8" w:space="0" w:color="auto"/>
                        <w:left w:val="single" w:sz="8" w:space="0" w:color="auto"/>
                        <w:bottom w:val="single" w:sz="8" w:space="0" w:color="auto"/>
                        <w:right w:val="single" w:sz="8" w:space="0" w:color="auto"/>
                      </w:tcBorders>
                    </w:tcPr>
                    <w:p>
                      <w:pPr>
                        <w:rPr>
                          <w:szCs w:val="24"/>
                        </w:rPr>
                      </w:pPr>
                      <w:r>
                        <w:rPr>
                          <w:szCs w:val="24"/>
                        </w:rPr>
                        <w:t xml:space="preserve">Kasmetinių atostogų  išlaidos</w:t>
                      </w:r>
                    </w:p>
                  </w:tc>
                  <w:tc>
                    <w:tcPr>
                      <w:tcW w:w="1985"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rPr>
                        <w:t>FN-05-03</w:t>
                      </w:r>
                    </w:p>
                  </w:tc>
                  <w:tc>
                    <w:tcPr>
                      <w:tcW w:w="1843"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rPr>
                        <w:t>01</w:t>
                      </w:r>
                    </w:p>
                  </w:tc>
                  <w:tc>
                    <w:tcPr>
                      <w:tcW w:w="3543" w:type="dxa"/>
                      <w:tcBorders>
                        <w:top w:val="single" w:sz="8" w:space="0" w:color="auto"/>
                        <w:left w:val="single" w:sz="8" w:space="0" w:color="auto"/>
                        <w:bottom w:val="single" w:sz="8" w:space="0" w:color="auto"/>
                        <w:right w:val="single" w:sz="8" w:space="0" w:color="auto"/>
                      </w:tcBorders>
                    </w:tcPr>
                    <w:p>
                      <w:pPr>
                        <w:rPr>
                          <w:i/>
                          <w:iCs/>
                          <w:szCs w:val="24"/>
                        </w:rPr>
                      </w:pPr>
                      <w:r>
                        <w:rPr>
                          <w:szCs w:val="24"/>
                        </w:rPr>
                        <w:t>Fiksuotoji norma, taikoma, kai priklauso nuo 26 iki 30 d. d. (jeigu dirbama 5 d. d. per savaitę) arba nuo 31 iki 36 d. d. (jeigu dirbama 6 d. d. per savaitę) kasmetinės atostogos</w:t>
                      </w:r>
                    </w:p>
                  </w:tc>
                  <w:tc>
                    <w:tcPr>
                      <w:tcW w:w="4793" w:type="dxa"/>
                      <w:tcBorders>
                        <w:top w:val="single" w:sz="8" w:space="0" w:color="auto"/>
                        <w:left w:val="single" w:sz="8" w:space="0" w:color="auto"/>
                        <w:bottom w:val="single" w:sz="8" w:space="0" w:color="auto"/>
                        <w:right w:val="single" w:sz="8" w:space="0" w:color="auto"/>
                      </w:tcBorders>
                    </w:tcPr>
                    <w:p>
                      <w:pPr>
                        <w:rPr>
                          <w:i/>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tc>
                    <w:tcPr>
                      <w:tcW w:w="2710" w:type="dxa"/>
                      <w:tcBorders>
                        <w:top w:val="single" w:sz="8" w:space="0" w:color="auto"/>
                        <w:left w:val="single" w:sz="8" w:space="0" w:color="auto"/>
                        <w:bottom w:val="single" w:sz="8" w:space="0" w:color="auto"/>
                        <w:right w:val="single" w:sz="8" w:space="0" w:color="auto"/>
                      </w:tcBorders>
                    </w:tcPr>
                    <w:p>
                      <w:pPr>
                        <w:rPr>
                          <w:szCs w:val="24"/>
                        </w:rPr>
                      </w:pPr>
                      <w:r>
                        <w:rPr>
                          <w:szCs w:val="24"/>
                        </w:rPr>
                        <w:t>Kasmetinių atostogų išlaidos</w:t>
                      </w:r>
                    </w:p>
                  </w:tc>
                  <w:tc>
                    <w:tcPr>
                      <w:tcW w:w="1985"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FN-05-04</w:t>
                      </w:r>
                    </w:p>
                  </w:tc>
                  <w:tc>
                    <w:tcPr>
                      <w:tcW w:w="1843"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01</w:t>
                      </w:r>
                    </w:p>
                  </w:tc>
                  <w:tc>
                    <w:tcPr>
                      <w:tcW w:w="3543" w:type="dxa"/>
                      <w:tcBorders>
                        <w:top w:val="single" w:sz="8" w:space="0" w:color="auto"/>
                        <w:left w:val="single" w:sz="8" w:space="0" w:color="auto"/>
                        <w:bottom w:val="single" w:sz="8" w:space="0" w:color="auto"/>
                        <w:right w:val="single" w:sz="8" w:space="0" w:color="auto"/>
                      </w:tcBorders>
                      <w:vAlign w:val="bottom"/>
                    </w:tcPr>
                    <w:p>
                      <w:pPr>
                        <w:rPr>
                          <w:szCs w:val="24"/>
                        </w:rPr>
                      </w:pPr>
                      <w:r>
                        <w:rPr>
                          <w:szCs w:val="24"/>
                        </w:rPr>
                        <w:t>Fiksuotoji norma, taikoma, kai priklauso nuo 31 iki 36 d. d. (jeigu dirbama 5 d. d. per savaitę) arba nuo 37 iki 42 d. d. (jeigu dirbama 6 d. d. per savaitę) kasmetinės atostogos</w:t>
                      </w:r>
                    </w:p>
                  </w:tc>
                  <w:tc>
                    <w:tcPr>
                      <w:tcW w:w="4793" w:type="dxa"/>
                      <w:tcBorders>
                        <w:top w:val="single" w:sz="8" w:space="0" w:color="auto"/>
                        <w:left w:val="single" w:sz="8" w:space="0" w:color="auto"/>
                        <w:bottom w:val="single" w:sz="8" w:space="0" w:color="auto"/>
                        <w:right w:val="single" w:sz="8" w:space="0" w:color="auto"/>
                      </w:tcBorders>
                    </w:tcPr>
                    <w:p>
                      <w:pPr>
                        <w:rPr>
                          <w:i/>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tc>
                    <w:tcPr>
                      <w:tcW w:w="2710" w:type="dxa"/>
                      <w:tcBorders>
                        <w:top w:val="single" w:sz="8" w:space="0" w:color="auto"/>
                        <w:left w:val="single" w:sz="8" w:space="0" w:color="auto"/>
                        <w:bottom w:val="single" w:sz="8" w:space="0" w:color="auto"/>
                        <w:right w:val="single" w:sz="8" w:space="0" w:color="auto"/>
                      </w:tcBorders>
                    </w:tcPr>
                    <w:p>
                      <w:pPr>
                        <w:rPr>
                          <w:szCs w:val="24"/>
                        </w:rPr>
                      </w:pPr>
                      <w:r>
                        <w:rPr>
                          <w:szCs w:val="24"/>
                        </w:rPr>
                        <w:t>Kasmetinių atostogų išlaidos</w:t>
                      </w:r>
                    </w:p>
                  </w:tc>
                  <w:tc>
                    <w:tcPr>
                      <w:tcW w:w="1985"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FN-05-05</w:t>
                      </w:r>
                    </w:p>
                  </w:tc>
                  <w:tc>
                    <w:tcPr>
                      <w:tcW w:w="1843"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01</w:t>
                      </w:r>
                    </w:p>
                  </w:tc>
                  <w:tc>
                    <w:tcPr>
                      <w:tcW w:w="3543" w:type="dxa"/>
                      <w:tcBorders>
                        <w:top w:val="single" w:sz="8" w:space="0" w:color="auto"/>
                        <w:left w:val="single" w:sz="8" w:space="0" w:color="auto"/>
                        <w:bottom w:val="single" w:sz="8" w:space="0" w:color="auto"/>
                        <w:right w:val="single" w:sz="8" w:space="0" w:color="auto"/>
                      </w:tcBorders>
                      <w:vAlign w:val="bottom"/>
                    </w:tcPr>
                    <w:p>
                      <w:pPr>
                        <w:rPr>
                          <w:szCs w:val="24"/>
                        </w:rPr>
                      </w:pPr>
                      <w:r>
                        <w:rPr>
                          <w:szCs w:val="24"/>
                        </w:rPr>
                        <w:t>Fiksuotoji norma, taikoma, kai priklauso nuo 37 iki 39 d. d. (jeigu dirbama 5 d. d. per savaitę) arba nuo 43 iki 47 d. d. (jeigu dirbama 6 d. d. per savaitę) kasmetinės atostogos</w:t>
                      </w:r>
                    </w:p>
                  </w:tc>
                  <w:tc>
                    <w:tcPr>
                      <w:tcW w:w="4793" w:type="dxa"/>
                      <w:tcBorders>
                        <w:top w:val="single" w:sz="8" w:space="0" w:color="auto"/>
                        <w:left w:val="single" w:sz="8" w:space="0" w:color="auto"/>
                        <w:bottom w:val="single" w:sz="8" w:space="0" w:color="auto"/>
                        <w:right w:val="single" w:sz="8" w:space="0" w:color="auto"/>
                      </w:tcBorders>
                    </w:tcPr>
                    <w:p>
                      <w:pPr>
                        <w:rPr>
                          <w:i/>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tc>
                    <w:tcPr>
                      <w:tcW w:w="2710" w:type="dxa"/>
                      <w:tcBorders>
                        <w:top w:val="single" w:sz="8" w:space="0" w:color="auto"/>
                        <w:left w:val="single" w:sz="8" w:space="0" w:color="auto"/>
                        <w:bottom w:val="single" w:sz="8" w:space="0" w:color="auto"/>
                        <w:right w:val="single" w:sz="8" w:space="0" w:color="auto"/>
                      </w:tcBorders>
                    </w:tcPr>
                    <w:p>
                      <w:pPr>
                        <w:rPr>
                          <w:szCs w:val="24"/>
                        </w:rPr>
                      </w:pPr>
                      <w:r>
                        <w:rPr>
                          <w:szCs w:val="24"/>
                        </w:rPr>
                        <w:t>Kasmetinių atostogų išlaidos</w:t>
                      </w:r>
                    </w:p>
                  </w:tc>
                  <w:tc>
                    <w:tcPr>
                      <w:tcW w:w="1985"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FN-05-06</w:t>
                      </w:r>
                    </w:p>
                  </w:tc>
                  <w:tc>
                    <w:tcPr>
                      <w:tcW w:w="1843"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01</w:t>
                      </w:r>
                    </w:p>
                  </w:tc>
                  <w:tc>
                    <w:tcPr>
                      <w:tcW w:w="3543" w:type="dxa"/>
                      <w:tcBorders>
                        <w:top w:val="single" w:sz="8" w:space="0" w:color="auto"/>
                        <w:left w:val="single" w:sz="8" w:space="0" w:color="auto"/>
                        <w:bottom w:val="single" w:sz="8" w:space="0" w:color="auto"/>
                        <w:right w:val="single" w:sz="8" w:space="0" w:color="auto"/>
                      </w:tcBorders>
                      <w:vAlign w:val="bottom"/>
                    </w:tcPr>
                    <w:p>
                      <w:pPr>
                        <w:rPr>
                          <w:szCs w:val="24"/>
                        </w:rPr>
                      </w:pPr>
                      <w:r>
                        <w:rPr>
                          <w:szCs w:val="24"/>
                        </w:rPr>
                        <w:t>Fiksuotoji norma, taikoma, kai priklauso 40 d. d. (jeigu dirbama 5 d. d. per savaitę) arba 48 d. d. (jeigu dirbama 6 d. d. per savaitę) kasmetinės atostogos</w:t>
                      </w:r>
                    </w:p>
                  </w:tc>
                  <w:tc>
                    <w:tcPr>
                      <w:tcW w:w="4793" w:type="dxa"/>
                      <w:tcBorders>
                        <w:top w:val="single" w:sz="8" w:space="0" w:color="auto"/>
                        <w:left w:val="single" w:sz="8" w:space="0" w:color="auto"/>
                        <w:bottom w:val="single" w:sz="8" w:space="0" w:color="auto"/>
                        <w:right w:val="single" w:sz="8" w:space="0" w:color="auto"/>
                      </w:tcBorders>
                    </w:tcPr>
                    <w:p>
                      <w:pPr>
                        <w:rPr>
                          <w:i/>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tc>
                    <w:tcPr>
                      <w:tcW w:w="2710" w:type="dxa"/>
                      <w:tcBorders>
                        <w:top w:val="single" w:sz="8" w:space="0" w:color="auto"/>
                        <w:left w:val="single" w:sz="8" w:space="0" w:color="auto"/>
                        <w:bottom w:val="single" w:sz="8" w:space="0" w:color="auto"/>
                        <w:right w:val="single" w:sz="8" w:space="0" w:color="auto"/>
                      </w:tcBorders>
                    </w:tcPr>
                    <w:p>
                      <w:pPr>
                        <w:rPr>
                          <w:szCs w:val="24"/>
                        </w:rPr>
                      </w:pPr>
                      <w:r>
                        <w:rPr>
                          <w:szCs w:val="24"/>
                        </w:rPr>
                        <w:t>Kasmetinių atostogų išlaidos</w:t>
                      </w:r>
                    </w:p>
                  </w:tc>
                  <w:tc>
                    <w:tcPr>
                      <w:tcW w:w="1985"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FN-05-07</w:t>
                      </w:r>
                    </w:p>
                  </w:tc>
                  <w:tc>
                    <w:tcPr>
                      <w:tcW w:w="1843"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01</w:t>
                      </w:r>
                    </w:p>
                  </w:tc>
                  <w:tc>
                    <w:tcPr>
                      <w:tcW w:w="3543" w:type="dxa"/>
                      <w:tcBorders>
                        <w:top w:val="single" w:sz="8" w:space="0" w:color="auto"/>
                        <w:left w:val="single" w:sz="8" w:space="0" w:color="auto"/>
                        <w:bottom w:val="single" w:sz="8" w:space="0" w:color="auto"/>
                        <w:right w:val="single" w:sz="8" w:space="0" w:color="auto"/>
                      </w:tcBorders>
                      <w:vAlign w:val="bottom"/>
                    </w:tcPr>
                    <w:p>
                      <w:pPr>
                        <w:rPr>
                          <w:szCs w:val="24"/>
                        </w:rPr>
                      </w:pPr>
                      <w:r>
                        <w:rPr>
                          <w:szCs w:val="24"/>
                        </w:rPr>
                        <w:t>Fiksuotoji norma, taikoma, kai priklauso nuo 41 d. d. (jeigu dirbama 5 d. d. per savaitę) arba nuo 49 d. d. (jeigu dirbama 6 d. d. per savaitę) kasmetinės atostogos</w:t>
                      </w:r>
                    </w:p>
                  </w:tc>
                  <w:tc>
                    <w:tcPr>
                      <w:tcW w:w="4793" w:type="dxa"/>
                      <w:tcBorders>
                        <w:top w:val="single" w:sz="8" w:space="0" w:color="auto"/>
                        <w:left w:val="single" w:sz="8" w:space="0" w:color="auto"/>
                        <w:bottom w:val="single" w:sz="8" w:space="0" w:color="auto"/>
                        <w:right w:val="single" w:sz="8" w:space="0" w:color="auto"/>
                      </w:tcBorders>
                    </w:tcPr>
                    <w:p>
                      <w:pPr>
                        <w:rPr>
                          <w:i/>
                          <w:szCs w:val="24"/>
                        </w:rPr>
                      </w:pPr>
                      <w:r>
                        <w:rPr>
                          <w:szCs w:val="24"/>
                        </w:rPr>
                        <w:t>Supaprastintai apmokamų išlaidų dydžių registras yra paskelbtas Europos Sąjungos investicijų interneto svetainėje adresu https://2021.esinvesticijos.lt/dokumentai/supaprastintai-apmokamu-islaidu-dydziu-registras</w:t>
                      </w:r>
                    </w:p>
                  </w:tc>
                </w:tr>
              </w:tbl>
              <w:p>
                <w:pPr>
                  <w:jc w:val="both"/>
                  <w:rPr>
                    <w:i/>
                    <w:iCs/>
                    <w:sz w:val="22"/>
                    <w:szCs w:val="22"/>
                  </w:rPr>
                </w:pPr>
              </w:p>
            </w:tc>
          </w:tr>
        </w:tbl>
        <w:p>
          <w:pPr>
            <w:spacing w:line="276" w:lineRule="auto"/>
            <w:jc w:val="center"/>
            <w:rPr>
              <w:rFonts w:eastAsia="Calibri"/>
              <w:sz w:val="22"/>
              <w:szCs w:val="22"/>
            </w:rPr>
          </w:pPr>
        </w:p>
        <w:sdt>
          <w:sdtPr>
            <w:alias w:val="pabaiga"/>
            <w:tag w:val="part_fb240c21d0814af9b459515e743f8588"/>
            <w:lock w:val="sdtLocked"/>
            <w:richText/>
          </w:sdtPr>
          <w:sdtContent>
            <w:p>
              <w:pPr>
                <w:spacing w:line="276" w:lineRule="auto"/>
                <w:jc w:val="center"/>
                <w:rPr>
                  <w:rFonts w:eastAsia="Calibri"/>
                  <w:szCs w:val="24"/>
                </w:rPr>
              </w:pPr>
              <w:r>
                <w:rPr>
                  <w:rFonts w:eastAsia="Calibri"/>
                  <w:szCs w:val="24"/>
                </w:rPr>
                <w:t>________________</w:t>
              </w:r>
            </w:p>
            <w:p>
              <w:pPr>
                <w:spacing w:line="276" w:lineRule="auto"/>
                <w:rPr>
                  <w:sz w:val="22"/>
                  <w:szCs w:val="22"/>
                </w:rPr>
              </w:pPr>
            </w:p>
            <w:p>
              <w:pPr>
                <w:ind w:left="9923"/>
                <w:rPr>
                  <w:szCs w:val="24"/>
                </w:rPr>
                <w:sectPr>
                  <w:headerReference w:type="even" r:id="rId15"/>
                  <w:headerReference w:type="default" r:id="rId16"/>
                  <w:footerReference w:type="even" r:id="rId17"/>
                  <w:footerReference w:type="default" r:id="rId18"/>
                  <w:headerReference w:type="first" r:id="rId19"/>
                  <w:footerReference w:type="first" r:id="rId20"/>
                  <w:pgSz w:w="16838" w:h="11906" w:orient="landscape"/>
                  <w:pgMar w:top="1135" w:right="567" w:bottom="992" w:left="1134" w:header="567" w:footer="567" w:gutter="0"/>
                  <w:cols w:space="1296"/>
                  <w:titlePg/>
                  <w:docGrid w:linePitch="360"/>
                </w:sectPr>
              </w:pPr>
            </w:p>
            <w:p>
              <w:pPr>
                <w:tabs>
                  <w:tab w:val="center" w:pos="4680"/>
                  <w:tab w:val="right" w:pos="9360"/>
                </w:tabs>
                <w:rPr>
                  <w:sz w:val="22"/>
                  <w:szCs w:val="22"/>
                  <w:lang w:eastAsia="lt-LT"/>
                </w:rPr>
              </w:pPr>
            </w:p>
            <w:p>
              <w:pPr>
                <w:tabs>
                  <w:tab w:val="center" w:pos="4986"/>
                  <w:tab w:val="right" w:pos="9972"/>
                </w:tabs>
              </w:pPr>
            </w:p>
          </w:sdtContent>
        </w:sdt>
      </w:sdtContent>
    </w:sdt>
    <w:sdt>
      <w:sdtPr>
        <w:alias w:val="pr."/>
        <w:tag w:val="part_6028392708554ec1a00689fa1be4ae36"/>
        <w:lock w:val="sdtLocked"/>
        <w:richText/>
      </w:sdtPr>
      <w:sdtContent>
        <w:p>
          <w:pPr>
            <w:ind w:left="9639"/>
          </w:pPr>
          <w:r>
            <w:t>2022–2030 metų sveikatos priežiūros kokybės ir efektyvumo didinimo plėtros programos pažangos priemonės Nr. 11-002-11-01 „Gerinti sveikatos priežiūros paslaugų kokybę ir prieinamumą“ projektų finansavimo sąlygų aprašo Nr. 15</w:t>
          </w:r>
        </w:p>
        <w:p>
          <w:pPr>
            <w:ind w:left="9639"/>
            <w:rPr>
              <w:szCs w:val="24"/>
              <w:lang w:eastAsia="lt-LT"/>
            </w:rPr>
          </w:pPr>
          <w:r>
            <w:t>priedas</w:t>
          </w:r>
        </w:p>
        <w:p>
          <w:pPr>
            <w:jc w:val="center"/>
            <w:rPr>
              <w:i/>
              <w:iCs/>
              <w:szCs w:val="24"/>
            </w:rPr>
          </w:pPr>
        </w:p>
        <w:p>
          <w:pPr>
            <w:jc w:val="center"/>
            <w:rPr>
              <w:rFonts w:eastAsia="Calibri"/>
              <w:b/>
              <w:bCs/>
              <w:szCs w:val="24"/>
            </w:rPr>
          </w:pPr>
          <w:sdt>
            <w:sdtPr>
              <w:alias w:val="Pavadinimas"/>
              <w:tag w:val="title_6028392708554ec1a00689fa1be4ae36"/>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t xml:space="preserve">X </w:t>
          </w:r>
          <w:r>
            <w:rPr>
              <w:rFonts w:eastAsia="Calibri"/>
              <w:bCs/>
              <w:szCs w:val="24"/>
            </w:rPr>
            <w:t>Ekonomikos gaivinimo ir atsparumo didinimo priemonė (toliau – EGADP)</w:t>
          </w:r>
        </w:p>
        <w:p>
          <w:pPr>
            <w:spacing w:line="276" w:lineRule="auto"/>
            <w:jc w:val="both"/>
            <w:rPr>
              <w:rFonts w:eastAsia="Calibri"/>
              <w:bCs/>
              <w:szCs w:val="24"/>
            </w:rPr>
          </w:pPr>
          <w:r>
            <w:sym w:font="Wingdings 2" w:char="00A3"/>
            <w:t xml:space="preserve"> Europos Sąjungos fondų i</w:t>
          </w:r>
          <w:r>
            <w:rPr>
              <w:rFonts w:eastAsia="Calibri"/>
              <w:bCs/>
              <w:szCs w:val="24"/>
            </w:rPr>
            <w:t>nvesticijų programa (toliau – ESFIP)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tc>
              <w:tcPr>
                <w:tcW w:w="4933" w:type="dxa"/>
              </w:tcPr>
              <w:p>
                <w:pPr>
                  <w:jc w:val="center"/>
                  <w:rPr>
                    <w:rFonts w:eastAsia="Calibri"/>
                    <w:b/>
                    <w:szCs w:val="24"/>
                  </w:rPr>
                </w:pPr>
                <w:r>
                  <w:rPr>
                    <w:rFonts w:eastAsia="Calibri"/>
                    <w:b/>
                    <w:szCs w:val="24"/>
                  </w:rPr>
                  <w:t>Aplinkos tikslai</w:t>
                </w:r>
              </w:p>
              <w:p>
                <w:pPr>
                  <w:jc w:val="both"/>
                  <w:rPr>
                    <w:rFonts w:eastAsia="Calibri"/>
                    <w:szCs w:val="24"/>
                  </w:rPr>
                </w:pPr>
                <w:r>
                  <w:rPr>
                    <w:rFonts w:eastAsia="Calibri"/>
                    <w:szCs w:val="24"/>
                  </w:rPr>
                  <w:t>(</w:t>
                </w:r>
                <w:r>
                  <w:rPr>
                    <w:rFonts w:eastAsia="Calibri"/>
                    <w:i/>
                    <w:szCs w:val="24"/>
                  </w:rPr>
                  <w:t xml:space="preserve">pagal 2020 m. birželio 18 d. Europos Parlamento ir Tarybos reglamentą </w:t>
                </w:r>
                <w:r>
                  <w:rPr>
                    <w:rFonts w:eastAsia="Calibri"/>
                    <w:i/>
                    <w:szCs w:val="24"/>
                  </w:rPr>
                  <w:t>(ES) 2020/852</w:t>
                </w:r>
                <w:r>
                  <w:rPr>
                    <w:rFonts w:eastAsia="Calibri"/>
                    <w:i/>
                    <w:szCs w:val="24"/>
                  </w:rPr>
                  <w:t xml:space="preserve"> dėl sistemos tvariam investavimui palengvinti sukūrimo, kuriuo iš dalies keičiamas Reglamentas </w:t>
                </w:r>
                <w:r>
                  <w:rPr>
                    <w:rFonts w:eastAsia="Calibri"/>
                    <w:i/>
                    <w:szCs w:val="24"/>
                  </w:rPr>
                  <w:t>(ES) Nr. 2019/2088</w:t>
                </w:r>
                <w:r>
                  <w:rPr>
                    <w:rFonts w:eastAsia="Calibri"/>
                    <w:i/>
                    <w:szCs w:val="24"/>
                  </w:rPr>
                  <w:t>)</w:t>
                </w:r>
              </w:p>
            </w:tc>
            <w:tc>
              <w:tcPr>
                <w:tcW w:w="4678" w:type="dxa"/>
              </w:tcPr>
              <w:p>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pPr>
                  <w:jc w:val="center"/>
                  <w:rPr>
                    <w:rFonts w:eastAsia="Calibri"/>
                    <w:b/>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933" w:type="dxa"/>
              </w:tcPr>
              <w:p>
                <w:pPr>
                  <w:tabs>
                    <w:tab w:val="left" w:pos="289"/>
                  </w:tabs>
                  <w:ind w:firstLine="5"/>
                  <w:jc w:val="both"/>
                  <w:rPr>
                    <w:rFonts w:eastAsia="Calibri"/>
                    <w:szCs w:val="24"/>
                  </w:rPr>
                </w:pPr>
                <w:r>
                  <w:rPr>
                    <w:rFonts w:eastAsia="Calibri"/>
                    <w:szCs w:val="24"/>
                  </w:rPr>
                  <w:t>1.</w:t>
                  <w:tab/>
                  <w:t>Klimato kaitos švelninimas</w:t>
                </w:r>
              </w:p>
            </w:tc>
            <w:tc>
              <w:tcPr>
                <w:tcW w:w="4678" w:type="dxa"/>
              </w:tcPr>
              <w:p>
                <w:pPr>
                  <w:jc w:val="both"/>
                  <w:rPr>
                    <w:rFonts w:eastAsia="Calibri"/>
                    <w:bCs/>
                    <w:iCs/>
                    <w:szCs w:val="24"/>
                  </w:rPr>
                </w:pPr>
                <w:r>
                  <w:rPr>
                    <w:rFonts w:eastAsia="Calibri"/>
                    <w:bCs/>
                    <w:iCs/>
                    <w:szCs w:val="24"/>
                  </w:rPr>
                  <w:t xml:space="preserve">Vertinama, kad planuojamos įgyvendinti veiklos dėl savo pobūdžio neturės jokio neigiamo tiesioginio ar netiesioginio poveikio šiam aplinkos tikslui arba numatomas jų poveikis yra nereikšmingas, t. y. nenumatoma, kad įgyvendinamos veiklos prisidės prie šiltnamio efektą sukeliančių dujų išsiskyrimo. </w:t>
                </w:r>
              </w:p>
              <w:p>
                <w:pPr>
                  <w:jc w:val="both"/>
                  <w:rPr>
                    <w:rFonts w:eastAsia="Calibri"/>
                    <w:bCs/>
                    <w:i/>
                    <w:sz w:val="20"/>
                  </w:rPr>
                </w:pPr>
              </w:p>
            </w:tc>
            <w:tc>
              <w:tcPr>
                <w:tcW w:w="5387" w:type="dxa"/>
              </w:tcPr>
              <w:p>
                <w:pPr>
                  <w:tabs>
                    <w:tab w:val="left" w:pos="589"/>
                  </w:tabs>
                  <w:jc w:val="both"/>
                  <w:rPr>
                    <w:szCs w:val="24"/>
                  </w:rPr>
                </w:pPr>
                <w:r>
                  <w:rPr>
                    <w:rFonts w:eastAsia="Calibri"/>
                    <w:bCs/>
                    <w:iCs/>
                    <w:szCs w:val="24"/>
                  </w:rPr>
                  <w:t xml:space="preserve">Netaikoma, nes veiklos apima </w:t>
                </w:r>
                <w:r>
                  <w:rPr>
                    <w:szCs w:val="24"/>
                  </w:rPr>
                  <w:t xml:space="preserve">ilgalaikės priežiūros paslaugas teikiančių specialistų mokymą. </w:t>
                </w:r>
              </w:p>
              <w:p>
                <w:pPr>
                  <w:tabs>
                    <w:tab w:val="left" w:pos="589"/>
                  </w:tabs>
                  <w:jc w:val="both"/>
                  <w:rPr>
                    <w:rFonts w:eastAsia="Calibri"/>
                    <w:iCs/>
                    <w:sz w:val="20"/>
                  </w:rPr>
                </w:pPr>
              </w:p>
            </w:tc>
          </w:tr>
          <w:tr>
            <w:tc>
              <w:tcPr>
                <w:tcW w:w="4933" w:type="dxa"/>
              </w:tcPr>
              <w:p>
                <w:pPr>
                  <w:tabs>
                    <w:tab w:val="left" w:pos="289"/>
                  </w:tabs>
                  <w:ind w:firstLine="5"/>
                  <w:jc w:val="both"/>
                  <w:rPr>
                    <w:rFonts w:eastAsia="Calibri"/>
                    <w:szCs w:val="24"/>
                  </w:rPr>
                </w:pPr>
                <w:r>
                  <w:rPr>
                    <w:rFonts w:eastAsia="Calibri"/>
                    <w:szCs w:val="24"/>
                  </w:rPr>
                  <w:t>2.</w:t>
                  <w:tab/>
                  <w:t>Prisitaikymas prie klimato kaitos</w:t>
                </w:r>
              </w:p>
            </w:tc>
            <w:tc>
              <w:tcPr>
                <w:tcW w:w="4678" w:type="dxa"/>
              </w:tcPr>
              <w:p>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klimatui, žmonėms, gamtai ar turtui.</w:t>
                </w:r>
              </w:p>
              <w:p>
                <w:pPr>
                  <w:jc w:val="both"/>
                  <w:rPr>
                    <w:rFonts w:eastAsia="Calibri"/>
                    <w:bCs/>
                    <w:szCs w:val="24"/>
                  </w:rPr>
                </w:pPr>
              </w:p>
            </w:tc>
            <w:tc>
              <w:tcPr>
                <w:tcW w:w="5387" w:type="dxa"/>
              </w:tcPr>
              <w:p>
                <w:pPr>
                  <w:tabs>
                    <w:tab w:val="left" w:pos="589"/>
                  </w:tabs>
                  <w:jc w:val="both"/>
                  <w:rPr>
                    <w:szCs w:val="24"/>
                  </w:rPr>
                </w:pPr>
                <w:r>
                  <w:rPr>
                    <w:rFonts w:eastAsia="Calibri"/>
                    <w:bCs/>
                    <w:iCs/>
                    <w:szCs w:val="24"/>
                  </w:rPr>
                  <w:t xml:space="preserve">Netaikoma, nes veiklos apima </w:t>
                </w:r>
                <w:r>
                  <w:rPr>
                    <w:szCs w:val="24"/>
                  </w:rPr>
                  <w:t xml:space="preserve">ilgalaikės priežiūros paslaugas teikiančių specialistų mokymą. </w:t>
                </w:r>
              </w:p>
              <w:p>
                <w:pPr>
                  <w:jc w:val="both"/>
                  <w:rPr>
                    <w:rFonts w:eastAsia="Calibri"/>
                    <w:szCs w:val="24"/>
                  </w:rPr>
                </w:pPr>
              </w:p>
            </w:tc>
          </w:tr>
          <w:tr>
            <w:tc>
              <w:tcPr>
                <w:tcW w:w="4933"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78" w:type="dxa"/>
              </w:tcPr>
              <w:p>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tausiajam vandens ir jūrų išteklių naudojimui. Į</w:t>
                </w:r>
                <w:r>
                  <w:rPr>
                    <w:rFonts w:eastAsia="Calibri"/>
                  </w:rPr>
                  <w:t>gyvendinant projektą nenumatoma naudoti vandens ir jūrų išteklių.</w:t>
                </w:r>
              </w:p>
              <w:p>
                <w:pPr>
                  <w:jc w:val="both"/>
                  <w:rPr>
                    <w:rFonts w:eastAsia="Calibri"/>
                    <w:szCs w:val="24"/>
                  </w:rPr>
                </w:pPr>
              </w:p>
            </w:tc>
            <w:tc>
              <w:tcPr>
                <w:tcW w:w="5387" w:type="dxa"/>
              </w:tcPr>
              <w:p>
                <w:pPr>
                  <w:tabs>
                    <w:tab w:val="left" w:pos="589"/>
                  </w:tabs>
                  <w:jc w:val="both"/>
                  <w:rPr>
                    <w:szCs w:val="24"/>
                  </w:rPr>
                </w:pPr>
                <w:r>
                  <w:rPr>
                    <w:rFonts w:eastAsia="Calibri"/>
                    <w:bCs/>
                    <w:iCs/>
                    <w:szCs w:val="24"/>
                  </w:rPr>
                  <w:t xml:space="preserve">Netaikoma, nes veiklos apima </w:t>
                </w:r>
                <w:r>
                  <w:rPr>
                    <w:szCs w:val="24"/>
                  </w:rPr>
                  <w:t xml:space="preserve">ilgalaikės priežiūros paslaugas teikiančių specialistų mokymą. </w:t>
                </w:r>
              </w:p>
              <w:p>
                <w:pPr>
                  <w:jc w:val="both"/>
                  <w:rPr>
                    <w:rFonts w:eastAsia="Calibri"/>
                    <w:bCs/>
                    <w:szCs w:val="24"/>
                  </w:rPr>
                </w:pPr>
              </w:p>
            </w:tc>
          </w:tr>
          <w:tr>
            <w:tc>
              <w:tcPr>
                <w:tcW w:w="4933"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78" w:type="dxa"/>
              </w:tcPr>
              <w:p>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nes vykdant veiklas nenumatoma kurti infrastruktūros, kuri galėtų daryti žalą </w:t>
                </w:r>
                <w:r>
                  <w:rPr>
                    <w:bCs/>
                    <w:szCs w:val="24"/>
                    <w:shd w:val="clear" w:color="auto" w:fill="FFFFFF"/>
                  </w:rPr>
                  <w:t>žiedinei ekonomikai</w:t>
                </w:r>
                <w:r>
                  <w:rPr>
                    <w:bCs/>
                    <w:szCs w:val="24"/>
                  </w:rPr>
                  <w:t xml:space="preserve">, įskaitant atliekų prevenciją ir perdirbimą. </w:t>
                </w:r>
                <w:r>
                  <w:rPr>
                    <w:bCs/>
                  </w:rPr>
                  <w:t>Nenumatoma, kad įgyvendinant projektą galėtų susidaryti atliekų.</w:t>
                </w:r>
              </w:p>
              <w:p>
                <w:pPr>
                  <w:jc w:val="both"/>
                  <w:rPr>
                    <w:rFonts w:eastAsia="Calibri"/>
                    <w:bCs/>
                    <w:szCs w:val="24"/>
                  </w:rPr>
                </w:pPr>
              </w:p>
            </w:tc>
            <w:tc>
              <w:tcPr>
                <w:tcW w:w="5387" w:type="dxa"/>
              </w:tcPr>
              <w:p>
                <w:pPr>
                  <w:tabs>
                    <w:tab w:val="left" w:pos="589"/>
                  </w:tabs>
                  <w:jc w:val="both"/>
                  <w:rPr>
                    <w:szCs w:val="24"/>
                  </w:rPr>
                </w:pPr>
                <w:r>
                  <w:rPr>
                    <w:rFonts w:eastAsia="Calibri"/>
                    <w:bCs/>
                    <w:iCs/>
                    <w:szCs w:val="24"/>
                  </w:rPr>
                  <w:t xml:space="preserve">Netaikoma, nes veiklos apima </w:t>
                </w:r>
                <w:r>
                  <w:rPr>
                    <w:szCs w:val="24"/>
                  </w:rPr>
                  <w:t xml:space="preserve">ilgalaikės priežiūros paslaugas teikiančių specialistų mokymą. </w:t>
                </w:r>
              </w:p>
              <w:p>
                <w:pPr>
                  <w:jc w:val="both"/>
                  <w:rPr>
                    <w:rFonts w:eastAsia="Calibri"/>
                    <w:szCs w:val="24"/>
                  </w:rPr>
                </w:pPr>
              </w:p>
            </w:tc>
          </w:tr>
          <w:tr>
            <w:tc>
              <w:tcPr>
                <w:tcW w:w="4933"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78" w:type="dxa"/>
              </w:tcPr>
              <w:p>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p>
                <w:pPr>
                  <w:jc w:val="both"/>
                  <w:rPr>
                    <w:rFonts w:eastAsia="Calibri"/>
                    <w:szCs w:val="24"/>
                  </w:rPr>
                </w:pPr>
              </w:p>
            </w:tc>
            <w:tc>
              <w:tcPr>
                <w:tcW w:w="5387" w:type="dxa"/>
              </w:tcPr>
              <w:p>
                <w:pPr>
                  <w:tabs>
                    <w:tab w:val="left" w:pos="589"/>
                  </w:tabs>
                  <w:jc w:val="both"/>
                  <w:rPr>
                    <w:szCs w:val="24"/>
                  </w:rPr>
                </w:pPr>
                <w:r>
                  <w:rPr>
                    <w:rFonts w:eastAsia="Calibri"/>
                    <w:bCs/>
                    <w:iCs/>
                    <w:szCs w:val="24"/>
                  </w:rPr>
                  <w:t xml:space="preserve">Netaikoma, nes veiklos apima </w:t>
                </w:r>
                <w:r>
                  <w:rPr>
                    <w:szCs w:val="24"/>
                  </w:rPr>
                  <w:t xml:space="preserve">ilgalaikės priežiūros paslaugas teikiančių specialistų mokymą. </w:t>
                </w:r>
              </w:p>
              <w:p>
                <w:pPr>
                  <w:jc w:val="both"/>
                  <w:rPr>
                    <w:rFonts w:eastAsia="Calibri"/>
                    <w:szCs w:val="24"/>
                  </w:rPr>
                </w:pPr>
              </w:p>
            </w:tc>
          </w:tr>
          <w:tr>
            <w:tc>
              <w:tcPr>
                <w:tcW w:w="4933"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78" w:type="dxa"/>
              </w:tcPr>
              <w:p>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p>
                <w:pPr>
                  <w:jc w:val="both"/>
                  <w:rPr>
                    <w:bCs/>
                    <w:szCs w:val="24"/>
                  </w:rPr>
                </w:pPr>
              </w:p>
            </w:tc>
            <w:tc>
              <w:tcPr>
                <w:tcW w:w="5387" w:type="dxa"/>
              </w:tcPr>
              <w:p>
                <w:pPr>
                  <w:tabs>
                    <w:tab w:val="left" w:pos="589"/>
                  </w:tabs>
                  <w:jc w:val="both"/>
                  <w:rPr>
                    <w:szCs w:val="24"/>
                  </w:rPr>
                </w:pPr>
                <w:r>
                  <w:rPr>
                    <w:rFonts w:eastAsia="Calibri"/>
                    <w:bCs/>
                    <w:iCs/>
                    <w:szCs w:val="24"/>
                  </w:rPr>
                  <w:t xml:space="preserve">Netaikoma, nes veiklos apima </w:t>
                </w:r>
                <w:r>
                  <w:rPr>
                    <w:szCs w:val="24"/>
                  </w:rPr>
                  <w:t xml:space="preserve">ilgalaikės priežiūros paslaugas teikiančių specialistų mokymą. </w:t>
                </w:r>
              </w:p>
              <w:p>
                <w:pPr>
                  <w:jc w:val="both"/>
                  <w:rPr>
                    <w:rFonts w:eastAsia="Calibri"/>
                    <w:szCs w:val="24"/>
                  </w:rPr>
                </w:pPr>
              </w:p>
            </w:tc>
          </w:tr>
        </w:tbl>
        <w:p/>
        <w:sdt>
          <w:sdtPr>
            <w:alias w:val="pabaiga"/>
            <w:tag w:val="part_495344487e4941a28ce97999c92ca6e2"/>
            <w:lock w:val="sdtLocked"/>
            <w:richText/>
          </w:sdtPr>
          <w:sdtContent>
            <w:p>
              <w:pPr>
                <w:spacing w:line="276" w:lineRule="auto"/>
                <w:jc w:val="center"/>
                <w:rPr>
                  <w:sz w:val="22"/>
                  <w:szCs w:val="22"/>
                </w:rPr>
              </w:pPr>
              <w:r>
                <w:rPr>
                  <w:rFonts w:eastAsia="Calibri"/>
                  <w:sz w:val="22"/>
                  <w:szCs w:val="22"/>
                </w:rPr>
                <w:t>________________</w:t>
              </w:r>
            </w:p>
            <w:p>
              <w:pPr>
                <w:spacing w:line="276" w:lineRule="auto"/>
                <w:jc w:val="center"/>
                <w:rPr>
                  <w:szCs w:val="24"/>
                </w:rPr>
              </w:pPr>
            </w:p>
          </w:sdtContent>
        </w:sdt>
      </w:sdtContent>
    </w:sdt>
    <w:sectPr>
      <w:headerReference w:type="even" r:id="rId23"/>
      <w:headerReference w:type="default" r:id="rId24"/>
      <w:footerReference w:type="even" r:id="rId25"/>
      <w:footerReference w:type="default" r:id="rId26"/>
      <w:headerReference w:type="first" r:id="rId27"/>
      <w:footerReference w:type="first" r:id="rId28"/>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pPr>
      <w:tabs>
        <w:tab w:val="center" w:pos="4819"/>
        <w:tab w:val="right" w:pos="9638"/>
      </w:tabs>
      <w:jc w:val="right"/>
      <w:rPr>
        <w:sz w:val="22"/>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FAEE36C8-0F49-4154-8685-1A4E66E0946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474480">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70084612">
      <w:bodyDiv w:val="1"/>
      <w:marLeft w:val="0"/>
      <w:marRight w:val="0"/>
      <w:marTop w:val="0"/>
      <w:marBottom w:val="0"/>
      <w:divBdr>
        <w:top w:val="none" w:sz="0" w:space="0" w:color="auto"/>
        <w:left w:val="none" w:sz="0" w:space="0" w:color="auto"/>
        <w:bottom w:val="none" w:sz="0" w:space="0" w:color="auto"/>
        <w:right w:val="none" w:sz="0" w:space="0" w:color="auto"/>
      </w:divBdr>
    </w:div>
    <w:div w:id="204103240">
      <w:bodyDiv w:val="1"/>
      <w:marLeft w:val="0"/>
      <w:marRight w:val="0"/>
      <w:marTop w:val="0"/>
      <w:marBottom w:val="0"/>
      <w:divBdr>
        <w:top w:val="none" w:sz="0" w:space="0" w:color="auto"/>
        <w:left w:val="none" w:sz="0" w:space="0" w:color="auto"/>
        <w:bottom w:val="none" w:sz="0" w:space="0" w:color="auto"/>
        <w:right w:val="none" w:sz="0" w:space="0" w:color="auto"/>
      </w:divBdr>
    </w:div>
    <w:div w:id="285090885">
      <w:bodyDiv w:val="1"/>
      <w:marLeft w:val="0"/>
      <w:marRight w:val="0"/>
      <w:marTop w:val="0"/>
      <w:marBottom w:val="0"/>
      <w:divBdr>
        <w:top w:val="none" w:sz="0" w:space="0" w:color="auto"/>
        <w:left w:val="none" w:sz="0" w:space="0" w:color="auto"/>
        <w:bottom w:val="none" w:sz="0" w:space="0" w:color="auto"/>
        <w:right w:val="none" w:sz="0" w:space="0" w:color="auto"/>
      </w:divBdr>
    </w:div>
    <w:div w:id="451753492">
      <w:bodyDiv w:val="1"/>
      <w:marLeft w:val="0"/>
      <w:marRight w:val="0"/>
      <w:marTop w:val="0"/>
      <w:marBottom w:val="0"/>
      <w:divBdr>
        <w:top w:val="none" w:sz="0" w:space="0" w:color="auto"/>
        <w:left w:val="none" w:sz="0" w:space="0" w:color="auto"/>
        <w:bottom w:val="none" w:sz="0" w:space="0" w:color="auto"/>
        <w:right w:val="none" w:sz="0" w:space="0" w:color="auto"/>
      </w:divBdr>
    </w:div>
    <w:div w:id="458569366">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54155442">
      <w:bodyDiv w:val="1"/>
      <w:marLeft w:val="0"/>
      <w:marRight w:val="0"/>
      <w:marTop w:val="0"/>
      <w:marBottom w:val="0"/>
      <w:divBdr>
        <w:top w:val="none" w:sz="0" w:space="0" w:color="auto"/>
        <w:left w:val="none" w:sz="0" w:space="0" w:color="auto"/>
        <w:bottom w:val="none" w:sz="0" w:space="0" w:color="auto"/>
        <w:right w:val="none" w:sz="0" w:space="0" w:color="auto"/>
      </w:divBdr>
    </w:div>
    <w:div w:id="1342854728">
      <w:bodyDiv w:val="1"/>
      <w:marLeft w:val="0"/>
      <w:marRight w:val="0"/>
      <w:marTop w:val="0"/>
      <w:marBottom w:val="0"/>
      <w:divBdr>
        <w:top w:val="none" w:sz="0" w:space="0" w:color="auto"/>
        <w:left w:val="none" w:sz="0" w:space="0" w:color="auto"/>
        <w:bottom w:val="none" w:sz="0" w:space="0" w:color="auto"/>
        <w:right w:val="none" w:sz="0" w:space="0" w:color="auto"/>
      </w:divBdr>
    </w:div>
    <w:div w:id="1381322951">
      <w:bodyDiv w:val="1"/>
      <w:marLeft w:val="0"/>
      <w:marRight w:val="0"/>
      <w:marTop w:val="0"/>
      <w:marBottom w:val="0"/>
      <w:divBdr>
        <w:top w:val="none" w:sz="0" w:space="0" w:color="auto"/>
        <w:left w:val="none" w:sz="0" w:space="0" w:color="auto"/>
        <w:bottom w:val="none" w:sz="0" w:space="0" w:color="auto"/>
        <w:right w:val="none" w:sz="0" w:space="0" w:color="auto"/>
      </w:divBdr>
      <w:divsChild>
        <w:div w:id="1494372254">
          <w:marLeft w:val="0"/>
          <w:marRight w:val="0"/>
          <w:marTop w:val="0"/>
          <w:marBottom w:val="0"/>
          <w:divBdr>
            <w:top w:val="none" w:sz="0" w:space="0" w:color="auto"/>
            <w:left w:val="none" w:sz="0" w:space="0" w:color="auto"/>
            <w:bottom w:val="none" w:sz="0" w:space="0" w:color="auto"/>
            <w:right w:val="none" w:sz="0" w:space="0" w:color="auto"/>
          </w:divBdr>
        </w:div>
        <w:div w:id="205914187">
          <w:marLeft w:val="0"/>
          <w:marRight w:val="0"/>
          <w:marTop w:val="0"/>
          <w:marBottom w:val="0"/>
          <w:divBdr>
            <w:top w:val="none" w:sz="0" w:space="0" w:color="auto"/>
            <w:left w:val="none" w:sz="0" w:space="0" w:color="auto"/>
            <w:bottom w:val="none" w:sz="0" w:space="0" w:color="auto"/>
            <w:right w:val="none" w:sz="0" w:space="0" w:color="auto"/>
          </w:divBdr>
        </w:div>
      </w:divsChild>
    </w:div>
    <w:div w:id="171916499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43088445">
      <w:bodyDiv w:val="1"/>
      <w:marLeft w:val="0"/>
      <w:marRight w:val="0"/>
      <w:marTop w:val="0"/>
      <w:marBottom w:val="0"/>
      <w:divBdr>
        <w:top w:val="none" w:sz="0" w:space="0" w:color="auto"/>
        <w:left w:val="none" w:sz="0" w:space="0" w:color="auto"/>
        <w:bottom w:val="none" w:sz="0" w:space="0" w:color="auto"/>
        <w:right w:val="none" w:sz="0" w:space="0" w:color="auto"/>
      </w:divBdr>
    </w:div>
    <w:div w:id="1847747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5" Type="http://schemas.openxmlformats.org/officeDocument/2006/relationships/header" Target="header1.xml"/>
  <Relationship Id="rId16" Type="http://schemas.openxmlformats.org/officeDocument/2006/relationships/header" Target="header2.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header" Target="header3.xml"/>
  <Relationship Id="rId2" Type="http://schemas.openxmlformats.org/officeDocument/2006/relationships/customXml" Target="../customXml/item2.xml"/>
  <Relationship Id="rId20" Type="http://schemas.openxmlformats.org/officeDocument/2006/relationships/footer" Target="footer3.xml"/>
  <Relationship Id="rId23" Type="http://schemas.openxmlformats.org/officeDocument/2006/relationships/header" Target="header4.xml"/>
  <Relationship Id="rId24" Type="http://schemas.openxmlformats.org/officeDocument/2006/relationships/header" Target="header5.xml"/>
  <Relationship Id="rId25" Type="http://schemas.openxmlformats.org/officeDocument/2006/relationships/footer" Target="footer4.xml"/>
  <Relationship Id="rId26" Type="http://schemas.openxmlformats.org/officeDocument/2006/relationships/footer" Target="footer5.xml"/>
  <Relationship Id="rId27" Type="http://schemas.openxmlformats.org/officeDocument/2006/relationships/header" Target="header6.xml"/>
  <Relationship Id="rId28" Type="http://schemas.openxmlformats.org/officeDocument/2006/relationships/footer" Target="footer6.xml"/>
  <Relationship Id="rId29" Type="http://schemas.openxmlformats.org/officeDocument/2006/relationships/fontTable" Target="fontTable.xml"/>
  <Relationship Id="rId3" Type="http://schemas.openxmlformats.org/officeDocument/2006/relationships/customXml" Target="../customXml/item3.xml"/>
  <Relationship Id="rId30" Type="http://schemas.openxmlformats.org/officeDocument/2006/relationships/theme" Target="theme/theme1.xml"/>
  <Relationship Id="rId31" Type="http://schemas.openxmlformats.org/officeDocument/2006/relationships/customXml" Target="../customXml/item6.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15" Abbr="15 pr." Title="2022–2030 METŲ SVEIKATOS PRIEŽIŪROS KOKYBĖS IR EFEKTYVUMO DIDINIMO PLĖTROS PROGRAMOS PAŽANGOS PRIEMONĖS NR. 11-002-02-11-01 „GERINTI SVEIKATOS PRIEŽIŪROS PASLAUGŲ KOKYBĘ IR PRIEINAMUMĄ“ PROJEKTŲ FINANSAVIMO SĄLYGŲ APRAŠAS NR. 15" DocPartId="d6f346e242b44e53af27f8e6f7557916" PartId="18c659cbba5540afb68aa7a85cbe41d0">
    <Part Type="pabaiga" DocPartId="68351d90e75b4fe197c57bb3a5860a6e" PartId="fb240c21d0814af9b459515e743f8588"/>
  </Part>
  <Part Type="priedas" Abbr="pr." Title="PROJEKTO (ĮSKAITANT JUNGTINĮ PROJEKTĄ) ATITIKTIES REIKŠMINGOS ŽALOS NEDARYMO HORIZONTALIAJAM PRINCIPUI VERTINIMO REIKALAVIMŲ APRAŠAS" DocPartId="b563e99abf854f85bf0c447adbc1e536" PartId="6028392708554ec1a00689fa1be4ae36">
    <Part Type="pabaiga" DocPartId="5f53677903ea43cd8d0e136d871692ae" PartId="495344487e4941a28ce97999c92ca6e2"/>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D2DCBF2F-6D6E-4427-A820-F23C496E24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52AE3B0-FFF2-4C63-82AD-66F26DA23F60}">
  <ds:schemaRefs>
    <ds:schemaRef ds:uri="http://schemas.openxmlformats.org/officeDocument/2006/bibliography"/>
  </ds:schemaRefs>
</ds:datastoreItem>
</file>

<file path=customXml/itemProps5.xml><?xml version="1.0" encoding="utf-8"?>
<ds:datastoreItem xmlns:ds="http://schemas.openxmlformats.org/officeDocument/2006/customXml" ds:itemID="{9FE0FF58-5B16-41A8-A31E-CEAEABF07EB9}">
  <ds:schemaRefs>
    <ds:schemaRef ds:uri="http://schemas.openxmlformats.org/officeDocument/2006/bibliography"/>
  </ds:schemaRefs>
</ds:datastoreItem>
</file>

<file path=customXml/itemProps6.xml><?xml version="1.0" encoding="utf-8"?>
<ds:datastoreItem xmlns:ds="http://schemas.openxmlformats.org/officeDocument/2006/customXml" ds:itemID="{C6468D92-8292-4164-91DC-A2947E892AE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3650</Words>
  <Characters>27493</Characters>
  <Application>Microsoft Office Word</Application>
  <DocSecurity>4</DocSecurity>
  <Lines>670</Lines>
  <Paragraphs>273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 PFSA_IPP specialistų mokymai_07.27</vt:lpstr>
      <vt:lpstr>1. PFSA_IPP specialistų mokymai_07.27</vt:lpstr>
    </vt:vector>
  </TitlesOfParts>
  <Company>HP Inc.</Company>
  <LinksUpToDate>false</LinksUpToDate>
  <CharactersWithSpaces>30870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2024-05-20T05:05:00Z</dcterms:created>
  <dc:creator>Virginija Levinskienė</dc:creator>
  <lastModifiedBy>adlibuser</lastModifiedBy>
  <dcterms:modified xsi:type="dcterms:W3CDTF">2024-05-20T05:05:00Z</dcterms:modified>
  <revision>2</revision>
  <dc:title>1. PFSA_IPP specialistų mokymai_07.27</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244;#Sveikatos projektų skyrius|5908eca3-6d57-464f-8cbe-536f81c5e307;#3308;#Procesų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743;#Justina Martinėlė;#134;#Aurima Lasickienė;#1119;#Mantas Bernotas;#1227;#Sonata Macijauskienė;#166;#Margarita Kairienė;#1089;#Rasa Mockutė;#1175;#Dalia Česlauskaitė;#1188;#Laura Jurevičienė;#758;#Toma Šukienė</vt:lpwstr>
  </property>
  <property fmtid="{D5CDD505-2E9C-101B-9397-08002B2CF9AE}" pid="7" name="DmsPermissionsConfid">
    <vt:bool>true</vt:bool>
  </property>
  <property fmtid="{D5CDD505-2E9C-101B-9397-08002B2CF9AE}" pid="8" name="DmsDocPrepDocSendRegReal">
    <vt:bool>false</vt:bool>
  </property>
  <property fmtid="{D5CDD505-2E9C-101B-9397-08002B2CF9AE}" pid="9" name="DmsWaitingForSign">
    <vt:bool>true</vt:bool>
  </property>
</Properties>
</file>