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4 pr."/>
        <w:tag w:val="part_14a88e8cbb73460d86bbec8562e7d6bf"/>
        <w:lock w:val="sdtLocked"/>
        <w:richText/>
      </w:sdtPr>
      <w:sdtContent>
        <w:p w14:paraId="0D586877" w14:textId="77777777">
          <w:pPr>
            <w:tabs>
              <w:tab w:val="center" w:pos="4819"/>
              <w:tab w:val="right" w:pos="9638"/>
            </w:tabs>
          </w:pPr>
        </w:p>
        <w:p w14:paraId="141CC9BA" w14:textId="77777777">
          <w:pPr>
            <w:ind w:left="9639"/>
            <w:jc w:val="both"/>
            <w:rPr>
              <w:szCs w:val="24"/>
            </w:rPr>
          </w:pPr>
        </w:p>
        <w:p w14:paraId="2B324C75" w14:textId="40D59D5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14a88e8cbb73460d86bbec8562e7d6bf"/>
              <w:lock w:val="sdtLocked"/>
              <w:richText/>
            </w:sdtPr>
            <w:sdtContent>
              <w:r>
                <w:rPr>
                  <w:szCs w:val="24"/>
                </w:rPr>
                <w:t>24</w:t>
              </w:r>
            </w:sdtContent>
          </w:sdt>
          <w:r>
            <w:rPr>
              <w:szCs w:val="24"/>
            </w:rPr>
            <w:t xml:space="preserve"> priedas</w:t>
          </w:r>
        </w:p>
        <w:p w14:paraId="43ABEB76" w14:textId="77777777">
          <w:pPr>
            <w:jc w:val="center"/>
            <w:rPr>
              <w:i/>
              <w:szCs w:val="24"/>
            </w:rPr>
          </w:pPr>
        </w:p>
        <w:p w14:paraId="3574E83B" w14:textId="7C9DE9B6">
          <w:pPr>
            <w:ind w:firstLine="62"/>
            <w:jc w:val="center"/>
            <w:rPr>
              <w:b/>
              <w:bCs/>
              <w:szCs w:val="24"/>
            </w:rPr>
          </w:pPr>
          <w:sdt>
            <w:sdtPr>
              <w:alias w:val="Pavadinimas"/>
              <w:tag w:val="title_14a88e8cbb73460d86bbec8562e7d6bf"/>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24</w:t>
              </w:r>
            </w:sdtContent>
          </w:sdt>
        </w:p>
        <w:p w14:paraId="60FDFB85" w14:textId="77777777">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14:paraId="43C05B8E" w14:textId="77777777">
            <w:tc>
              <w:tcPr>
                <w:tcW w:w="15155" w:type="dxa"/>
                <w:gridSpan w:val="13"/>
                <w:vAlign w:val="center"/>
              </w:tcPr>
              <w:p w14:paraId="0AA7003A" w14:textId="77777777">
                <w:pPr>
                  <w:jc w:val="center"/>
                  <w:rPr>
                    <w:b/>
                    <w:sz w:val="22"/>
                    <w:szCs w:val="22"/>
                  </w:rPr>
                </w:pPr>
                <w:r>
                  <w:rPr>
                    <w:b/>
                    <w:sz w:val="22"/>
                    <w:szCs w:val="22"/>
                  </w:rPr>
                  <w:t>VEIKLOS AR POVEIKLĖS, KURIOMS NUSTATOMOS PROJEKTŲ FINANSAVIMO SĄLYGOS</w:t>
                </w:r>
              </w:p>
            </w:tc>
          </w:tr>
          <w:tr w14:paraId="7155251C" w14:textId="77777777">
            <w:tc>
              <w:tcPr>
                <w:tcW w:w="1110" w:type="dxa"/>
                <w:vAlign w:val="center"/>
              </w:tcPr>
              <w:p w14:paraId="4585300D" w14:textId="77777777">
                <w:pPr>
                  <w:jc w:val="center"/>
                  <w:rPr>
                    <w:b/>
                    <w:sz w:val="20"/>
                  </w:rPr>
                </w:pPr>
                <w:r>
                  <w:rPr>
                    <w:b/>
                    <w:sz w:val="20"/>
                  </w:rPr>
                  <w:t>Veiklos ar poveiklės pavadi-nimas</w:t>
                </w:r>
              </w:p>
            </w:tc>
            <w:tc>
              <w:tcPr>
                <w:tcW w:w="1437" w:type="dxa"/>
                <w:vAlign w:val="center"/>
              </w:tcPr>
              <w:p w14:paraId="219137EB" w14:textId="77777777">
                <w:pPr>
                  <w:jc w:val="center"/>
                  <w:rPr>
                    <w:b/>
                    <w:sz w:val="20"/>
                  </w:rPr>
                </w:pPr>
                <w:r>
                  <w:rPr>
                    <w:b/>
                    <w:sz w:val="20"/>
                  </w:rPr>
                  <w:t>Finansavimo šaltinis</w:t>
                </w:r>
              </w:p>
            </w:tc>
            <w:tc>
              <w:tcPr>
                <w:tcW w:w="924" w:type="dxa"/>
                <w:vAlign w:val="center"/>
              </w:tcPr>
              <w:p w14:paraId="5B1AFA00" w14:textId="77777777">
                <w:pPr>
                  <w:jc w:val="center"/>
                  <w:rPr>
                    <w:b/>
                    <w:sz w:val="20"/>
                  </w:rPr>
                </w:pPr>
                <w:r>
                  <w:rPr>
                    <w:b/>
                    <w:bCs/>
                    <w:sz w:val="20"/>
                  </w:rPr>
                  <w:t>Priori-tetas ar kompo-nentas</w:t>
                </w:r>
              </w:p>
            </w:tc>
            <w:tc>
              <w:tcPr>
                <w:tcW w:w="1134" w:type="dxa"/>
                <w:vAlign w:val="center"/>
              </w:tcPr>
              <w:p w14:paraId="34F5C4B7" w14:textId="77777777">
                <w:pPr>
                  <w:jc w:val="center"/>
                  <w:rPr>
                    <w:b/>
                    <w:sz w:val="20"/>
                  </w:rPr>
                </w:pPr>
                <w:r>
                  <w:rPr>
                    <w:b/>
                    <w:bCs/>
                    <w:sz w:val="20"/>
                  </w:rPr>
                  <w:t>Uždavinys ar priemonė</w:t>
                </w:r>
              </w:p>
            </w:tc>
            <w:tc>
              <w:tcPr>
                <w:tcW w:w="1134" w:type="dxa"/>
                <w:vAlign w:val="center"/>
              </w:tcPr>
              <w:p w14:paraId="53887DD7" w14:textId="77777777">
                <w:pPr>
                  <w:jc w:val="center"/>
                  <w:rPr>
                    <w:b/>
                    <w:sz w:val="20"/>
                  </w:rPr>
                </w:pPr>
                <w:r>
                  <w:rPr>
                    <w:b/>
                    <w:bCs/>
                    <w:sz w:val="20"/>
                  </w:rPr>
                  <w:t>Veikla ar paprie-monė</w:t>
                </w:r>
              </w:p>
            </w:tc>
            <w:tc>
              <w:tcPr>
                <w:tcW w:w="1202" w:type="dxa"/>
                <w:vAlign w:val="center"/>
              </w:tcPr>
              <w:p w14:paraId="36508762" w14:textId="77777777">
                <w:pPr>
                  <w:jc w:val="center"/>
                  <w:rPr>
                    <w:b/>
                    <w:sz w:val="20"/>
                  </w:rPr>
                </w:pPr>
                <w:r>
                  <w:rPr>
                    <w:b/>
                    <w:sz w:val="20"/>
                  </w:rPr>
                  <w:t>Interven-cinės priemonės kodas</w:t>
                </w:r>
              </w:p>
            </w:tc>
            <w:tc>
              <w:tcPr>
                <w:tcW w:w="1134" w:type="dxa"/>
                <w:vAlign w:val="center"/>
              </w:tcPr>
              <w:p w14:paraId="4A66921E" w14:textId="77777777">
                <w:pPr>
                  <w:jc w:val="center"/>
                  <w:rPr>
                    <w:b/>
                    <w:bCs/>
                    <w:sz w:val="20"/>
                  </w:rPr>
                </w:pPr>
                <w:r>
                  <w:rPr>
                    <w:b/>
                    <w:sz w:val="20"/>
                  </w:rPr>
                  <w:t>Regionas, kuriam priskiria-ma veikla ar poveiklė</w:t>
                </w:r>
              </w:p>
            </w:tc>
            <w:tc>
              <w:tcPr>
                <w:tcW w:w="1134" w:type="dxa"/>
                <w:vAlign w:val="center"/>
              </w:tcPr>
              <w:p w14:paraId="5C0068BB" w14:textId="77777777">
                <w:pPr>
                  <w:jc w:val="center"/>
                  <w:rPr>
                    <w:b/>
                    <w:sz w:val="20"/>
                  </w:rPr>
                </w:pPr>
                <w:r>
                  <w:rPr>
                    <w:b/>
                    <w:bCs/>
                    <w:sz w:val="20"/>
                  </w:rPr>
                  <w:t>Paramos formos kodas</w:t>
                </w:r>
              </w:p>
            </w:tc>
            <w:tc>
              <w:tcPr>
                <w:tcW w:w="1134" w:type="dxa"/>
                <w:vAlign w:val="center"/>
              </w:tcPr>
              <w:p w14:paraId="16BEB3FD" w14:textId="77777777">
                <w:pPr>
                  <w:jc w:val="center"/>
                  <w:rPr>
                    <w:b/>
                    <w:sz w:val="20"/>
                  </w:rPr>
                </w:pPr>
                <w:r>
                  <w:rPr>
                    <w:b/>
                    <w:bCs/>
                    <w:sz w:val="20"/>
                  </w:rPr>
                  <w:t>Pagrindi-nės teritorinės srities kodas (-ai)</w:t>
                </w:r>
              </w:p>
            </w:tc>
            <w:tc>
              <w:tcPr>
                <w:tcW w:w="1134" w:type="dxa"/>
                <w:vAlign w:val="center"/>
              </w:tcPr>
              <w:p w14:paraId="2D0BB386" w14:textId="77777777">
                <w:pPr>
                  <w:jc w:val="center"/>
                  <w:rPr>
                    <w:b/>
                    <w:bCs/>
                    <w:sz w:val="20"/>
                  </w:rPr>
                </w:pPr>
                <w:r>
                  <w:rPr>
                    <w:b/>
                    <w:bCs/>
                    <w:sz w:val="20"/>
                  </w:rPr>
                  <w:t xml:space="preserve">Ekonomi-nės veiklos kodas </w:t>
                </w:r>
              </w:p>
              <w:p w14:paraId="34F2E184" w14:textId="77777777">
                <w:pPr>
                  <w:jc w:val="center"/>
                  <w:rPr>
                    <w:b/>
                    <w:sz w:val="20"/>
                  </w:rPr>
                </w:pPr>
                <w:r>
                  <w:rPr>
                    <w:b/>
                    <w:bCs/>
                    <w:sz w:val="20"/>
                  </w:rPr>
                  <w:t>(-ai)</w:t>
                </w:r>
              </w:p>
            </w:tc>
            <w:tc>
              <w:tcPr>
                <w:tcW w:w="1134" w:type="dxa"/>
                <w:vAlign w:val="center"/>
              </w:tcPr>
              <w:p w14:paraId="64C24384" w14:textId="77777777">
                <w:pPr>
                  <w:jc w:val="center"/>
                  <w:rPr>
                    <w:b/>
                    <w:bCs/>
                    <w:sz w:val="20"/>
                  </w:rPr>
                </w:pPr>
                <w:r>
                  <w:rPr>
                    <w:b/>
                    <w:bCs/>
                    <w:sz w:val="20"/>
                  </w:rPr>
                  <w:t>„Europos socialinio fondo +“ (toliau – ESF+) antrinių temų kodai</w:t>
                </w:r>
              </w:p>
            </w:tc>
            <w:tc>
              <w:tcPr>
                <w:tcW w:w="992" w:type="dxa"/>
                <w:vAlign w:val="center"/>
              </w:tcPr>
              <w:p w14:paraId="0BA5127F" w14:textId="77777777">
                <w:pPr>
                  <w:jc w:val="center"/>
                  <w:rPr>
                    <w:b/>
                    <w:bCs/>
                    <w:sz w:val="20"/>
                  </w:rPr>
                </w:pPr>
                <w:r>
                  <w:rPr>
                    <w:b/>
                    <w:bCs/>
                    <w:sz w:val="20"/>
                  </w:rPr>
                  <w:t>Lyčių lygybės mat-mens kodas</w:t>
                </w:r>
              </w:p>
            </w:tc>
            <w:tc>
              <w:tcPr>
                <w:tcW w:w="1552" w:type="dxa"/>
                <w:vAlign w:val="center"/>
              </w:tcPr>
              <w:p w14:paraId="56C3490F" w14:textId="77777777">
                <w:pPr>
                  <w:jc w:val="center"/>
                  <w:rPr>
                    <w:b/>
                    <w:sz w:val="20"/>
                  </w:rPr>
                </w:pPr>
                <w:r>
                  <w:rPr>
                    <w:b/>
                    <w:sz w:val="20"/>
                  </w:rPr>
                  <w:t>Nepanaudotos Ekonomikos gaivinimo ir atsparumo didinimo priemonės lėšos</w:t>
                </w:r>
              </w:p>
              <w:p w14:paraId="1CD6A3C3" w14:textId="77777777">
                <w:pPr>
                  <w:jc w:val="center"/>
                  <w:rPr>
                    <w:b/>
                    <w:bCs/>
                    <w:sz w:val="20"/>
                  </w:rPr>
                </w:pPr>
                <w:r>
                  <w:rPr>
                    <w:b/>
                    <w:sz w:val="20"/>
                  </w:rPr>
                  <w:t>(Taip / Ne)</w:t>
                </w:r>
              </w:p>
            </w:tc>
          </w:tr>
          <w:tr w14:paraId="48962BA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6A7DA8FE" w14:textId="77777777">
                <w:pPr>
                  <w:ind w:firstLine="48"/>
                  <w:jc w:val="center"/>
                  <w:rPr>
                    <w:sz w:val="20"/>
                  </w:rPr>
                </w:pPr>
                <w:r>
                  <w:rPr>
                    <w:rFonts w:eastAsia="Republika"/>
                    <w:sz w:val="20"/>
                  </w:rPr>
                  <w:t>4.4. Sveikatos sektoriaus skaitmenini-mo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47E43A67" w14:textId="77777777">
                <w:pPr>
                  <w:jc w:val="center"/>
                  <w:rPr>
                    <w:iCs/>
                    <w:sz w:val="20"/>
                  </w:rPr>
                </w:pPr>
                <w:r>
                  <w:rPr>
                    <w:iCs/>
                    <w:sz w:val="20"/>
                  </w:rPr>
                  <w:t xml:space="preserve">Ekonomikos gaivinimo ir atsparumo didinimo priemonės subsidijos lėšos (toliau – EGADP), </w:t>
                </w:r>
              </w:p>
              <w:p w14:paraId="19A16DB1" w14:textId="77777777">
                <w:pPr>
                  <w:jc w:val="center"/>
                  <w:rPr>
                    <w:iCs/>
                    <w:sz w:val="20"/>
                  </w:rPr>
                </w:pPr>
                <w:r>
                  <w:rPr>
                    <w:iCs/>
                    <w:sz w:val="20"/>
                  </w:rPr>
                  <w:t>valstybės biudžeto lėšos, skirtos ES fondų lėšomis netinkamam finansuoti pridėtinės vertės mokesčiui apmokėti</w:t>
                </w:r>
              </w:p>
              <w:p w14:paraId="71C901FF" w14:textId="60F9E4D5">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475E78CA" w14:textId="77777777">
                <w:pPr>
                  <w:jc w:val="center"/>
                  <w:rPr>
                    <w:iCs/>
                    <w:sz w:val="20"/>
                  </w:rPr>
                </w:pPr>
                <w:r>
                  <w:rPr>
                    <w:sz w:val="20"/>
                  </w:rPr>
                  <w:t>1</w:t>
                </w:r>
              </w:p>
            </w:tc>
            <w:tc>
              <w:tcPr>
                <w:tcW w:w="1134" w:type="dxa"/>
                <w:tcBorders>
                  <w:top w:val="single" w:sz="4" w:space="0" w:color="auto"/>
                  <w:left w:val="single" w:sz="4" w:space="0" w:color="auto"/>
                  <w:right w:val="single" w:sz="4" w:space="0" w:color="auto"/>
                </w:tcBorders>
                <w:tcMar>
                  <w:left w:w="28" w:type="dxa"/>
                  <w:right w:w="28" w:type="dxa"/>
                </w:tcMar>
              </w:tcPr>
              <w:p w14:paraId="0E4CBF9E" w14:textId="77777777">
                <w:pPr>
                  <w:jc w:val="center"/>
                  <w:rPr>
                    <w:iCs/>
                    <w:sz w:val="20"/>
                  </w:rPr>
                </w:pPr>
                <w:r>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15FC8E5" w14:textId="77777777">
                <w:pPr>
                  <w:jc w:val="center"/>
                  <w:rPr>
                    <w:iCs/>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42AAD162" w14:textId="77777777">
                <w:pPr>
                  <w:jc w:val="center"/>
                  <w:rPr>
                    <w:iCs/>
                    <w:sz w:val="20"/>
                    <w:lang w:eastAsia="lt-LT"/>
                  </w:rPr>
                </w:pPr>
                <w:r>
                  <w:rPr>
                    <w:sz w:val="20"/>
                  </w:rPr>
                  <w:t>095</w:t>
                </w:r>
              </w:p>
            </w:tc>
            <w:tc>
              <w:tcPr>
                <w:tcW w:w="1134" w:type="dxa"/>
                <w:tcBorders>
                  <w:top w:val="single" w:sz="4" w:space="0" w:color="auto"/>
                  <w:left w:val="single" w:sz="4" w:space="0" w:color="auto"/>
                  <w:right w:val="single" w:sz="4" w:space="0" w:color="auto"/>
                </w:tcBorders>
                <w:tcMar>
                  <w:left w:w="28" w:type="dxa"/>
                  <w:right w:w="28" w:type="dxa"/>
                </w:tcMar>
              </w:tcPr>
              <w:p w14:paraId="2E2F6E6D" w14:textId="77777777">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CAC0C8F" w14:textId="77777777">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F6AB64C" w14:textId="77777777">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BE04E42" w14:textId="77777777">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7273336" w14:textId="77777777">
                <w:pPr>
                  <w:jc w:val="center"/>
                  <w:rPr>
                    <w:iCs/>
                    <w:sz w:val="20"/>
                  </w:rPr>
                </w:pPr>
                <w:r>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45E47469" w14:textId="77777777">
                <w:pPr>
                  <w:jc w:val="center"/>
                  <w:rPr>
                    <w:iCs/>
                    <w:sz w:val="20"/>
                  </w:rPr>
                </w:pPr>
                <w:r>
                  <w:rPr>
                    <w:sz w:val="20"/>
                  </w:rPr>
                  <w:t>-</w:t>
                </w:r>
              </w:p>
            </w:tc>
            <w:tc>
              <w:tcPr>
                <w:tcW w:w="1552" w:type="dxa"/>
                <w:tcBorders>
                  <w:top w:val="single" w:sz="4" w:space="0" w:color="auto"/>
                  <w:left w:val="single" w:sz="4" w:space="0" w:color="auto"/>
                  <w:right w:val="single" w:sz="4" w:space="0" w:color="auto"/>
                </w:tcBorders>
              </w:tcPr>
              <w:p w14:paraId="6852B928" w14:textId="77777777">
                <w:pPr>
                  <w:jc w:val="center"/>
                  <w:rPr>
                    <w:sz w:val="20"/>
                  </w:rPr>
                </w:pPr>
                <w:r>
                  <w:rPr>
                    <w:sz w:val="20"/>
                  </w:rPr>
                  <w:t>Ne</w:t>
                </w:r>
              </w:p>
            </w:tc>
          </w:tr>
        </w:tbl>
        <w:p w14:paraId="7CD50214" w14:textId="295F2299">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12BDA7DD" w14:textId="77777777">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14:paraId="1CE55E16" w14:textId="77777777">
            <w:trPr>
              <w:trHeight w:val="378"/>
            </w:trPr>
            <w:tc>
              <w:tcPr>
                <w:tcW w:w="6799" w:type="dxa"/>
                <w:shd w:val="clear" w:color="auto" w:fill="auto"/>
                <w:vAlign w:val="center"/>
              </w:tcPr>
              <w:p w14:paraId="10DD80A9" w14:textId="77777777">
                <w:pPr>
                  <w:jc w:val="center"/>
                  <w:rPr>
                    <w:sz w:val="18"/>
                    <w:szCs w:val="18"/>
                  </w:rPr>
                </w:pPr>
                <w:r>
                  <w:rPr>
                    <w:sz w:val="22"/>
                    <w:szCs w:val="22"/>
                  </w:rPr>
                  <w:t>Rodiklio pavadinimas</w:t>
                </w:r>
              </w:p>
            </w:tc>
            <w:tc>
              <w:tcPr>
                <w:tcW w:w="2552" w:type="dxa"/>
                <w:shd w:val="clear" w:color="auto" w:fill="auto"/>
                <w:vAlign w:val="center"/>
              </w:tcPr>
              <w:p w14:paraId="1C9D8FCA" w14:textId="77777777">
                <w:pPr>
                  <w:jc w:val="center"/>
                  <w:rPr>
                    <w:sz w:val="18"/>
                    <w:szCs w:val="18"/>
                  </w:rPr>
                </w:pPr>
                <w:r>
                  <w:rPr>
                    <w:sz w:val="22"/>
                    <w:szCs w:val="22"/>
                  </w:rPr>
                  <w:t>Rodiklio kodas</w:t>
                </w:r>
              </w:p>
            </w:tc>
            <w:tc>
              <w:tcPr>
                <w:tcW w:w="2410" w:type="dxa"/>
                <w:shd w:val="clear" w:color="auto" w:fill="auto"/>
                <w:vAlign w:val="center"/>
              </w:tcPr>
              <w:p w14:paraId="63A1FB4B" w14:textId="77777777">
                <w:pPr>
                  <w:jc w:val="center"/>
                  <w:rPr>
                    <w:sz w:val="18"/>
                    <w:szCs w:val="18"/>
                  </w:rPr>
                </w:pPr>
                <w:r>
                  <w:rPr>
                    <w:sz w:val="22"/>
                    <w:szCs w:val="22"/>
                  </w:rPr>
                  <w:t>Matavimo vienetai</w:t>
                </w:r>
              </w:p>
            </w:tc>
            <w:tc>
              <w:tcPr>
                <w:tcW w:w="3402" w:type="dxa"/>
                <w:shd w:val="clear" w:color="auto" w:fill="auto"/>
                <w:vAlign w:val="center"/>
              </w:tcPr>
              <w:p w14:paraId="58324DF4" w14:textId="77777777">
                <w:pPr>
                  <w:jc w:val="center"/>
                  <w:rPr>
                    <w:sz w:val="18"/>
                    <w:szCs w:val="18"/>
                  </w:rPr>
                </w:pPr>
                <w:r>
                  <w:rPr>
                    <w:sz w:val="22"/>
                    <w:szCs w:val="22"/>
                  </w:rPr>
                  <w:t xml:space="preserve">Siektina reikšmė </w:t>
                </w:r>
              </w:p>
            </w:tc>
          </w:tr>
          <w:tr w14:paraId="44D212EC" w14:textId="77777777">
            <w:trPr>
              <w:trHeight w:val="464"/>
            </w:trPr>
            <w:tc>
              <w:tcPr>
                <w:tcW w:w="6799" w:type="dxa"/>
              </w:tcPr>
              <w:p w14:paraId="265740AB" w14:textId="77777777">
                <w:pPr>
                  <w:rPr>
                    <w:highlight w:val="yellow"/>
                  </w:rPr>
                </w:pPr>
                <w:r>
                  <w:rPr>
                    <w:szCs w:val="24"/>
                  </w:rPr>
                  <w:t>Naujų ir patobulintų viešųjų skaitmeninių paslaugų, produktų ir procesų naudotojai</w:t>
                </w:r>
              </w:p>
            </w:tc>
            <w:tc>
              <w:tcPr>
                <w:tcW w:w="2552" w:type="dxa"/>
              </w:tcPr>
              <w:p w14:paraId="7C58AF51" w14:textId="77777777">
                <w:pPr>
                  <w:jc w:val="center"/>
                  <w:rPr>
                    <w:szCs w:val="24"/>
                  </w:rPr>
                </w:pPr>
                <w:r>
                  <w:rPr>
                    <w:szCs w:val="24"/>
                  </w:rPr>
                  <w:t>R-11-002-02-11-01-34</w:t>
                </w:r>
              </w:p>
              <w:p w14:paraId="714AB667" w14:textId="77777777">
                <w:pPr>
                  <w:jc w:val="center"/>
                  <w:rPr>
                    <w:szCs w:val="24"/>
                  </w:rPr>
                </w:pPr>
                <w:r>
                  <w:rPr>
                    <w:szCs w:val="24"/>
                  </w:rPr>
                  <w:t>R.B.1.2007</w:t>
                </w:r>
              </w:p>
            </w:tc>
            <w:tc>
              <w:tcPr>
                <w:tcW w:w="2410" w:type="dxa"/>
              </w:tcPr>
              <w:p w14:paraId="5A44708C" w14:textId="77777777">
                <w:pPr>
                  <w:jc w:val="center"/>
                  <w:rPr>
                    <w:szCs w:val="24"/>
                  </w:rPr>
                </w:pPr>
                <w:r>
                  <w:rPr>
                    <w:szCs w:val="24"/>
                  </w:rPr>
                  <w:t>Naudotojų skaičius per metus</w:t>
                </w:r>
              </w:p>
            </w:tc>
            <w:tc>
              <w:tcPr>
                <w:tcW w:w="3402" w:type="dxa"/>
              </w:tcPr>
              <w:p w14:paraId="0E9E90B1" w14:textId="77777777">
                <w:pPr>
                  <w:jc w:val="center"/>
                  <w:rPr>
                    <w:szCs w:val="24"/>
                  </w:rPr>
                </w:pPr>
                <w:r>
                  <w:rPr>
                    <w:szCs w:val="24"/>
                  </w:rPr>
                  <w:t>n/a</w:t>
                </w:r>
              </w:p>
              <w:p w14:paraId="74218401" w14:textId="77777777">
                <w:pPr>
                  <w:jc w:val="center"/>
                  <w:rPr>
                    <w:szCs w:val="24"/>
                  </w:rPr>
                </w:pPr>
                <w:r>
                  <w:rPr>
                    <w:szCs w:val="24"/>
                  </w:rPr>
                  <w:t>(2026 m. IV ketv.)</w:t>
                </w:r>
              </w:p>
            </w:tc>
          </w:tr>
        </w:tbl>
        <w:p w14:paraId="4A2CCB9D" w14:textId="77777777">
          <w:pPr>
            <w:jc w:val="both"/>
            <w:rPr>
              <w:b/>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338C24BF" w14:textId="77777777">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6A62D6A4" w14:textId="77777777">
            <w:trPr>
              <w:trHeight w:val="298"/>
            </w:trPr>
            <w:tc>
              <w:tcPr>
                <w:tcW w:w="15127" w:type="dxa"/>
              </w:tcPr>
              <w:p w14:paraId="226A7DA5" w14:textId="77777777">
                <w:pPr>
                  <w:jc w:val="both"/>
                  <w:rPr>
                    <w:szCs w:val="24"/>
                  </w:rPr>
                </w:pPr>
                <w:r>
                  <w:rPr>
                    <w:szCs w:val="24"/>
                  </w:rPr>
                  <w:t>Ministerijos stebėsenos rodiklių aprašymo kortelės</w:t>
                </w:r>
              </w:p>
            </w:tc>
          </w:tr>
          <w:tr w14:paraId="69B4F44C" w14:textId="77777777">
            <w:trPr>
              <w:trHeight w:val="315"/>
            </w:trPr>
            <w:tc>
              <w:tcPr>
                <w:tcW w:w="15127" w:type="dxa"/>
              </w:tcPr>
              <w:p w14:paraId="6CD13827" w14:textId="77777777">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164238F" w14:textId="77777777">
                <w:pPr>
                  <w:ind w:right="340"/>
                  <w:jc w:val="both"/>
                  <w:rPr>
                    <w:i/>
                    <w:szCs w:val="24"/>
                  </w:rPr>
                </w:pPr>
                <w:r>
                  <w:rPr>
                    <w:iCs/>
                    <w:szCs w:val="24"/>
                  </w:rPr>
                  <w:t>https://sam.lrv.lt/lt/administracine-informacija/planavimo-dokumentai/pletros-programos/sveikatos-prieziuros-kokybes-ir-efektyvumo-didinimo-pletros-programa</w:t>
                </w:r>
              </w:p>
            </w:tc>
          </w:tr>
        </w:tbl>
        <w:p w14:paraId="5E0CEF29" w14:textId="777777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14:paraId="78862928" w14:textId="77777777">
            <w:tc>
              <w:tcPr>
                <w:tcW w:w="15134" w:type="dxa"/>
              </w:tcPr>
              <w:p w14:paraId="313FD2C9" w14:textId="77777777">
                <w:pPr>
                  <w:rPr>
                    <w:b/>
                    <w:szCs w:val="24"/>
                  </w:rPr>
                </w:pPr>
                <w:r>
                  <w:rPr>
                    <w:b/>
                    <w:szCs w:val="24"/>
                  </w:rPr>
                  <w:t>SPECIALIEJI FINANSAVIMO REIKALAVIMAI</w:t>
                </w:r>
              </w:p>
            </w:tc>
          </w:tr>
          <w:tr w14:paraId="04679731" w14:textId="77777777">
            <w:tc>
              <w:tcPr>
                <w:tcW w:w="15134" w:type="dxa"/>
              </w:tcPr>
              <w:p w14:paraId="4DE5CFF4" w14:textId="77777777">
                <w:pPr>
                  <w:rPr>
                    <w:b/>
                    <w:bCs/>
                    <w:szCs w:val="24"/>
                  </w:rPr>
                </w:pPr>
                <w:r>
                  <w:rPr>
                    <w:b/>
                    <w:bCs/>
                    <w:szCs w:val="24"/>
                  </w:rPr>
                  <w:t>1. Taikomi teisės aktai</w:t>
                </w:r>
              </w:p>
            </w:tc>
          </w:tr>
          <w:tr w14:paraId="679AEA54" w14:textId="77777777">
            <w:tc>
              <w:tcPr>
                <w:tcW w:w="15134" w:type="dxa"/>
              </w:tcPr>
              <w:p w14:paraId="151FD439" w14:textId="23C28F93">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24 priedą „2022–2030 metų sveikatos priežiūros kokybės ir efektyvumo didinimo plėtros programos pažangos priemonės Nr. 11-002-02-11-01 „Gerinti sveikatos priežiūros paslaugų kokybę ir prieinamumą“ projektų finansavimo sąlygų aprašas Nr. 24“ </w:t>
                </w:r>
                <w:r>
                  <w:rPr>
                    <w:lang w:eastAsia="lt-LT"/>
                  </w:rPr>
                  <w:t>(toliau – Aprašas Nr. 24):</w:t>
                </w:r>
              </w:p>
              <w:p w14:paraId="011D42A3" w14:textId="7A1872A1">
                <w:pPr>
                  <w:jc w:val="both"/>
                  <w:rPr>
                    <w:b/>
                    <w:bCs/>
                  </w:rPr>
                </w:pPr>
                <w:r>
                  <w:rPr>
                    <w:b/>
                    <w:bCs/>
                  </w:rPr>
                  <w:t>1.1. bendrieji teisės aktai:</w:t>
                </w:r>
              </w:p>
              <w:p w14:paraId="5A9215F8" w14:textId="56E3A80C">
                <w:pPr>
                  <w:jc w:val="both"/>
                </w:pPr>
                <w:r>
                  <w:t xml:space="preserve">1.1.1. 2021 m. vasario 12 d. Europos Parlamento ir Tarybos reglamentas </w:t>
                </w:r>
                <w:r>
                  <w:t>(ES) 2021/241</w:t>
                </w:r>
                <w:r>
                  <w:t>, kuriuo nustatoma ekonomikos gaivinimo ir atsparumo didinimo priemonė;</w:t>
                </w:r>
              </w:p>
              <w:p w14:paraId="3161B21F" w14:textId="438C0143">
                <w:pPr>
                  <w:jc w:val="both"/>
                </w:pPr>
                <w:r>
                  <w:t>1.1.2. 2021 m. liepos 28 d. Tarybos įgyvendinimo sprendimas CM4171/21 dėl Lietuvos ekonomikos gaivinimo ir atsparumo didinimo plano įvertinimo patvirtinimo (toliau – planas „Naujos kartos Lietuva“);</w:t>
                </w:r>
              </w:p>
              <w:p w14:paraId="0BFB2B34" w14:textId="74E00A0A">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3DB5187F" w14:textId="71D0B945">
                <w:pPr>
                  <w:jc w:val="both"/>
                  <w:rPr>
                    <w:b/>
                    <w:bCs/>
                    <w:szCs w:val="24"/>
                  </w:rPr>
                </w:pPr>
                <w:r>
                  <w:rPr>
                    <w:b/>
                    <w:bCs/>
                    <w:szCs w:val="24"/>
                  </w:rPr>
                  <w:t>1.2. specialieji teisės aktai:</w:t>
                </w:r>
              </w:p>
              <w:p w14:paraId="67799939" w14:textId="3669EDF1">
                <w:pPr>
                  <w:jc w:val="both"/>
                  <w:rPr>
                    <w:szCs w:val="24"/>
                  </w:rPr>
                </w:pPr>
                <w:r>
                  <w:rPr>
                    <w:szCs w:val="24"/>
                  </w:rPr>
                  <w:t>1.2.1. Lietuvos Respublikos sveikatos sistemos įstatymas;</w:t>
                </w:r>
              </w:p>
              <w:p w14:paraId="3EF81EC9" w14:textId="7CEAE994">
                <w:pPr>
                  <w:jc w:val="both"/>
                  <w:rPr>
                    <w:szCs w:val="24"/>
                  </w:rPr>
                </w:pPr>
                <w:r>
                  <w:rPr>
                    <w:szCs w:val="24"/>
                  </w:rPr>
                  <w:t>1.2.2. Lietuvos Respublikos sveikatos priežiūros įstaigų įstatymas;</w:t>
                </w:r>
              </w:p>
              <w:p w14:paraId="4FC1E141" w14:textId="0A341939">
                <w:pPr>
                  <w:jc w:val="both"/>
                  <w:rPr>
                    <w:szCs w:val="24"/>
                  </w:rPr>
                </w:pPr>
                <w:r>
                  <w:rPr>
                    <w:szCs w:val="24"/>
                  </w:rPr>
                  <w:t xml:space="preserve">1.2.3. Lietuvos Respublikos valstybės informacinių išteklių valdymo įstatymas; </w:t>
                </w:r>
              </w:p>
              <w:p w14:paraId="5BEB6B74" w14:textId="3CA07E1D">
                <w:pPr>
                  <w:jc w:val="both"/>
                  <w:rPr>
                    <w:szCs w:val="24"/>
                  </w:rPr>
                </w:pPr>
                <w:r>
                  <w:rPr>
                    <w:szCs w:val="24"/>
                  </w:rPr>
                  <w:t>1.2.4. Lietuvos Respublikos kibernetinio saugumo įstatymas;</w:t>
                </w:r>
              </w:p>
              <w:p w14:paraId="116FA288" w14:textId="153FBE87">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0F54A1B8" w14:textId="594A6929">
                <w:pPr>
                  <w:jc w:val="both"/>
                  <w:rPr>
                    <w:szCs w:val="24"/>
                  </w:rPr>
                </w:pPr>
                <w:r>
                  <w:rPr>
                    <w:szCs w:val="24"/>
                  </w:rPr>
                  <w:t>1.2.6. Lietuvos Respublikos Vyriausybės</w:t>
                </w:r>
                <w:r>
                  <w:rPr>
                    <w:b/>
                    <w:bCs/>
                    <w:szCs w:val="24"/>
                  </w:rPr>
                  <w:t xml:space="preserve"> </w:t>
                </w:r>
                <w:r>
                  <w:rPr>
                    <w:szCs w:val="24"/>
                  </w:rPr>
                  <w:t>2011 m. rugsėjo 7 d. nutarimas Nr. 1057 „Dėl Elektroninės sveikatos paslaugų ir bendradarbiavimo infrastruktūros informacinės sistemos nuostatų patvirtinimo“;</w:t>
                </w:r>
              </w:p>
              <w:p w14:paraId="7186301B" w14:textId="26586217">
                <w:pPr>
                  <w:jc w:val="both"/>
                  <w:rPr>
                    <w:szCs w:val="24"/>
                  </w:rPr>
                </w:pPr>
                <w:r>
                  <w:rPr>
                    <w:szCs w:val="24"/>
                  </w:rPr>
                  <w:t>1.2.7. Lietuvos Respublikos Vyriausybės 2013  m. vasario 27 d. nutarimas Nr. 180 „Dėl Valstybės informacinių sistemų steigimo, kūrimo, modernizavimo ir likvidavimo tvarkos aprašo patvirtinimo“;</w:t>
                </w:r>
              </w:p>
              <w:p w14:paraId="79EABA82" w14:textId="51078BE0">
                <w:pPr>
                  <w:jc w:val="both"/>
                  <w:rPr>
                    <w:szCs w:val="24"/>
                  </w:rPr>
                </w:pPr>
                <w:r>
                  <w:rPr>
                    <w:szCs w:val="22"/>
                  </w:rPr>
                  <w:t>1.2.8.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1F54B587" w14:textId="3BAF89B9">
                <w:pPr>
                  <w:jc w:val="both"/>
                  <w:rPr>
                    <w:szCs w:val="22"/>
                  </w:rPr>
                </w:pPr>
                <w:r>
                  <w:rPr>
                    <w:szCs w:val="24"/>
                  </w:rPr>
                  <w:t>1.2.9.</w:t>
                </w:r>
                <w:r>
                  <w:rPr>
                    <w:b/>
                    <w:bCs/>
                    <w:szCs w:val="24"/>
                  </w:rPr>
                  <w:t xml:space="preserve"> </w:t>
                </w:r>
                <w:r>
                  <w:rPr>
                    <w:szCs w:val="22"/>
                  </w:rPr>
                  <w:t>Lietuvos Respublikos sveikatos apsaugos ministro 2012 m. spalio 19 d. įsakymas Nr. V-944 „Dėl asmens sveikatos priežiūros paslaugų, kurias teikiant naudojamos teleradiologijos priemonės, teikimo ir jų išlaidų apmokėjimo Privalomojo sveikatos draudimo fondo biudžeto lėšomis tvarkos aprašo patvirtinimo“;</w:t>
                </w:r>
              </w:p>
              <w:p w14:paraId="416388A4" w14:textId="296FBE9A">
                <w:pPr>
                  <w:jc w:val="both"/>
                </w:pPr>
                <w:r>
                  <w:t xml:space="preserve">1.2.10.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6B703E65" w14:textId="7E0971EC">
                <w:pPr>
                  <w:jc w:val="both"/>
                  <w:rPr>
                    <w:szCs w:val="24"/>
                  </w:rPr>
                </w:pPr>
                <w:r>
                  <w:rPr>
                    <w:szCs w:val="24"/>
                  </w:rPr>
                  <w:t>1.2.11.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00ACD16" w14:textId="119511D9">
                <w:pPr>
                  <w:jc w:val="both"/>
                  <w:rPr>
                    <w:szCs w:val="24"/>
                  </w:rPr>
                </w:pPr>
                <w:r>
                  <w:rPr>
                    <w:szCs w:val="24"/>
                  </w:rPr>
                  <w:t>1.2.12. Lietuvos Respublikos sveikatos apsaugos ministro 2015 m. gegužės 26 d. įsakymas Nr.  V-657 „Dėl Elektroninės sveikatos paslaugų ir bendradarbiavimo infrastruktūros informacinės sistemos naudojimo tvarkos aprašo patvirtinimo“;</w:t>
                </w:r>
              </w:p>
              <w:p w14:paraId="229CAC3D" w14:textId="3B6799A1">
                <w:pPr>
                  <w:jc w:val="both"/>
                  <w:rPr>
                    <w:szCs w:val="24"/>
                  </w:rPr>
                </w:pPr>
                <w:r>
                  <w:rPr>
                    <w:szCs w:val="24"/>
                  </w:rPr>
                  <w:t>1.2.13. Lietuvos Respublikos susisiekimo ministro 2015 m. spalio 7 d. įsakymas Nr. 3-416(1.5 E) „Dėl metodinių dokumentų patvirtinimo“;</w:t>
                </w:r>
              </w:p>
              <w:p w14:paraId="606339FC" w14:textId="3D1B4DBD">
                <w:pPr>
                  <w:jc w:val="both"/>
                  <w:rPr>
                    <w:szCs w:val="24"/>
                  </w:rPr>
                </w:pPr>
                <w:r>
                  <w:rPr>
                    <w:szCs w:val="24"/>
                  </w:rPr>
                  <w:t>1.2.14.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59B452AF" w14:textId="29D73D55">
                <w:pPr>
                  <w:jc w:val="both"/>
                </w:pPr>
                <w:r>
                  <w:t>1.2.15. Lietuvos Respublikos sveikatos apsaugos ministro 2018 m. liepos 19 d. įsakymas Nr. V-824 „Dėl Sveikatos priežiūros paslaugų teikimo sunkių traumų atvejais tvarkos aprašo patvirtinimo“;</w:t>
                </w:r>
              </w:p>
              <w:p w14:paraId="31D7497A" w14:textId="7F7E8409">
                <w:pPr>
                  <w:jc w:val="both"/>
                  <w:rPr>
                    <w:szCs w:val="22"/>
                  </w:rPr>
                </w:pPr>
                <w:r>
                  <w:rPr>
                    <w:szCs w:val="24"/>
                  </w:rPr>
                  <w:t xml:space="preserve">1.2.16. </w:t>
                </w:r>
                <w:r>
                  <w:rPr>
                    <w:szCs w:val="22"/>
                  </w:rPr>
                  <w:t>Lietuvos Respublikos sveikatos apsaugos ministro 2019 m. kovo 28 d. įsakymas Nr. V-366 „Dėl Oftalmologijos asmens sveikatos priežiūros paslaugų, kurias teikiant naudojamos teleoftalmologijos priemonės, teikimo ir jų išlaidų apmokėjimo Privalomojo sveikatos draudimo fondo biudžeto lėšomis tvarkos aprašo patvirtinimo“;</w:t>
                </w:r>
              </w:p>
              <w:p w14:paraId="0EC5C4E2" w14:textId="0FD61B61">
                <w:pPr>
                  <w:jc w:val="both"/>
                  <w:rPr>
                    <w:szCs w:val="22"/>
                  </w:rPr>
                </w:pPr>
                <w:r>
                  <w:rPr>
                    <w:szCs w:val="22"/>
                  </w:rPr>
                  <w:t>1.2.17. Lietuvos Respublikos sveikatos apsaugos ministro 2020 m. rugpjūčio 11 d. įsakymas Nr. V-1825 „Dėl Skubiosios telemedicinos paslaugų teikimo tvarkos aprašo patvirtinimo“;</w:t>
                </w:r>
              </w:p>
              <w:p w14:paraId="10BBE9CC" w14:textId="21945A94">
                <w:pPr>
                  <w:jc w:val="both"/>
                  <w:rPr>
                    <w:szCs w:val="22"/>
                  </w:rPr>
                </w:pPr>
                <w:r>
                  <w:rPr>
                    <w:szCs w:val="24"/>
                  </w:rPr>
                  <w:t xml:space="preserve">1.2.18. </w:t>
                </w:r>
                <w:r>
                  <w:rPr>
                    <w:szCs w:val="22"/>
                  </w:rPr>
                  <w:t>Lietuvos Respublikos sveikatos apsaugos ministro 2020 m. lapkričio 10 d. įsakymas Nr. V-2569 „Dėl Nuotolinių gydytojo ir šeimos gydytojo komandos nario konsultacijų pacientui ir gydytojo konsultacijų gydytojui teikimo ir jų išlaidų apmokėjimo Privalomojo sveikatos draudimo fondo biudžeto lėšomis tvarkos aprašo patvirtinimo“;</w:t>
                </w:r>
              </w:p>
              <w:p w14:paraId="552A8E87" w14:textId="3B5A66DB">
                <w:pPr>
                  <w:jc w:val="both"/>
                  <w:rPr>
                    <w:szCs w:val="24"/>
                  </w:rPr>
                </w:pPr>
                <w:r>
                  <w:rPr>
                    <w:szCs w:val="24"/>
                  </w:rPr>
                  <w:t>1.2.19.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3F07C63" w14:textId="3474232F">
                <w:pPr>
                  <w:jc w:val="both"/>
                  <w:rPr>
                    <w:szCs w:val="24"/>
                  </w:rPr>
                </w:pPr>
                <w:r>
                  <w:rPr>
                    <w:szCs w:val="24"/>
                  </w:rPr>
                  <w:t>1.2.20. Informacinės visuomenės plėtros komiteto prie Susisiekimo ministerijos direktoriaus 2014 m. vasario 25 d. įsakymas Nr. T-29 „Dėl Valstybės informacinių sistemų gyvavimo ciklo valdymo metodikos patvirtinimo“;</w:t>
                </w:r>
              </w:p>
              <w:p w14:paraId="75B890D2" w14:textId="6CCCEE42">
                <w:pPr>
                  <w:jc w:val="both"/>
                  <w:rPr>
                    <w:szCs w:val="24"/>
                  </w:rPr>
                </w:pPr>
                <w:r>
                  <w:rPr>
                    <w:szCs w:val="24"/>
                  </w:rPr>
                  <w:t>1.2.21.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155E8ED9" w14:textId="6E00B09E">
                <w:pPr>
                  <w:rPr>
                    <w:i/>
                    <w:iCs/>
                    <w:sz w:val="22"/>
                    <w:szCs w:val="22"/>
                  </w:rPr>
                </w:pPr>
                <w:r>
                  <w:rPr>
                    <w:szCs w:val="24"/>
                  </w:rPr>
                  <w:t xml:space="preserve">Apraše Nr. 24 vartojamos sąvokos suprantamos taip, kaip jos apibrėžtos Apraše Nr. 24 nurodytuose teisės aktuose. </w:t>
                </w:r>
              </w:p>
            </w:tc>
          </w:tr>
          <w:tr w14:paraId="0B808F03" w14:textId="77777777">
            <w:tc>
              <w:tcPr>
                <w:tcW w:w="15134" w:type="dxa"/>
              </w:tcPr>
              <w:p w14:paraId="3D1C8E01" w14:textId="77777777">
                <w:pPr>
                  <w:rPr>
                    <w:b/>
                    <w:szCs w:val="24"/>
                  </w:rPr>
                </w:pPr>
                <w:r>
                  <w:rPr>
                    <w:b/>
                    <w:szCs w:val="24"/>
                  </w:rPr>
                  <w:t>2. Reikalavimai projektams, pareiškėjams ir partneriams</w:t>
                </w:r>
              </w:p>
            </w:tc>
          </w:tr>
          <w:tr w14:paraId="4D6CF3E4" w14:textId="77777777">
            <w:tc>
              <w:tcPr>
                <w:tcW w:w="15134" w:type="dxa"/>
              </w:tcPr>
              <w:p w14:paraId="5DFB26FA" w14:textId="7FCFCD1B">
                <w:pPr>
                  <w:tabs>
                    <w:tab w:val="left" w:pos="2835"/>
                  </w:tabs>
                  <w:jc w:val="both"/>
                </w:pPr>
                <w:r>
                  <w:t xml:space="preserve">2.1. Pagal šį Aprašą Nr. 24 finansuojama veikla – sveikatos sektoriaus skaitmeninimas,  poveiklė – sveikatos sektoriaus skaitmeninimo projektai: nuotolinių konsultacijų (telemedicinos plėtojimo) paslaugos diegimas ESPBI IS. Finansuojamos veiklos:</w:t>
                </w:r>
              </w:p>
              <w:p w14:paraId="07132A34" w14:textId="44526BDC">
                <w:pPr>
                  <w:tabs>
                    <w:tab w:val="left" w:pos="2835"/>
                  </w:tabs>
                  <w:jc w:val="both"/>
                  <w:rPr>
                    <w:szCs w:val="24"/>
                  </w:rPr>
                </w:pPr>
                <w:r>
                  <w:t xml:space="preserve">2.1.1. </w:t>
                </w:r>
                <w:r>
                  <w:rPr>
                    <w:szCs w:val="24"/>
                  </w:rPr>
                  <w:t>ESPBI IS nuotoliniu būdu teikiamų konsultacijų ir paslaugų teikimo, koordinavimo, stebėsenos ir analizės posistemės sukūrimas;</w:t>
                </w:r>
              </w:p>
              <w:p w14:paraId="0546B727" w14:textId="32B3C94C">
                <w:pPr>
                  <w:tabs>
                    <w:tab w:val="left" w:pos="2835"/>
                  </w:tabs>
                  <w:jc w:val="both"/>
                  <w:rPr>
                    <w:lang w:eastAsia="lt-LT"/>
                  </w:rPr>
                </w:pPr>
                <w:r>
                  <w:rPr>
                    <w:szCs w:val="24"/>
                  </w:rPr>
                  <w:t xml:space="preserve">2.1.2. kitos veiklos, kurios bus identifikuotos investicinio projekto rengimo metu. </w:t>
                </w:r>
              </w:p>
              <w:p w14:paraId="04ED17BB" w14:textId="32C2535A">
                <w:pPr>
                  <w:jc w:val="both"/>
                  <w:rPr>
                    <w:szCs w:val="24"/>
                  </w:rPr>
                </w:pPr>
                <w:r>
                  <w:rPr>
                    <w:szCs w:val="24"/>
                  </w:rPr>
                  <w:t>2.2. Pagal šį Aprašą Nr. 24 įgyvendinamas 1 (vienas) projektas.</w:t>
                </w:r>
              </w:p>
              <w:p w14:paraId="16B41C21" w14:textId="77777777">
                <w:pPr>
                  <w:jc w:val="both"/>
                  <w:rPr>
                    <w:szCs w:val="24"/>
                  </w:rPr>
                </w:pPr>
                <w:r>
                  <w:rPr>
                    <w:szCs w:val="24"/>
                  </w:rPr>
                  <w:t>2.3. Galimas pareiškėjas – valstybės įmonė Registrų centras.</w:t>
                </w:r>
              </w:p>
              <w:p w14:paraId="16A7E480" w14:textId="77777777">
                <w:pPr>
                  <w:jc w:val="both"/>
                </w:pPr>
                <w:r>
                  <w:rPr>
                    <w:szCs w:val="24"/>
                  </w:rPr>
                  <w:t xml:space="preserve">2.4. Galimi projekto partneriai: SAM, </w:t>
                </w:r>
                <w:r>
                  <w:t>viešosios asmens sveikatos priežiūros įstaigos, priklausančios Lietuvos nacionalinei sveikatos sistemai. Partneriai bus išgryninti investicijų projekto rengimo metu.</w:t>
                </w:r>
              </w:p>
              <w:p w14:paraId="41F5B30E" w14:textId="77777777">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09E2EE8A" w14:textId="77777777">
                <w:r>
                  <w:t>2.5.1. partneris turi būti perskaitęs PĮP ir susipažinęs su savo teisėmis ir pareigomis įgyvendinant PĮP;</w:t>
                </w:r>
              </w:p>
              <w:p w14:paraId="61E5DE6D" w14:textId="77777777">
                <w:pPr>
                  <w:rPr>
                    <w:szCs w:val="24"/>
                  </w:rPr>
                </w:pPr>
                <w:r>
                  <w:rPr>
                    <w:lang w:val="pt-BR"/>
                  </w:rPr>
                  <w:t>2.5.2</w:t>
                </w:r>
                <w:r>
                  <w:rPr>
                    <w:szCs w:val="24"/>
                    <w:lang w:val="pt-BR"/>
                  </w:rPr>
                  <w:t xml:space="preserve">. </w:t>
                </w:r>
                <w:r>
                  <w:rPr>
                    <w:szCs w:val="24"/>
                  </w:rPr>
                  <w:t>įgyvendindamas projektą projekto vykdytojas privalo reguliariai konsultuotis su partneriu ir nuolat jį informuoti apie projekto įgyvendinimo eigą.</w:t>
                </w:r>
              </w:p>
              <w:p w14:paraId="4A92E193" w14:textId="1674C159">
                <w:pPr>
                  <w:jc w:val="both"/>
                  <w:rPr>
                    <w:szCs w:val="24"/>
                  </w:rPr>
                </w:pPr>
                <w:r>
                  <w:rPr>
                    <w:szCs w:val="24"/>
                  </w:rPr>
                  <w:t>2.6. Projektui pagal šio Aprašo Nr. 24 veiklą įgyvendinti</w:t>
                </w:r>
                <w:r>
                  <w:rPr>
                    <w:szCs w:val="24"/>
                    <w:lang w:eastAsia="lt-LT"/>
                  </w:rPr>
                  <w:t xml:space="preserve"> skiriama suma – iki </w:t>
                </w:r>
                <w:r>
                  <w:rPr>
                    <w:rFonts w:eastAsia="Calibri"/>
                    <w:szCs w:val="24"/>
                    <w:lang w:eastAsia="lt-LT"/>
                  </w:rPr>
                  <w:t>4 132 231,00 Eur (</w:t>
                </w:r>
                <w:r>
                  <w:rPr>
                    <w:szCs w:val="24"/>
                    <w:shd w:val="clear" w:color="auto" w:fill="FFFFFF"/>
                  </w:rPr>
                  <w:t xml:space="preserve">keturi milijonai vienas šimtas trisdešimt du tūkstančiai du šimtai trisdešimt vienas </w:t>
                </w:r>
                <w:r>
                  <w:rPr>
                    <w:rFonts w:eastAsia="Calibri"/>
                    <w:szCs w:val="24"/>
                  </w:rPr>
                  <w:t xml:space="preserve">Eur) EGADP lėšų ir iki </w:t>
                </w:r>
                <w:r>
                  <w:rPr>
                    <w:szCs w:val="24"/>
                  </w:rPr>
                  <w:t xml:space="preserve"> </w:t>
                </w:r>
                <w:r>
                  <w:rPr>
                    <w:rFonts w:eastAsia="Calibri"/>
                    <w:szCs w:val="24"/>
                  </w:rPr>
                  <w:t>867 769,00 Eur (</w:t>
                </w:r>
                <w:r>
                  <w:rPr>
                    <w:szCs w:val="24"/>
                    <w:shd w:val="clear" w:color="auto" w:fill="FFFFFF"/>
                  </w:rPr>
                  <w:t>aštuoni šimtai šešiasdešimt septyni tūkstančiai septyni šimtai šešiasdešimt</w:t>
                </w:r>
                <w:r>
                  <w:rPr>
                    <w:rFonts w:eastAsia="Calibri"/>
                    <w:szCs w:val="24"/>
                  </w:rPr>
                  <w:t xml:space="preserve"> devyni Eur) </w:t>
                </w:r>
                <w:r>
                  <w:rPr>
                    <w:rFonts w:eastAsia="Republika"/>
                    <w:szCs w:val="24"/>
                  </w:rPr>
                  <w:t>VB lėšų, skirtų netinkamam finansuoti PVM apmokėti</w:t>
                </w:r>
                <w:r>
                  <w:rPr>
                    <w:rFonts w:eastAsia="Calibri"/>
                    <w:szCs w:val="24"/>
                  </w:rPr>
                  <w:t>.</w:t>
                </w:r>
                <w:r>
                  <w:rPr>
                    <w:szCs w:val="24"/>
                  </w:rPr>
                  <w:t xml:space="preserve"> </w:t>
                </w:r>
              </w:p>
              <w:p w14:paraId="7FE4A668" w14:textId="77777777">
                <w:pPr>
                  <w:jc w:val="both"/>
                  <w:rPr>
                    <w:szCs w:val="24"/>
                  </w:rPr>
                </w:pPr>
                <w:r>
                  <w:rPr>
                    <w:szCs w:val="24"/>
                  </w:rPr>
                  <w:t xml:space="preserve">2.7. Didžiausia galima projekto finansuojamoji dalis sudaro 100 proc. visų tinkamų finansuoti projekto išlaidų. Pareiškėjas savo iniciatyva ir savo ir (arba) kitų šaltinių lėšomis gali prisidėti prie projekto įgyvendinimo. </w:t>
                </w:r>
              </w:p>
              <w:p w14:paraId="01D0D41A" w14:textId="3502302E">
                <w:pPr>
                  <w:tabs>
                    <w:tab w:val="left" w:pos="1170"/>
                    <w:tab w:val="left" w:pos="1710"/>
                  </w:tabs>
                  <w:jc w:val="both"/>
                  <w:rPr>
                    <w:szCs w:val="24"/>
                  </w:rPr>
                </w:pPr>
                <w:r>
                  <w:rPr>
                    <w:szCs w:val="24"/>
                  </w:rPr>
                  <w:t xml:space="preserve">2.8. Vykdydamas Aprašo Nr. 24 2.1 papunktyje nurodytas veiklas pareiškėjas, įgyvendindamas projektą, savo informacinių sistemų tobulinimo planą turi nusimatyti ir vykdyti taip, kad tai neturėtų neigiamos įtakos ESPBI IS plėtrai ir užtikrintų sėkmingą reikalingų funkcionalumų įdiegimą. </w:t>
                </w:r>
              </w:p>
              <w:p w14:paraId="4365A7B6" w14:textId="26AE59BD">
                <w:pPr>
                  <w:jc w:val="both"/>
                  <w:rPr>
                    <w:szCs w:val="24"/>
                  </w:rPr>
                </w:pPr>
                <w:r>
                  <w:rPr>
                    <w:szCs w:val="24"/>
                  </w:rPr>
                  <w:t xml:space="preserve">2.9. </w:t>
                </w:r>
                <w:r>
                  <w:rPr>
                    <w:rFonts w:eastAsia="Calibri"/>
                    <w:bCs/>
                    <w:szCs w:val="24"/>
                  </w:rPr>
                  <w:t>Pagal Aprašą Nr. 24 veiklos įgyvendinamos valstybės planavimo būdu.</w:t>
                </w:r>
              </w:p>
              <w:p w14:paraId="2DDFC8C9" w14:textId="77777777">
                <w:pPr>
                  <w:jc w:val="both"/>
                  <w:rPr>
                    <w:szCs w:val="24"/>
                  </w:rPr>
                </w:pPr>
                <w:r>
                  <w:rPr>
                    <w:szCs w:val="24"/>
                  </w:rPr>
                  <w:t xml:space="preserve">2.10. Finansuojamos veiklos turi būti baigtos įgyvendinti iki 2025 metų gruodžio 31 d. </w:t>
                </w:r>
              </w:p>
              <w:p w14:paraId="7D26A56D" w14:textId="77777777">
                <w:pPr>
                  <w:jc w:val="both"/>
                  <w:rPr>
                    <w:szCs w:val="24"/>
                  </w:rPr>
                </w:pPr>
                <w:r>
                  <w:t xml:space="preserve">2.11. </w:t>
                </w:r>
                <w:r>
                  <w:rPr>
                    <w:szCs w:val="24"/>
                  </w:rPr>
                  <w:t xml:space="preserve">Visi stebėsenos rodikliai yra privalomi pareiškėjui ir turi būti siekiami projekto įgyvendinimo metu ir (ar) po jo. </w:t>
                </w:r>
              </w:p>
              <w:p w14:paraId="4EA541B4" w14:textId="77777777">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34D68104" w14:textId="77777777">
                <w:pPr>
                  <w:jc w:val="both"/>
                </w:pPr>
                <w:r>
                  <w:t>2.13. Kartu su PĮP administruojančiajai institucijai turi būti pateikti šie dokumentai:</w:t>
                </w:r>
              </w:p>
              <w:p w14:paraId="24203C23" w14:textId="77777777">
                <w:pPr>
                  <w:jc w:val="both"/>
                </w:pPr>
                <w:r>
                  <w:t>2.13.1. įgaliojimas pasirašyti PĮP, jei jį pasirašo ne pareiškėjo įstaigos vadovas;</w:t>
                </w:r>
              </w:p>
              <w:p w14:paraId="03AFE1B6" w14:textId="5FEBCD52">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0D72B22D" w14:textId="77777777">
                <w:pPr>
                  <w:jc w:val="both"/>
                  <w:rPr>
                    <w:szCs w:val="24"/>
                  </w:rPr>
                </w:pPr>
                <w:r>
                  <w:rPr>
                    <w:szCs w:val="24"/>
                  </w:rPr>
                  <w:t>2.13.3. d</w:t>
                </w:r>
                <w:r>
                  <w:rPr>
                    <w:szCs w:val="24"/>
                    <w:lang w:eastAsia="lt-LT"/>
                  </w:rPr>
                  <w:t xml:space="preserve">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64568588" w14:textId="7AC750C7">
                <w:pPr>
                  <w:jc w:val="both"/>
                </w:pPr>
                <w:r>
                  <w:t xml:space="preserve">2.13.4. dokumentai, pagrindžiantys darbo užmokesčio (toliau – DU) išlaidų pagrįstumą (pažyma DU vertinti ir kt.). Sudarant projekto biudžetą ir nustatant išlaidas projektą vykdantiems asmenims, kurie yra projekto vykdytojo darbuotojai ar planuojami įdarbinti nauji darbuotojai, būtina remtis dabartiniu DU analogiškoms tos institucijos pareigybėms arba oficialia statistika – taip, kaip apibrėžta Taisyklių 301 punkte. Įkainiui pagrįsti turi būti pateikti įrodantys dokumentai, pavyzdžiui, nuasmenintos darbo sutartys analogiškoms pareigybėms projekte ir (arba) 3–12 mėn. laikotarpio analogiškos pareigybės priskaitymo-apmokėjimo žiniaraštis, įrodantis DU paskyrimo ir išmokėjimo faktą. Valstybės tarnautojų, biudžetinių įstaigų darbuotojų DU valandinis arba mėnesinis įkainis turi būti apskaičiuotas vadovaujantis nacionaliniais teisės aktais, reglamentuojančiais tokių darbuotojų DU apskaičiavimą; </w:t>
                </w:r>
              </w:p>
              <w:p w14:paraId="5EE1BAAB" w14:textId="77777777">
                <w:pPr>
                  <w:jc w:val="both"/>
                </w:pPr>
                <w:r>
                  <w:rPr>
                    <w:lang w:eastAsia="lt-LT"/>
                  </w:rPr>
                  <w:t>2.13.5. p</w:t>
                </w:r>
                <w:r>
                  <w:t xml:space="preserve">artnerio deklaracija (PAFT PĮP formos </w:t>
                </w:r>
                <w:r>
                  <w:rPr>
                    <w:shd w:val="clear" w:color="auto" w:fill="FFFFFF"/>
                  </w:rPr>
                  <w:t>1 priedas</w:t>
                </w:r>
                <w:r>
                  <w:t>) (taikoma, jei projektas bus įgyvendinamas su partneriu (-iais);</w:t>
                </w:r>
              </w:p>
              <w:p w14:paraId="14C3109C" w14:textId="7340DC84">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xml:space="preserve">) (taikoma, jei projektas bus įgyvendinamas su partneriu (-iais); </w:t>
                </w:r>
              </w:p>
              <w:p w14:paraId="210CF145" w14:textId="3802993D">
                <w:pPr>
                  <w:jc w:val="both"/>
                  <w:rPr>
                    <w:szCs w:val="24"/>
                  </w:rPr>
                </w:pPr>
                <w:r>
                  <w:rPr>
                    <w:szCs w:val="24"/>
                  </w:rPr>
                  <w:t>2.13.7 partnerystės sutartis (-ys) tarp pareiškėjo ir partnerio (-ių).</w:t>
                </w:r>
              </w:p>
              <w:p w14:paraId="1A60E606" w14:textId="77777777">
                <w:pPr>
                  <w:jc w:val="both"/>
                  <w:rPr>
                    <w:szCs w:val="24"/>
                    <w:lang w:eastAsia="lt-LT"/>
                  </w:rPr>
                </w:pPr>
                <w:r>
                  <w:t xml:space="preserve">2.14. Projektas turi atitikti </w:t>
                </w:r>
                <w:r>
                  <w:rPr>
                    <w:iCs/>
                  </w:rPr>
                  <w:t>PAFT 2 priede nustatytus projektų bendruosius atrankos kriterijus.</w:t>
                </w:r>
              </w:p>
              <w:p w14:paraId="1265343F" w14:textId="77777777">
                <w:pPr>
                  <w:jc w:val="both"/>
                  <w:rPr>
                    <w:rFonts w:eastAsia="Calibri"/>
                    <w:szCs w:val="24"/>
                    <w:lang w:eastAsia="en-GB" w:bidi="lt-LT"/>
                  </w:rPr>
                </w:pPr>
                <w:r>
                  <w:rPr>
                    <w:szCs w:val="24"/>
                  </w:rPr>
                  <w:t>2.15. Taikomi reikalavimai projekto įgyvendinimo metu:</w:t>
                </w:r>
              </w:p>
              <w:p w14:paraId="4F9213FA" w14:textId="77777777">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3215356A" w14:textId="77777777">
                <w:pPr>
                  <w:jc w:val="both"/>
                  <w:rPr>
                    <w:szCs w:val="24"/>
                  </w:rPr>
                </w:pPr>
                <w:r>
                  <w:rPr>
                    <w:szCs w:val="24"/>
                  </w:rPr>
                  <w:t>2.15.2. sukūrus ar modernizavus elektronines paslaugas, turi būti atliktas atsparumo įsilaužimams testas, kaip tai numatyta Elektroninių paslaugų kūrimo metodikoje, nustačius kritinių klaidų, jos turi būti ištaisytos iki projekto veiklų pabaigos;</w:t>
                </w:r>
              </w:p>
              <w:p w14:paraId="72AEE3F2" w14:textId="77777777">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3A6B9CD9" w14:textId="77777777">
                <w:pPr>
                  <w:jc w:val="both"/>
                  <w:rPr>
                    <w:i/>
                    <w:iCs/>
                    <w:sz w:val="22"/>
                    <w:szCs w:val="22"/>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tc>
          </w:tr>
          <w:tr w14:paraId="00092B2A" w14:textId="77777777">
            <w:tc>
              <w:tcPr>
                <w:tcW w:w="15134" w:type="dxa"/>
              </w:tcPr>
              <w:p w14:paraId="67D56178" w14:textId="77777777">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14:paraId="222578F3" w14:textId="77777777">
            <w:trPr>
              <w:trHeight w:val="206"/>
            </w:trPr>
            <w:tc>
              <w:tcPr>
                <w:tcW w:w="15134" w:type="dxa"/>
              </w:tcPr>
              <w:p w14:paraId="7AC99351" w14:textId="77777777">
                <w:pPr>
                  <w:jc w:val="both"/>
                  <w:rPr>
                    <w:i/>
                    <w:iCs/>
                    <w:sz w:val="22"/>
                    <w:szCs w:val="22"/>
                  </w:rPr>
                </w:pPr>
                <w:r>
                  <w:rPr>
                    <w:szCs w:val="24"/>
                  </w:rPr>
                  <w:t>Netaikoma</w:t>
                </w:r>
              </w:p>
            </w:tc>
          </w:tr>
          <w:tr w14:paraId="48EAAC6C" w14:textId="77777777">
            <w:trPr>
              <w:trHeight w:val="285"/>
            </w:trPr>
            <w:tc>
              <w:tcPr>
                <w:tcW w:w="15134" w:type="dxa"/>
              </w:tcPr>
              <w:p w14:paraId="129DC065" w14:textId="77777777">
                <w:pPr>
                  <w:rPr>
                    <w:b/>
                    <w:szCs w:val="24"/>
                  </w:rPr>
                </w:pPr>
                <w:r>
                  <w:rPr>
                    <w:b/>
                    <w:szCs w:val="24"/>
                  </w:rPr>
                  <w:t>4. Projekto tikslinės grupės</w:t>
                </w:r>
              </w:p>
            </w:tc>
          </w:tr>
          <w:tr w14:paraId="250DCED0" w14:textId="77777777">
            <w:trPr>
              <w:trHeight w:val="285"/>
            </w:trPr>
            <w:tc>
              <w:tcPr>
                <w:tcW w:w="15134" w:type="dxa"/>
              </w:tcPr>
              <w:p w14:paraId="6DE57AE1" w14:textId="77777777">
                <w:pPr>
                  <w:jc w:val="both"/>
                  <w:rPr>
                    <w:szCs w:val="24"/>
                  </w:rPr>
                </w:pPr>
                <w:r>
                  <w:t>4</w:t>
                </w:r>
                <w:r>
                  <w:rPr>
                    <w:szCs w:val="24"/>
                  </w:rPr>
                  <w:t>.1. Tikslinės grupės – sveikatos priežiūros sistemos dalyviai (pacientai), sveikatos priežiūros specialistai, asmens sveikatos priežiūros įstaigos.</w:t>
                </w:r>
              </w:p>
              <w:p w14:paraId="17A80D2A" w14:textId="77777777">
                <w:pPr>
                  <w:jc w:val="both"/>
                  <w:rPr>
                    <w:rFonts w:ascii="Segoe UI" w:eastAsia="Segoe UI" w:hAnsi="Segoe UI" w:cs="Segoe UI"/>
                    <w:sz w:val="19"/>
                    <w:szCs w:val="19"/>
                  </w:rPr>
                </w:pPr>
                <w:r>
                  <w:t>4.2. Tikslinių grupių poreikiai bus išgryninti investiciniame projekte.</w:t>
                </w:r>
              </w:p>
            </w:tc>
          </w:tr>
          <w:tr w14:paraId="7C3B01CE" w14:textId="77777777">
            <w:trPr>
              <w:trHeight w:val="285"/>
            </w:trPr>
            <w:tc>
              <w:tcPr>
                <w:tcW w:w="15134" w:type="dxa"/>
              </w:tcPr>
              <w:p w14:paraId="1DC3D124" w14:textId="77777777">
                <w:pPr>
                  <w:rPr>
                    <w:sz w:val="22"/>
                    <w:szCs w:val="22"/>
                  </w:rPr>
                </w:pPr>
                <w:r>
                  <w:rPr>
                    <w:b/>
                    <w:szCs w:val="24"/>
                  </w:rPr>
                  <w:t>5</w:t>
                </w:r>
                <w:r>
                  <w:rPr>
                    <w:szCs w:val="24"/>
                  </w:rPr>
                  <w:t xml:space="preserve">. </w:t>
                </w:r>
                <w:r>
                  <w:rPr>
                    <w:b/>
                    <w:szCs w:val="24"/>
                  </w:rPr>
                  <w:t>Horizontaliųjų principų (toliau – HP) reikalavimai</w:t>
                </w:r>
              </w:p>
            </w:tc>
          </w:tr>
          <w:tr w14:paraId="76CD9D4F" w14:textId="77777777">
            <w:tc>
              <w:tcPr>
                <w:tcW w:w="15134" w:type="dxa"/>
              </w:tcPr>
              <w:p w14:paraId="7EC130B8" w14:textId="77777777">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547710D5" w14:textId="080BA17F">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r>
                  <w:t>(ES) Nr. 2020/852</w:t>
                </w:r>
                <w:r>
                  <w:t xml:space="preserve"> dėl sistemos tvariam investavimui palengvinti sukūrimo, kuriuo iš dalies keičiamas Reglamentas </w:t>
                </w:r>
                <w:r>
                  <w:t>(ES) 2019/2088</w:t>
                </w:r>
                <w:r>
                  <w:t xml:space="preserve">,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24 priede „Projekto atitikties reikšmingos žalos nedarymo horizontaliajam principui vertinimo reikalavimų aprašas“. </w:t>
                </w:r>
              </w:p>
            </w:tc>
          </w:tr>
          <w:tr w14:paraId="56E5BA2F" w14:textId="77777777">
            <w:tc>
              <w:tcPr>
                <w:tcW w:w="15134" w:type="dxa"/>
              </w:tcPr>
              <w:p w14:paraId="4918C90C" w14:textId="77777777">
                <w:pPr>
                  <w:spacing w:line="259" w:lineRule="auto"/>
                  <w:jc w:val="both"/>
                  <w:rPr>
                    <w:b/>
                    <w:iCs/>
                    <w:szCs w:val="24"/>
                  </w:rPr>
                </w:pPr>
                <w:r>
                  <w:rPr>
                    <w:b/>
                    <w:iCs/>
                    <w:szCs w:val="24"/>
                  </w:rPr>
                  <w:t>6. Europos Sąjungos pagrindinių teisių chartijos (toliau – Chartija) reikalavimai</w:t>
                </w:r>
              </w:p>
            </w:tc>
          </w:tr>
          <w:tr w14:paraId="09111427" w14:textId="77777777">
            <w:tc>
              <w:tcPr>
                <w:tcW w:w="15134" w:type="dxa"/>
              </w:tcPr>
              <w:p w14:paraId="46247B55" w14:textId="7537C0D0">
                <w:pPr>
                  <w:jc w:val="both"/>
                </w:pPr>
                <w:r>
                  <w:t>Pagal Aprašą Nr. 24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009C590E" w14:textId="77777777">
                <w:pPr>
                  <w:jc w:val="both"/>
                  <w:rPr>
                    <w:i/>
                    <w:iCs/>
                    <w:sz w:val="22"/>
                    <w:szCs w:val="22"/>
                  </w:rPr>
                </w:pPr>
                <w:r>
                  <w:t>Projektuose neturi būti numatyta veiksmų, kurie galėtų riboti ar pažeisti Chartijoje numatytas pagrindines teises.</w:t>
                </w:r>
              </w:p>
            </w:tc>
          </w:tr>
          <w:tr w14:paraId="59433802" w14:textId="77777777">
            <w:tc>
              <w:tcPr>
                <w:tcW w:w="15134" w:type="dxa"/>
              </w:tcPr>
              <w:p w14:paraId="6F3EDA22" w14:textId="77777777">
                <w:pPr>
                  <w:rPr>
                    <w:b/>
                    <w:szCs w:val="24"/>
                  </w:rPr>
                </w:pPr>
                <w:r>
                  <w:rPr>
                    <w:b/>
                    <w:szCs w:val="24"/>
                  </w:rPr>
                  <w:t>7. Apskritis, kurioje gali būti įgyvendinami projektai</w:t>
                </w:r>
              </w:p>
            </w:tc>
          </w:tr>
          <w:tr w14:paraId="6294FC5C" w14:textId="77777777">
            <w:tc>
              <w:tcPr>
                <w:tcW w:w="15134" w:type="dxa"/>
              </w:tcPr>
              <w:p w14:paraId="02C88B4F" w14:textId="77777777">
                <w:pPr>
                  <w:jc w:val="both"/>
                  <w:rPr>
                    <w:i/>
                    <w:sz w:val="22"/>
                    <w:szCs w:val="22"/>
                  </w:rPr>
                </w:pPr>
                <w:r>
                  <w:rPr>
                    <w:szCs w:val="24"/>
                  </w:rPr>
                  <w:t>Netaikoma.</w:t>
                </w:r>
              </w:p>
            </w:tc>
          </w:tr>
          <w:tr w14:paraId="552955E8" w14:textId="77777777">
            <w:tc>
              <w:tcPr>
                <w:tcW w:w="15134" w:type="dxa"/>
              </w:tcPr>
              <w:p w14:paraId="08A24B24" w14:textId="12CD373F">
                <w:pPr>
                  <w:jc w:val="both"/>
                  <w:rPr>
                    <w:szCs w:val="24"/>
                  </w:rPr>
                </w:pPr>
                <w:r>
                  <w:rPr>
                    <w:b/>
                    <w:szCs w:val="24"/>
                  </w:rPr>
                  <w:t>8.</w:t>
                </w:r>
                <w:r>
                  <w:rPr>
                    <w:szCs w:val="24"/>
                  </w:rPr>
                  <w:t xml:space="preserve"> </w:t>
                </w:r>
                <w:r>
                  <w:rPr>
                    <w:b/>
                    <w:szCs w:val="24"/>
                  </w:rPr>
                  <w:t>Reikalavimai valstybės pagalbai (kurie nėra nurodyti kituose Aprašo punktuose)</w:t>
                </w:r>
              </w:p>
            </w:tc>
          </w:tr>
          <w:tr w14:paraId="57D307C5" w14:textId="77777777">
            <w:tc>
              <w:tcPr>
                <w:tcW w:w="15134" w:type="dxa"/>
              </w:tcPr>
              <w:p w14:paraId="2DD1771B" w14:textId="11E2A0F2">
                <w:pPr>
                  <w:jc w:val="both"/>
                  <w:rPr>
                    <w:i/>
                    <w:iCs/>
                    <w:sz w:val="22"/>
                    <w:szCs w:val="22"/>
                  </w:rPr>
                </w:pPr>
                <w:r>
                  <w:rPr>
                    <w:szCs w:val="24"/>
                  </w:rPr>
                  <w:t xml:space="preserve">Pagal Aprašą Nr. 24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403C6983" w14:textId="77777777">
            <w:tc>
              <w:tcPr>
                <w:tcW w:w="15134" w:type="dxa"/>
              </w:tcPr>
              <w:p w14:paraId="55DDFCE9" w14:textId="77777777">
                <w:pPr>
                  <w:jc w:val="both"/>
                  <w:rPr>
                    <w:i/>
                    <w:szCs w:val="24"/>
                  </w:rPr>
                </w:pPr>
                <w:r>
                  <w:rPr>
                    <w:b/>
                    <w:szCs w:val="24"/>
                  </w:rPr>
                  <w:t>9.</w:t>
                </w:r>
                <w:r>
                  <w:rPr>
                    <w:szCs w:val="24"/>
                  </w:rPr>
                  <w:t xml:space="preserve"> </w:t>
                </w:r>
                <w:r>
                  <w:rPr>
                    <w:b/>
                    <w:szCs w:val="24"/>
                  </w:rPr>
                  <w:t>Projektų atrankos kriterijai</w:t>
                </w:r>
              </w:p>
            </w:tc>
          </w:tr>
          <w:tr w14:paraId="24FD71B7" w14:textId="77777777">
            <w:trPr>
              <w:trHeight w:val="195"/>
            </w:trPr>
            <w:tc>
              <w:tcPr>
                <w:tcW w:w="15134" w:type="dxa"/>
              </w:tcPr>
              <w:p w14:paraId="68A88B86" w14:textId="77777777">
                <w:pPr>
                  <w:jc w:val="both"/>
                  <w:rPr>
                    <w:i/>
                    <w:szCs w:val="24"/>
                  </w:rPr>
                </w:pPr>
                <w:r>
                  <w:rPr>
                    <w:iCs/>
                    <w:szCs w:val="24"/>
                  </w:rPr>
                  <w:t>Specialieji ir prioritetiniai projektų atrankos kriterijai nėra nustatomi.</w:t>
                </w:r>
              </w:p>
            </w:tc>
          </w:tr>
          <w:tr w14:paraId="694CE52D" w14:textId="77777777">
            <w:trPr>
              <w:trHeight w:val="309"/>
            </w:trPr>
            <w:tc>
              <w:tcPr>
                <w:tcW w:w="15134" w:type="dxa"/>
              </w:tcPr>
              <w:p w14:paraId="2A0051BF" w14:textId="77777777">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289A57F2" w14:textId="77777777">
            <w:trPr>
              <w:trHeight w:val="197"/>
            </w:trPr>
            <w:tc>
              <w:tcPr>
                <w:tcW w:w="15134" w:type="dxa"/>
              </w:tcPr>
              <w:p w14:paraId="4600D28D" w14:textId="77777777">
                <w:pPr>
                  <w:jc w:val="both"/>
                  <w:rPr>
                    <w:i/>
                    <w:sz w:val="22"/>
                    <w:szCs w:val="22"/>
                  </w:rPr>
                </w:pPr>
                <w:r>
                  <w:rPr>
                    <w:iCs/>
                    <w:szCs w:val="22"/>
                  </w:rPr>
                  <w:t>Netaikoma.</w:t>
                </w:r>
              </w:p>
            </w:tc>
          </w:tr>
          <w:tr w14:paraId="0031D2E3" w14:textId="77777777">
            <w:tc>
              <w:tcPr>
                <w:tcW w:w="15134" w:type="dxa"/>
              </w:tcPr>
              <w:p w14:paraId="442CA7E5" w14:textId="77777777">
                <w:pPr>
                  <w:rPr>
                    <w:szCs w:val="24"/>
                  </w:rPr>
                </w:pPr>
                <w:r>
                  <w:rPr>
                    <w:b/>
                    <w:szCs w:val="24"/>
                  </w:rPr>
                  <w:t>11.</w:t>
                </w:r>
                <w:r>
                  <w:rPr>
                    <w:szCs w:val="24"/>
                  </w:rPr>
                  <w:t xml:space="preserve"> </w:t>
                </w:r>
                <w:r>
                  <w:rPr>
                    <w:b/>
                    <w:szCs w:val="24"/>
                  </w:rPr>
                  <w:t>Reikalavimai įgyvendinus projektų veiklas</w:t>
                </w:r>
              </w:p>
            </w:tc>
          </w:tr>
          <w:tr w14:paraId="086421C1" w14:textId="77777777">
            <w:tc>
              <w:tcPr>
                <w:tcW w:w="15134" w:type="dxa"/>
              </w:tcPr>
              <w:p w14:paraId="12740803" w14:textId="77777777">
                <w:pPr>
                  <w:jc w:val="both"/>
                  <w:rPr>
                    <w:i/>
                    <w:sz w:val="22"/>
                    <w:szCs w:val="22"/>
                  </w:rPr>
                </w:pPr>
                <w:r>
                  <w:rPr>
                    <w:iCs/>
                    <w:szCs w:val="24"/>
                  </w:rPr>
                  <w:t>Papildomi reikalavimai, kurie nėra nurodyti PAFT, nenustatyti.</w:t>
                </w:r>
              </w:p>
            </w:tc>
          </w:tr>
          <w:tr w14:paraId="46E51CEF" w14:textId="77777777">
            <w:tc>
              <w:tcPr>
                <w:tcW w:w="15134" w:type="dxa"/>
              </w:tcPr>
              <w:p w14:paraId="046F8F9D" w14:textId="77777777">
                <w:pPr>
                  <w:rPr>
                    <w:szCs w:val="24"/>
                  </w:rPr>
                </w:pPr>
                <w:r>
                  <w:rPr>
                    <w:b/>
                    <w:szCs w:val="24"/>
                  </w:rPr>
                  <w:t>12.</w:t>
                </w:r>
                <w:r>
                  <w:rPr>
                    <w:szCs w:val="24"/>
                  </w:rPr>
                  <w:t xml:space="preserve"> </w:t>
                </w:r>
                <w:r>
                  <w:rPr>
                    <w:b/>
                    <w:szCs w:val="24"/>
                  </w:rPr>
                  <w:t>Kiti reikalavimai</w:t>
                </w:r>
              </w:p>
            </w:tc>
          </w:tr>
          <w:tr w14:paraId="67C0FB70" w14:textId="77777777">
            <w:tc>
              <w:tcPr>
                <w:tcW w:w="15134" w:type="dxa"/>
              </w:tcPr>
              <w:p w14:paraId="5E93D0E0" w14:textId="77777777">
                <w:pPr>
                  <w:jc w:val="both"/>
                  <w:rPr>
                    <w:i/>
                    <w:sz w:val="22"/>
                    <w:szCs w:val="22"/>
                  </w:rPr>
                </w:pPr>
                <w:r>
                  <w:t>Netaikoma.</w:t>
                </w:r>
              </w:p>
            </w:tc>
          </w:tr>
          <w:tr w14:paraId="11ADA3BC" w14:textId="77777777">
            <w:tc>
              <w:tcPr>
                <w:tcW w:w="15134" w:type="dxa"/>
              </w:tcPr>
              <w:p w14:paraId="717ADE43" w14:textId="77777777">
                <w:pPr>
                  <w:rPr>
                    <w:b/>
                    <w:szCs w:val="24"/>
                  </w:rPr>
                </w:pPr>
                <w:r>
                  <w:rPr>
                    <w:b/>
                    <w:szCs w:val="24"/>
                  </w:rPr>
                  <w:t>IŠLAIDŲ TINKAMUMO FINANSUOTI REIKALAVIMAI</w:t>
                </w:r>
              </w:p>
            </w:tc>
          </w:tr>
          <w:tr w14:paraId="38370DB5" w14:textId="77777777">
            <w:tc>
              <w:tcPr>
                <w:tcW w:w="15134" w:type="dxa"/>
              </w:tcPr>
              <w:p w14:paraId="4D6F0C48" w14:textId="77777777">
                <w:pPr>
                  <w:jc w:val="both"/>
                  <w:rPr>
                    <w:b/>
                    <w:szCs w:val="24"/>
                  </w:rPr>
                </w:pPr>
                <w:r>
                  <w:rPr>
                    <w:b/>
                    <w:szCs w:val="24"/>
                  </w:rPr>
                  <w:t>13. Išlaidų tinkamumo finansuoti reikalavimai</w:t>
                </w:r>
              </w:p>
            </w:tc>
          </w:tr>
          <w:tr w14:paraId="5E520147" w14:textId="77777777">
            <w:tc>
              <w:tcPr>
                <w:tcW w:w="15134" w:type="dxa"/>
              </w:tcPr>
              <w:p w14:paraId="3315B3A5" w14:textId="77777777">
                <w:pPr>
                  <w:jc w:val="both"/>
                </w:pPr>
                <w:r>
                  <w:t>13.1. Kryžminis finansavimas netaikomas.</w:t>
                </w:r>
              </w:p>
              <w:p w14:paraId="62998114" w14:textId="77777777">
                <w:pPr>
                  <w:jc w:val="both"/>
                </w:pPr>
                <w:r>
                  <w:t>13.2. Projekto vykdytojui, vadovaujantis PAFT numatytomis sąlygomis, gali būti mokamas avansas.</w:t>
                </w:r>
              </w:p>
              <w:p w14:paraId="35F9C8B0" w14:textId="77777777">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4A94DB68" w14:textId="77777777">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BB20BF5" w14:textId="77777777">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0881946B" w14:textId="17B80FEA">
                <w:pPr>
                  <w:jc w:val="both"/>
                </w:pPr>
                <w:r>
                  <w:t>13.6. Projektui taikomi supaprastinti išlaidų dydžiai nurodyti Aprašo Nr. 24 14 punkte „Projektų veiklų ir jungtinio projekto projektų įgyvendinimui taikomi supaprastintai apmokamų išlaidų dydžiai“.</w:t>
                </w:r>
              </w:p>
              <w:p w14:paraId="6E277B40" w14:textId="77777777">
                <w:r>
                  <w:t xml:space="preserve">13.7. PVM nėra tinkamas finansuoti EGADP lėšomis. PVM gali būti finansuojamas Lietuvos biudžeto lėšomis vadovaujantis PAFT ketvirtajame skirsnyje nustatyta tvarka. </w:t>
                </w:r>
              </w:p>
              <w:p w14:paraId="7BB030CB" w14:textId="63E1E2B7">
                <w:pPr>
                  <w:jc w:val="both"/>
                </w:pPr>
                <w:r>
                  <w:t>13.8. Pagal Aprašą Nr. 24 netinkamos finansuoti projekto išlaidos:</w:t>
                </w:r>
              </w:p>
              <w:p w14:paraId="314CE757" w14:textId="77777777">
                <w:pPr>
                  <w:jc w:val="both"/>
                </w:pPr>
                <w:r>
                  <w:t>13.8.1. žemės ir kito nekilnojamojo turto įsigijimo išlaidos;</w:t>
                </w:r>
              </w:p>
              <w:p w14:paraId="6E53B75D" w14:textId="77777777">
                <w:pPr>
                  <w:jc w:val="both"/>
                </w:pPr>
                <w:r>
                  <w:t>13.8.2. remonto / rekonstrukcijos darbai;</w:t>
                </w:r>
              </w:p>
              <w:p w14:paraId="1CAE64EC" w14:textId="77777777">
                <w:pPr>
                  <w:jc w:val="both"/>
                </w:pPr>
                <w:r>
                  <w:t xml:space="preserve">13.8.3. </w:t>
                </w:r>
                <w:r>
                  <w:rPr>
                    <w:bCs/>
                  </w:rPr>
                  <w:t>baldai</w:t>
                </w:r>
                <w:r>
                  <w:t>;</w:t>
                </w:r>
              </w:p>
              <w:p w14:paraId="69626834" w14:textId="46A4EAFC">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Lietuvos Respublikos Vyriausybės 2015 m. gegužės 13 d. nutarime Nr. 498 „Dėl valstybės informacinių technologijų infrastruktūros konsolidavimo ir jos valdymo optimizavimo“ (toliau – Nutarime Nr. 498);</w:t>
                </w:r>
              </w:p>
              <w:p w14:paraId="7F44951D" w14:textId="77777777">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br/>
                  <w:t>Nr. 498, išlaidos</w:t>
                </w:r>
                <w:r>
                  <w:t xml:space="preserve"> </w:t>
                </w:r>
                <w:r>
                  <w:rPr>
                    <w:szCs w:val="24"/>
                    <w:shd w:val="clear" w:color="auto" w:fill="FFFFFF"/>
                  </w:rPr>
                  <w:t>konsolidavimo ir optimizavimo procese dalyvaujančioms institucijoms;</w:t>
                </w:r>
              </w:p>
              <w:p w14:paraId="05196DE7" w14:textId="77777777">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3B99EDD7" w14:textId="77777777">
                <w:pPr>
                  <w:jc w:val="both"/>
                </w:pPr>
                <w:r>
                  <w:t>13.8.7. vienkartinės priemonės, higienos prekės ir kitos panašios paslaugoms teikti reikalingos priemonės;</w:t>
                </w:r>
              </w:p>
              <w:p w14:paraId="1B46306B" w14:textId="77777777">
                <w:pPr>
                  <w:jc w:val="both"/>
                </w:pPr>
                <w:r>
                  <w:t>13.8.8. naudojamo ilgalaikio turto nusidėvėjimo (amortizacijos) sąnaudos;</w:t>
                </w:r>
              </w:p>
              <w:p w14:paraId="6EBC2E25" w14:textId="77777777">
                <w:pPr>
                  <w:jc w:val="both"/>
                </w:pPr>
                <w:r>
                  <w:t>13.8.9. PĮP rengimo išlaidos (išskyrus investicijų projekto ar kitų su PĮP privalomų teikti dokumentų rengimo išlaidas);</w:t>
                </w:r>
              </w:p>
              <w:p w14:paraId="444320E6" w14:textId="59A78CD4">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DU mokamas už papildomų funkcijų ar užduočių, nenustatytų pareigybės aprašyme, vykdymą.</w:t>
                </w:r>
              </w:p>
            </w:tc>
          </w:tr>
          <w:tr w14:paraId="490D56FF" w14:textId="77777777">
            <w:trPr>
              <w:trHeight w:val="349"/>
            </w:trPr>
            <w:tc>
              <w:tcPr>
                <w:tcW w:w="15134" w:type="dxa"/>
              </w:tcPr>
              <w:p w14:paraId="0B07E5F3" w14:textId="77777777">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14:paraId="4E09D1A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14:paraId="08D403AD" w14:textId="77777777">
                  <w:tc>
                    <w:tcPr>
                      <w:tcW w:w="14913" w:type="dxa"/>
                      <w:gridSpan w:val="5"/>
                    </w:tcPr>
                    <w:p w14:paraId="1FCF4590" w14:textId="7777777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DAC5F61" w14:textId="77777777">
                      <w:r>
                        <w:rPr>
                          <w:rFonts w:eastAsia="MS Gothic"/>
                          <w:b/>
                          <w:bCs/>
                          <w:szCs w:val="24"/>
                        </w:rPr>
                        <w:t>X</w:t>
                      </w:r>
                      <w:r>
                        <w:rPr>
                          <w:b/>
                          <w:bCs/>
                          <w:szCs w:val="24"/>
                        </w:rPr>
                        <w:t xml:space="preserve"> Neindeksuojama</w:t>
                      </w:r>
                    </w:p>
                  </w:tc>
                </w:tr>
                <w:tr w14:paraId="25A9C306" w14:textId="77777777">
                  <w:tc>
                    <w:tcPr>
                      <w:tcW w:w="2889" w:type="dxa"/>
                      <w:vAlign w:val="center"/>
                    </w:tcPr>
                    <w:p w14:paraId="489DCC01" w14:textId="77777777">
                      <w:pPr>
                        <w:jc w:val="center"/>
                        <w:rPr>
                          <w:b/>
                          <w:bCs/>
                        </w:rPr>
                      </w:pPr>
                      <w:r>
                        <w:rPr>
                          <w:b/>
                          <w:bCs/>
                        </w:rPr>
                        <w:t>Veiklos ir (ar) išlaidos, kurioms taikomi supaprastintai apmokamų išlaidų dydžiai</w:t>
                      </w:r>
                    </w:p>
                  </w:tc>
                  <w:tc>
                    <w:tcPr>
                      <w:tcW w:w="1806" w:type="dxa"/>
                      <w:vAlign w:val="center"/>
                    </w:tcPr>
                    <w:p w14:paraId="68A81921" w14:textId="77777777">
                      <w:pPr>
                        <w:jc w:val="center"/>
                        <w:rPr>
                          <w:b/>
                          <w:bCs/>
                        </w:rPr>
                      </w:pPr>
                      <w:r>
                        <w:rPr>
                          <w:b/>
                          <w:bCs/>
                        </w:rPr>
                        <w:t>Supaprastintai apmokamų išlaidų dydžio kodas</w:t>
                      </w:r>
                    </w:p>
                  </w:tc>
                  <w:tc>
                    <w:tcPr>
                      <w:tcW w:w="1843" w:type="dxa"/>
                      <w:vAlign w:val="center"/>
                    </w:tcPr>
                    <w:p w14:paraId="13D8EDDE" w14:textId="77777777">
                      <w:pPr>
                        <w:jc w:val="center"/>
                        <w:rPr>
                          <w:b/>
                          <w:bCs/>
                          <w:i/>
                          <w:iCs/>
                        </w:rPr>
                      </w:pPr>
                      <w:r>
                        <w:rPr>
                          <w:b/>
                          <w:bCs/>
                        </w:rPr>
                        <w:t>Supaprastintai apmokamų išlaidų dydžio versija</w:t>
                      </w:r>
                    </w:p>
                  </w:tc>
                  <w:tc>
                    <w:tcPr>
                      <w:tcW w:w="4252" w:type="dxa"/>
                      <w:vAlign w:val="center"/>
                    </w:tcPr>
                    <w:p w14:paraId="042A2030" w14:textId="77777777">
                      <w:pPr>
                        <w:jc w:val="center"/>
                        <w:rPr>
                          <w:b/>
                          <w:bCs/>
                        </w:rPr>
                      </w:pPr>
                      <w:r>
                        <w:rPr>
                          <w:b/>
                          <w:bCs/>
                        </w:rPr>
                        <w:t>Supaprastintai apmokamų išlaidų dydžio pavadinimas</w:t>
                      </w:r>
                    </w:p>
                  </w:tc>
                  <w:tc>
                    <w:tcPr>
                      <w:tcW w:w="4123" w:type="dxa"/>
                      <w:vAlign w:val="center"/>
                    </w:tcPr>
                    <w:p w14:paraId="5F21904D" w14:textId="77777777">
                      <w:pPr>
                        <w:jc w:val="center"/>
                        <w:rPr>
                          <w:b/>
                          <w:bCs/>
                        </w:rPr>
                      </w:pPr>
                      <w:r>
                        <w:rPr>
                          <w:b/>
                          <w:bCs/>
                        </w:rPr>
                        <w:t>Papildoma informacija</w:t>
                      </w:r>
                    </w:p>
                  </w:tc>
                </w:tr>
                <w:tr w14:paraId="0CC73CDD" w14:textId="77777777">
                  <w:trPr>
                    <w:trHeight w:val="852"/>
                  </w:trPr>
                  <w:tc>
                    <w:tcPr>
                      <w:tcW w:w="2889" w:type="dxa"/>
                    </w:tcPr>
                    <w:p w14:paraId="7CAB89FA" w14:textId="77777777">
                      <w:r>
                        <w:t>14.1. Matomumo ir informavimo priemonės</w:t>
                      </w:r>
                    </w:p>
                    <w:p w14:paraId="5BD942FD" w14:textId="77777777">
                      <w:pPr>
                        <w:rPr>
                          <w:szCs w:val="24"/>
                        </w:rPr>
                      </w:pPr>
                    </w:p>
                  </w:tc>
                  <w:tc>
                    <w:tcPr>
                      <w:tcW w:w="1806" w:type="dxa"/>
                    </w:tcPr>
                    <w:p w14:paraId="38EBD7D3" w14:textId="77777777">
                      <w:pPr>
                        <w:jc w:val="center"/>
                        <w:rPr>
                          <w:szCs w:val="24"/>
                        </w:rPr>
                      </w:pPr>
                      <w:r>
                        <w:rPr>
                          <w:szCs w:val="24"/>
                        </w:rPr>
                        <w:t>FS-01-01</w:t>
                      </w:r>
                    </w:p>
                  </w:tc>
                  <w:tc>
                    <w:tcPr>
                      <w:tcW w:w="1843" w:type="dxa"/>
                    </w:tcPr>
                    <w:p w14:paraId="4AC3936B" w14:textId="77777777">
                      <w:pPr>
                        <w:jc w:val="center"/>
                        <w:rPr>
                          <w:szCs w:val="24"/>
                        </w:rPr>
                      </w:pPr>
                      <w:r>
                        <w:rPr>
                          <w:szCs w:val="24"/>
                        </w:rPr>
                        <w:t>0</w:t>
                      </w:r>
                      <w:r>
                        <w:rPr>
                          <w:szCs w:val="24"/>
                          <w:lang w:val="en-US"/>
                        </w:rPr>
                        <w:t>2</w:t>
                      </w:r>
                    </w:p>
                  </w:tc>
                  <w:tc>
                    <w:tcPr>
                      <w:tcW w:w="4252" w:type="dxa"/>
                    </w:tcPr>
                    <w:p w14:paraId="4BFB3A93" w14:textId="77777777">
                      <w:pPr>
                        <w:rPr>
                          <w:szCs w:val="24"/>
                        </w:rPr>
                      </w:pPr>
                      <w:r>
                        <w:rPr>
                          <w:szCs w:val="24"/>
                        </w:rPr>
                        <w:t>Įgyvendintų privalomų matomumo ir informavimo priemonių apie ES fondų investicijų veiklas fiksuotoji suma, pirmojo rinkinio FS be PVM</w:t>
                      </w:r>
                    </w:p>
                  </w:tc>
                  <w:tc>
                    <w:tcPr>
                      <w:tcW w:w="4123" w:type="dxa"/>
                    </w:tcPr>
                    <w:p w14:paraId="0002F6EB" w14:textId="0D85053E">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05970526" w14:textId="77777777">
                  <w:trPr>
                    <w:trHeight w:val="852"/>
                  </w:trPr>
                  <w:tc>
                    <w:tcPr>
                      <w:tcW w:w="2889" w:type="dxa"/>
                    </w:tcPr>
                    <w:p w14:paraId="52769332" w14:textId="77777777">
                      <w:pPr>
                        <w:rPr>
                          <w:szCs w:val="24"/>
                        </w:rPr>
                      </w:pPr>
                      <w:r>
                        <w:t>14.2. Matomumo ir informavimo priemonės</w:t>
                      </w:r>
                    </w:p>
                  </w:tc>
                  <w:tc>
                    <w:tcPr>
                      <w:tcW w:w="1806" w:type="dxa"/>
                    </w:tcPr>
                    <w:p w14:paraId="29F9D395" w14:textId="77777777">
                      <w:pPr>
                        <w:jc w:val="center"/>
                        <w:rPr>
                          <w:szCs w:val="24"/>
                        </w:rPr>
                      </w:pPr>
                      <w:r>
                        <w:rPr>
                          <w:szCs w:val="24"/>
                        </w:rPr>
                        <w:t>FS-01-02</w:t>
                      </w:r>
                    </w:p>
                  </w:tc>
                  <w:tc>
                    <w:tcPr>
                      <w:tcW w:w="1843" w:type="dxa"/>
                    </w:tcPr>
                    <w:p w14:paraId="7036C382" w14:textId="77777777">
                      <w:pPr>
                        <w:jc w:val="center"/>
                        <w:rPr>
                          <w:szCs w:val="24"/>
                        </w:rPr>
                      </w:pPr>
                      <w:r>
                        <w:rPr>
                          <w:szCs w:val="24"/>
                        </w:rPr>
                        <w:t>02</w:t>
                      </w:r>
                    </w:p>
                  </w:tc>
                  <w:tc>
                    <w:tcPr>
                      <w:tcW w:w="4252" w:type="dxa"/>
                    </w:tcPr>
                    <w:p w14:paraId="7FF73DE5" w14:textId="77777777">
                      <w:pPr>
                        <w:rPr>
                          <w:szCs w:val="24"/>
                        </w:rPr>
                      </w:pPr>
                      <w:r>
                        <w:rPr>
                          <w:szCs w:val="24"/>
                        </w:rPr>
                        <w:t>Įgyvendintų privalomų matomumo ir informavimo priemonių apie ES fondų investicijų veiklas fiksuotoji suma, pirmojo rinkinio FS su PVM</w:t>
                      </w:r>
                    </w:p>
                  </w:tc>
                  <w:tc>
                    <w:tcPr>
                      <w:tcW w:w="4123" w:type="dxa"/>
                    </w:tcPr>
                    <w:p w14:paraId="4B0E7B25" w14:textId="1B3D4219">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E7F06BC" w14:textId="77777777">
                  <w:trPr>
                    <w:trHeight w:val="557"/>
                  </w:trPr>
                  <w:tc>
                    <w:tcPr>
                      <w:tcW w:w="2889" w:type="dxa"/>
                    </w:tcPr>
                    <w:p w14:paraId="0DAD39F5" w14:textId="77777777">
                      <w:pPr>
                        <w:rPr>
                          <w:szCs w:val="24"/>
                        </w:rPr>
                      </w:pPr>
                      <w:r>
                        <w:rPr>
                          <w:szCs w:val="24"/>
                        </w:rPr>
                        <w:t>14.3. Matomumo ir informavimo priemonės</w:t>
                      </w:r>
                    </w:p>
                    <w:p w14:paraId="4995137E" w14:textId="77777777">
                      <w:pPr>
                        <w:rPr>
                          <w:szCs w:val="24"/>
                        </w:rPr>
                      </w:pPr>
                    </w:p>
                  </w:tc>
                  <w:tc>
                    <w:tcPr>
                      <w:tcW w:w="1806" w:type="dxa"/>
                    </w:tcPr>
                    <w:p w14:paraId="7719980B" w14:textId="77777777">
                      <w:pPr>
                        <w:jc w:val="center"/>
                        <w:rPr>
                          <w:szCs w:val="24"/>
                        </w:rPr>
                      </w:pPr>
                      <w:r>
                        <w:rPr>
                          <w:szCs w:val="24"/>
                        </w:rPr>
                        <w:t>FS-01-03</w:t>
                      </w:r>
                    </w:p>
                  </w:tc>
                  <w:tc>
                    <w:tcPr>
                      <w:tcW w:w="1843" w:type="dxa"/>
                    </w:tcPr>
                    <w:p w14:paraId="2BEAE4F2" w14:textId="77777777">
                      <w:pPr>
                        <w:jc w:val="center"/>
                        <w:rPr>
                          <w:szCs w:val="24"/>
                        </w:rPr>
                      </w:pPr>
                      <w:r>
                        <w:rPr>
                          <w:szCs w:val="24"/>
                        </w:rPr>
                        <w:t>0</w:t>
                      </w:r>
                      <w:r>
                        <w:rPr>
                          <w:szCs w:val="24"/>
                          <w:lang w:val="en-US"/>
                        </w:rPr>
                        <w:t>2</w:t>
                      </w:r>
                    </w:p>
                  </w:tc>
                  <w:tc>
                    <w:tcPr>
                      <w:tcW w:w="4252" w:type="dxa"/>
                    </w:tcPr>
                    <w:p w14:paraId="6D5DD0A2" w14:textId="77777777">
                      <w:pPr>
                        <w:rPr>
                          <w:szCs w:val="24"/>
                        </w:rPr>
                      </w:pPr>
                      <w:r>
                        <w:rPr>
                          <w:szCs w:val="24"/>
                        </w:rPr>
                        <w:t>Įgyvendintų privalomų matomumo ir informavimo priemonių apie ES fondų investicijų veiklas fiksuotoji suma, antrojo rinkinio FS be PVM</w:t>
                      </w:r>
                    </w:p>
                  </w:tc>
                  <w:tc>
                    <w:tcPr>
                      <w:tcW w:w="4123" w:type="dxa"/>
                    </w:tcPr>
                    <w:p w14:paraId="4319C3F3" w14:textId="5A1CFF2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18477F3F" w14:textId="77777777">
                  <w:trPr>
                    <w:trHeight w:val="557"/>
                  </w:trPr>
                  <w:tc>
                    <w:tcPr>
                      <w:tcW w:w="2889" w:type="dxa"/>
                    </w:tcPr>
                    <w:p w14:paraId="7A3242BE" w14:textId="77777777">
                      <w:pPr>
                        <w:rPr>
                          <w:szCs w:val="24"/>
                        </w:rPr>
                      </w:pPr>
                      <w:r>
                        <w:rPr>
                          <w:szCs w:val="24"/>
                        </w:rPr>
                        <w:t>14.4. Matomumo ir informavimo priemonės</w:t>
                      </w:r>
                    </w:p>
                  </w:tc>
                  <w:tc>
                    <w:tcPr>
                      <w:tcW w:w="1806" w:type="dxa"/>
                    </w:tcPr>
                    <w:p w14:paraId="75377B2A" w14:textId="77777777">
                      <w:pPr>
                        <w:jc w:val="center"/>
                        <w:rPr>
                          <w:szCs w:val="24"/>
                        </w:rPr>
                      </w:pPr>
                      <w:r>
                        <w:rPr>
                          <w:szCs w:val="24"/>
                        </w:rPr>
                        <w:t>FS-01-04</w:t>
                      </w:r>
                    </w:p>
                    <w:p w14:paraId="6C7CFC1B" w14:textId="77777777">
                      <w:pPr>
                        <w:jc w:val="center"/>
                        <w:rPr>
                          <w:szCs w:val="24"/>
                        </w:rPr>
                      </w:pPr>
                    </w:p>
                  </w:tc>
                  <w:tc>
                    <w:tcPr>
                      <w:tcW w:w="1843" w:type="dxa"/>
                    </w:tcPr>
                    <w:p w14:paraId="11E08FC6" w14:textId="77777777">
                      <w:pPr>
                        <w:jc w:val="center"/>
                        <w:rPr>
                          <w:szCs w:val="24"/>
                        </w:rPr>
                      </w:pPr>
                      <w:r>
                        <w:rPr>
                          <w:szCs w:val="24"/>
                        </w:rPr>
                        <w:t>0</w:t>
                      </w:r>
                      <w:r>
                        <w:rPr>
                          <w:szCs w:val="24"/>
                          <w:lang w:val="en-US"/>
                        </w:rPr>
                        <w:t>2</w:t>
                      </w:r>
                    </w:p>
                  </w:tc>
                  <w:tc>
                    <w:tcPr>
                      <w:tcW w:w="4252" w:type="dxa"/>
                    </w:tcPr>
                    <w:p w14:paraId="6EF84B0F" w14:textId="77777777">
                      <w:pPr>
                        <w:rPr>
                          <w:szCs w:val="24"/>
                        </w:rPr>
                      </w:pPr>
                      <w:r>
                        <w:rPr>
                          <w:szCs w:val="24"/>
                        </w:rPr>
                        <w:t>Įgyvendintų privalomų matomumo ir informavimo priemonių apie ES fondų investicijų veiklas fiksuotoji suma, antrojo rinkinio FS su PVM</w:t>
                      </w:r>
                    </w:p>
                  </w:tc>
                  <w:tc>
                    <w:tcPr>
                      <w:tcW w:w="4123" w:type="dxa"/>
                    </w:tcPr>
                    <w:p w14:paraId="46647E21" w14:textId="06CB9A66">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28565FA5" w14:textId="77777777">
                  <w:trPr>
                    <w:trHeight w:val="557"/>
                  </w:trPr>
                  <w:tc>
                    <w:tcPr>
                      <w:tcW w:w="2889" w:type="dxa"/>
                    </w:tcPr>
                    <w:p w14:paraId="09E963C4" w14:textId="77777777">
                      <w:pPr>
                        <w:rPr>
                          <w:szCs w:val="24"/>
                        </w:rPr>
                      </w:pPr>
                      <w:r>
                        <w:rPr>
                          <w:szCs w:val="24"/>
                        </w:rPr>
                        <w:t>14.5. Netiesioginės išlaidos</w:t>
                      </w:r>
                    </w:p>
                  </w:tc>
                  <w:tc>
                    <w:tcPr>
                      <w:tcW w:w="1806" w:type="dxa"/>
                    </w:tcPr>
                    <w:p w14:paraId="59A4FB71" w14:textId="77777777">
                      <w:pPr>
                        <w:jc w:val="center"/>
                        <w:rPr>
                          <w:szCs w:val="24"/>
                        </w:rPr>
                      </w:pPr>
                      <w:r>
                        <w:rPr>
                          <w:szCs w:val="24"/>
                        </w:rPr>
                        <w:t>FN-01</w:t>
                      </w:r>
                    </w:p>
                  </w:tc>
                  <w:tc>
                    <w:tcPr>
                      <w:tcW w:w="1843" w:type="dxa"/>
                    </w:tcPr>
                    <w:p w14:paraId="294F0275" w14:textId="77777777">
                      <w:pPr>
                        <w:jc w:val="center"/>
                        <w:rPr>
                          <w:szCs w:val="24"/>
                        </w:rPr>
                      </w:pPr>
                      <w:r>
                        <w:rPr>
                          <w:szCs w:val="24"/>
                        </w:rPr>
                        <w:t>-</w:t>
                      </w:r>
                    </w:p>
                  </w:tc>
                  <w:tc>
                    <w:tcPr>
                      <w:tcW w:w="4252" w:type="dxa"/>
                    </w:tcPr>
                    <w:p w14:paraId="571E0544" w14:textId="77777777">
                      <w:pPr>
                        <w:rPr>
                          <w:szCs w:val="24"/>
                        </w:rPr>
                      </w:pPr>
                      <w:r>
                        <w:rPr>
                          <w:szCs w:val="24"/>
                        </w:rPr>
                        <w:t>Iki 7 proc. netiesioginių išlaidų fiksuotoji norma</w:t>
                      </w:r>
                    </w:p>
                  </w:tc>
                  <w:tc>
                    <w:tcPr>
                      <w:tcW w:w="4123" w:type="dxa"/>
                    </w:tcPr>
                    <w:p w14:paraId="35BCD579" w14:textId="77777777">
                      <w:pPr>
                        <w:rPr>
                          <w:szCs w:val="24"/>
                          <w:highlight w:val="yellow"/>
                        </w:rPr>
                      </w:pPr>
                      <w:r>
                        <w:rPr>
                          <w:szCs w:val="24"/>
                        </w:rPr>
                        <w:t>7 proc.</w:t>
                      </w:r>
                    </w:p>
                  </w:tc>
                </w:tr>
                <w:tr w14:paraId="52B85E09" w14:textId="77777777">
                  <w:tc>
                    <w:tcPr>
                      <w:tcW w:w="2889" w:type="dxa"/>
                    </w:tcPr>
                    <w:p w14:paraId="14A00ADF" w14:textId="77777777">
                      <w:pPr>
                        <w:rPr>
                          <w:szCs w:val="24"/>
                        </w:rPr>
                      </w:pPr>
                      <w:r>
                        <w:rPr>
                          <w:szCs w:val="24"/>
                        </w:rPr>
                        <w:t>14.6. Kasmetinių atostogų fiksuotoji norma</w:t>
                      </w:r>
                    </w:p>
                  </w:tc>
                  <w:tc>
                    <w:tcPr>
                      <w:tcW w:w="1806" w:type="dxa"/>
                    </w:tcPr>
                    <w:p w14:paraId="5ACDBCE4" w14:textId="77777777">
                      <w:pPr>
                        <w:jc w:val="center"/>
                        <w:rPr>
                          <w:szCs w:val="24"/>
                        </w:rPr>
                      </w:pPr>
                      <w:r>
                        <w:rPr>
                          <w:szCs w:val="24"/>
                        </w:rPr>
                        <w:t>FN-05-01</w:t>
                      </w:r>
                    </w:p>
                  </w:tc>
                  <w:tc>
                    <w:tcPr>
                      <w:tcW w:w="1843" w:type="dxa"/>
                    </w:tcPr>
                    <w:p w14:paraId="21D4534B" w14:textId="77777777">
                      <w:pPr>
                        <w:jc w:val="center"/>
                        <w:rPr>
                          <w:szCs w:val="24"/>
                        </w:rPr>
                      </w:pPr>
                      <w:r>
                        <w:rPr>
                          <w:szCs w:val="24"/>
                        </w:rPr>
                        <w:t>01</w:t>
                      </w:r>
                    </w:p>
                  </w:tc>
                  <w:tc>
                    <w:tcPr>
                      <w:tcW w:w="4252" w:type="dxa"/>
                    </w:tcPr>
                    <w:p w14:paraId="698C1D44" w14:textId="77777777">
                      <w:pPr>
                        <w:rPr>
                          <w:szCs w:val="24"/>
                        </w:rPr>
                      </w:pPr>
                      <w:r>
                        <w:rPr>
                          <w:szCs w:val="24"/>
                        </w:rPr>
                        <w:t>Fiksuotoji norma, taikoma, kai priklauso 20 d. d. (jeigu dirbama 5 d. d. per savaitę) arba 24 d. d. (jeigu dirbama 6 d. d. per savaitę) kasmetinės atostogos</w:t>
                      </w:r>
                    </w:p>
                  </w:tc>
                  <w:tc>
                    <w:tcPr>
                      <w:tcW w:w="4123" w:type="dxa"/>
                    </w:tcPr>
                    <w:p w14:paraId="3F4B9C4F" w14:textId="0AC2F02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45814AF" w14:textId="77777777">
                  <w:tc>
                    <w:tcPr>
                      <w:tcW w:w="2889" w:type="dxa"/>
                    </w:tcPr>
                    <w:p w14:paraId="05FC6939" w14:textId="77777777">
                      <w:pPr>
                        <w:rPr>
                          <w:szCs w:val="24"/>
                        </w:rPr>
                      </w:pPr>
                      <w:r>
                        <w:rPr>
                          <w:szCs w:val="24"/>
                        </w:rPr>
                        <w:t>14.7. Kasmetinių atostogų fiksuotoji norma</w:t>
                      </w:r>
                    </w:p>
                  </w:tc>
                  <w:tc>
                    <w:tcPr>
                      <w:tcW w:w="1806" w:type="dxa"/>
                    </w:tcPr>
                    <w:p w14:paraId="3F5D5D0A" w14:textId="77777777">
                      <w:pPr>
                        <w:jc w:val="center"/>
                        <w:rPr>
                          <w:szCs w:val="24"/>
                        </w:rPr>
                      </w:pPr>
                      <w:r>
                        <w:rPr>
                          <w:szCs w:val="24"/>
                        </w:rPr>
                        <w:t>FN-05-02</w:t>
                      </w:r>
                    </w:p>
                  </w:tc>
                  <w:tc>
                    <w:tcPr>
                      <w:tcW w:w="1843" w:type="dxa"/>
                    </w:tcPr>
                    <w:p w14:paraId="7BC71E59" w14:textId="77777777">
                      <w:pPr>
                        <w:jc w:val="center"/>
                        <w:rPr>
                          <w:szCs w:val="24"/>
                        </w:rPr>
                      </w:pPr>
                      <w:r>
                        <w:rPr>
                          <w:szCs w:val="24"/>
                        </w:rPr>
                        <w:t>01</w:t>
                      </w:r>
                    </w:p>
                  </w:tc>
                  <w:tc>
                    <w:tcPr>
                      <w:tcW w:w="4252" w:type="dxa"/>
                    </w:tcPr>
                    <w:p w14:paraId="20E434BE" w14:textId="77777777">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6DC832F7" w14:textId="304091EA">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9684659" w14:textId="77777777">
                  <w:tc>
                    <w:tcPr>
                      <w:tcW w:w="2889" w:type="dxa"/>
                    </w:tcPr>
                    <w:p w14:paraId="321E473B" w14:textId="77777777">
                      <w:pPr>
                        <w:rPr>
                          <w:szCs w:val="24"/>
                        </w:rPr>
                      </w:pPr>
                      <w:r>
                        <w:rPr>
                          <w:szCs w:val="24"/>
                        </w:rPr>
                        <w:t xml:space="preserve">14.8. Kasmetinių atostogų  fiksuotoji norma</w:t>
                      </w:r>
                    </w:p>
                  </w:tc>
                  <w:tc>
                    <w:tcPr>
                      <w:tcW w:w="1806" w:type="dxa"/>
                    </w:tcPr>
                    <w:p w14:paraId="4E9F6B1D" w14:textId="77777777">
                      <w:pPr>
                        <w:jc w:val="center"/>
                        <w:rPr>
                          <w:szCs w:val="24"/>
                        </w:rPr>
                      </w:pPr>
                      <w:r>
                        <w:rPr>
                          <w:szCs w:val="24"/>
                        </w:rPr>
                        <w:t>FN-05-03</w:t>
                      </w:r>
                    </w:p>
                  </w:tc>
                  <w:tc>
                    <w:tcPr>
                      <w:tcW w:w="1843" w:type="dxa"/>
                    </w:tcPr>
                    <w:p w14:paraId="54DD18B7" w14:textId="77777777">
                      <w:pPr>
                        <w:jc w:val="center"/>
                        <w:rPr>
                          <w:szCs w:val="24"/>
                        </w:rPr>
                      </w:pPr>
                      <w:r>
                        <w:rPr>
                          <w:szCs w:val="24"/>
                        </w:rPr>
                        <w:t>01</w:t>
                      </w:r>
                    </w:p>
                  </w:tc>
                  <w:tc>
                    <w:tcPr>
                      <w:tcW w:w="4252" w:type="dxa"/>
                    </w:tcPr>
                    <w:p w14:paraId="410A14E0" w14:textId="77777777">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3ACF9A89" w14:textId="526ED71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1A51724" w14:textId="77777777">
                  <w:tc>
                    <w:tcPr>
                      <w:tcW w:w="2889" w:type="dxa"/>
                    </w:tcPr>
                    <w:p w14:paraId="405F903C" w14:textId="77777777">
                      <w:pPr>
                        <w:rPr>
                          <w:szCs w:val="24"/>
                        </w:rPr>
                      </w:pPr>
                      <w:r>
                        <w:rPr>
                          <w:szCs w:val="24"/>
                        </w:rPr>
                        <w:t>14.9. Kasmetinių atostogų fiksuotoji norma</w:t>
                      </w:r>
                    </w:p>
                  </w:tc>
                  <w:tc>
                    <w:tcPr>
                      <w:tcW w:w="1806" w:type="dxa"/>
                    </w:tcPr>
                    <w:p w14:paraId="2D2D27B6" w14:textId="77777777">
                      <w:pPr>
                        <w:jc w:val="center"/>
                        <w:rPr>
                          <w:szCs w:val="24"/>
                        </w:rPr>
                      </w:pPr>
                      <w:r>
                        <w:rPr>
                          <w:szCs w:val="24"/>
                        </w:rPr>
                        <w:t>FN-05-04</w:t>
                      </w:r>
                    </w:p>
                  </w:tc>
                  <w:tc>
                    <w:tcPr>
                      <w:tcW w:w="1843" w:type="dxa"/>
                    </w:tcPr>
                    <w:p w14:paraId="385949C2" w14:textId="77777777">
                      <w:pPr>
                        <w:jc w:val="center"/>
                        <w:rPr>
                          <w:szCs w:val="24"/>
                        </w:rPr>
                      </w:pPr>
                      <w:r>
                        <w:rPr>
                          <w:szCs w:val="24"/>
                        </w:rPr>
                        <w:t>01</w:t>
                      </w:r>
                    </w:p>
                  </w:tc>
                  <w:tc>
                    <w:tcPr>
                      <w:tcW w:w="4252" w:type="dxa"/>
                    </w:tcPr>
                    <w:p w14:paraId="546F6CBE" w14:textId="77777777">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51ABA9FC" w14:textId="14931AF9">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7C5C3F1A" w14:textId="77777777">
                  <w:tc>
                    <w:tcPr>
                      <w:tcW w:w="2889" w:type="dxa"/>
                    </w:tcPr>
                    <w:p w14:paraId="75759DCF" w14:textId="77777777">
                      <w:pPr>
                        <w:rPr>
                          <w:szCs w:val="24"/>
                        </w:rPr>
                      </w:pPr>
                      <w:r>
                        <w:rPr>
                          <w:szCs w:val="24"/>
                        </w:rPr>
                        <w:t>14.10. Kasmetinių atostogų fiksuotoji norma</w:t>
                      </w:r>
                    </w:p>
                  </w:tc>
                  <w:tc>
                    <w:tcPr>
                      <w:tcW w:w="1806" w:type="dxa"/>
                    </w:tcPr>
                    <w:p w14:paraId="3C341752" w14:textId="77777777">
                      <w:pPr>
                        <w:jc w:val="center"/>
                        <w:rPr>
                          <w:szCs w:val="24"/>
                        </w:rPr>
                      </w:pPr>
                      <w:r>
                        <w:rPr>
                          <w:szCs w:val="24"/>
                        </w:rPr>
                        <w:t>FN-05-05</w:t>
                      </w:r>
                    </w:p>
                  </w:tc>
                  <w:tc>
                    <w:tcPr>
                      <w:tcW w:w="1843" w:type="dxa"/>
                    </w:tcPr>
                    <w:p w14:paraId="356F67DA" w14:textId="77777777">
                      <w:pPr>
                        <w:jc w:val="center"/>
                        <w:rPr>
                          <w:szCs w:val="24"/>
                        </w:rPr>
                      </w:pPr>
                      <w:r>
                        <w:rPr>
                          <w:szCs w:val="24"/>
                        </w:rPr>
                        <w:t>01</w:t>
                      </w:r>
                    </w:p>
                  </w:tc>
                  <w:tc>
                    <w:tcPr>
                      <w:tcW w:w="4252" w:type="dxa"/>
                    </w:tcPr>
                    <w:p w14:paraId="0DEFDF7B" w14:textId="77777777">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465D1786" w14:textId="1597BA9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0541856" w14:textId="77777777">
                  <w:tc>
                    <w:tcPr>
                      <w:tcW w:w="2889" w:type="dxa"/>
                    </w:tcPr>
                    <w:p w14:paraId="79EDB6F6" w14:textId="77777777">
                      <w:pPr>
                        <w:rPr>
                          <w:szCs w:val="24"/>
                        </w:rPr>
                      </w:pPr>
                      <w:r>
                        <w:rPr>
                          <w:szCs w:val="24"/>
                        </w:rPr>
                        <w:t>14.11. Kasmetinių atostogų fiksuotoji norma</w:t>
                      </w:r>
                    </w:p>
                  </w:tc>
                  <w:tc>
                    <w:tcPr>
                      <w:tcW w:w="1806" w:type="dxa"/>
                    </w:tcPr>
                    <w:p w14:paraId="2F90F893" w14:textId="77777777">
                      <w:pPr>
                        <w:jc w:val="center"/>
                        <w:rPr>
                          <w:szCs w:val="24"/>
                        </w:rPr>
                      </w:pPr>
                      <w:r>
                        <w:rPr>
                          <w:szCs w:val="24"/>
                        </w:rPr>
                        <w:t>FN-05-06</w:t>
                      </w:r>
                    </w:p>
                  </w:tc>
                  <w:tc>
                    <w:tcPr>
                      <w:tcW w:w="1843" w:type="dxa"/>
                    </w:tcPr>
                    <w:p w14:paraId="679CE6F5" w14:textId="77777777">
                      <w:pPr>
                        <w:jc w:val="center"/>
                        <w:rPr>
                          <w:szCs w:val="24"/>
                        </w:rPr>
                      </w:pPr>
                      <w:r>
                        <w:rPr>
                          <w:szCs w:val="24"/>
                        </w:rPr>
                        <w:t>01</w:t>
                      </w:r>
                    </w:p>
                  </w:tc>
                  <w:tc>
                    <w:tcPr>
                      <w:tcW w:w="4252" w:type="dxa"/>
                    </w:tcPr>
                    <w:p w14:paraId="095530C1" w14:textId="77777777">
                      <w:pPr>
                        <w:rPr>
                          <w:szCs w:val="24"/>
                        </w:rPr>
                      </w:pPr>
                      <w:r>
                        <w:rPr>
                          <w:szCs w:val="24"/>
                        </w:rPr>
                        <w:t>Fiksuotoji norma, taikoma, kai priklauso 40 d. d. (jeigu dirbama 5 d. d. per savaitę) arba 48 d. d. (jeigu dirbama 6 d. d. per savaitę) kasmetinės atostogos</w:t>
                      </w:r>
                    </w:p>
                  </w:tc>
                  <w:tc>
                    <w:tcPr>
                      <w:tcW w:w="4123" w:type="dxa"/>
                    </w:tcPr>
                    <w:p w14:paraId="243C173C" w14:textId="2E99972B">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E6BF3F3" w14:textId="77777777">
                  <w:tc>
                    <w:tcPr>
                      <w:tcW w:w="2889" w:type="dxa"/>
                    </w:tcPr>
                    <w:p w14:paraId="25367648" w14:textId="77777777">
                      <w:pPr>
                        <w:rPr>
                          <w:szCs w:val="24"/>
                        </w:rPr>
                      </w:pPr>
                      <w:r>
                        <w:rPr>
                          <w:szCs w:val="24"/>
                        </w:rPr>
                        <w:t>14.12. Kasmetinių atostogų fiksuotoji norma</w:t>
                      </w:r>
                    </w:p>
                  </w:tc>
                  <w:tc>
                    <w:tcPr>
                      <w:tcW w:w="1806" w:type="dxa"/>
                    </w:tcPr>
                    <w:p w14:paraId="3564763C" w14:textId="77777777">
                      <w:pPr>
                        <w:jc w:val="center"/>
                        <w:rPr>
                          <w:szCs w:val="24"/>
                        </w:rPr>
                      </w:pPr>
                      <w:r>
                        <w:rPr>
                          <w:szCs w:val="24"/>
                        </w:rPr>
                        <w:t>FN-05-07</w:t>
                      </w:r>
                    </w:p>
                  </w:tc>
                  <w:tc>
                    <w:tcPr>
                      <w:tcW w:w="1843" w:type="dxa"/>
                    </w:tcPr>
                    <w:p w14:paraId="6A18999C" w14:textId="77777777">
                      <w:pPr>
                        <w:jc w:val="center"/>
                        <w:rPr>
                          <w:szCs w:val="24"/>
                        </w:rPr>
                      </w:pPr>
                      <w:r>
                        <w:rPr>
                          <w:szCs w:val="24"/>
                        </w:rPr>
                        <w:t>01</w:t>
                      </w:r>
                    </w:p>
                  </w:tc>
                  <w:tc>
                    <w:tcPr>
                      <w:tcW w:w="4252" w:type="dxa"/>
                    </w:tcPr>
                    <w:p w14:paraId="4CC9F041" w14:textId="77777777">
                      <w:pPr>
                        <w:rPr>
                          <w:szCs w:val="24"/>
                        </w:rPr>
                      </w:pPr>
                      <w:r>
                        <w:rPr>
                          <w:szCs w:val="24"/>
                        </w:rPr>
                        <w:t>Fiksuotoji norma, taikoma, kai priklauso nuo 41 d. d. (jeigu dirbama 5 d. d. per savaitę) arba nuo 49 d. d. (jeigu dirbama 6 d. d. per savaitę) kasmetinės atostogos</w:t>
                      </w:r>
                    </w:p>
                  </w:tc>
                  <w:tc>
                    <w:tcPr>
                      <w:tcW w:w="4123" w:type="dxa"/>
                    </w:tcPr>
                    <w:p w14:paraId="7A12CDBE" w14:textId="2B40A3B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4E7A89EB" w14:textId="77777777">
                <w:pPr>
                  <w:jc w:val="both"/>
                  <w:rPr>
                    <w:i/>
                    <w:iCs/>
                    <w:sz w:val="22"/>
                    <w:szCs w:val="22"/>
                  </w:rPr>
                </w:pPr>
              </w:p>
            </w:tc>
          </w:tr>
        </w:tbl>
        <w:p w14:paraId="69BC4F2D" w14:textId="77777777">
          <w:pPr>
            <w:spacing w:line="276" w:lineRule="auto"/>
            <w:jc w:val="center"/>
            <w:rPr>
              <w:rFonts w:eastAsia="Calibri"/>
              <w:sz w:val="22"/>
              <w:szCs w:val="22"/>
            </w:rPr>
          </w:pPr>
        </w:p>
        <w:sdt>
          <w:sdtPr>
            <w:alias w:val="pabaiga"/>
            <w:tag w:val="part_4083994b6d6e49fbbeffd8d84a890762"/>
            <w:lock w:val="sdtLocked"/>
            <w:richText/>
          </w:sdtPr>
          <w:sdtContent>
            <w:p w14:paraId="78365FF0" w14:textId="77777777">
              <w:pPr>
                <w:spacing w:line="276" w:lineRule="auto"/>
                <w:jc w:val="center"/>
                <w:rPr>
                  <w:sz w:val="22"/>
                  <w:szCs w:val="22"/>
                </w:rPr>
              </w:pPr>
              <w:r>
                <w:rPr>
                  <w:rFonts w:eastAsia="Calibri"/>
                  <w:szCs w:val="24"/>
                </w:rPr>
                <w:t>________________</w:t>
              </w:r>
            </w:p>
            <w:p w14:paraId="590B7E49" w14:textId="77777777">
              <w:pPr>
                <w:ind w:left="9923"/>
                <w:rPr>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992" w:left="1134" w:header="567" w:footer="567" w:gutter="0"/>
                  <w:pgNumType w:start="1" w:chapStyle="1"/>
                  <w:cols w:space="1296"/>
                  <w:titlePg/>
                  <w:docGrid w:linePitch="360"/>
                </w:sectPr>
              </w:pPr>
            </w:p>
            <w:p w14:paraId="56B4C980" w14:textId="77777777">
              <w:pPr>
                <w:tabs>
                  <w:tab w:val="center" w:pos="4819"/>
                  <w:tab w:val="right" w:pos="9638"/>
                </w:tabs>
              </w:pPr>
            </w:p>
          </w:sdtContent>
        </w:sdt>
      </w:sdtContent>
    </w:sdt>
    <w:sdt>
      <w:sdtPr>
        <w:alias w:val="pr."/>
        <w:tag w:val="part_d1a883d9b94d4b2797c53cfd86570542"/>
        <w:lock w:val="sdtLocked"/>
        <w:richText/>
      </w:sdtPr>
      <w:sdtContent>
        <w:p w14:paraId="28F8995A" w14:textId="7E88340C">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24</w:t>
          </w:r>
        </w:p>
        <w:p w14:paraId="641FDB93" w14:textId="5541BC19">
          <w:pPr>
            <w:ind w:left="10206"/>
            <w:rPr>
              <w:szCs w:val="24"/>
            </w:rPr>
          </w:pPr>
          <w:r>
            <w:rPr>
              <w:szCs w:val="24"/>
            </w:rPr>
            <w:t>priedas</w:t>
          </w:r>
        </w:p>
        <w:p w14:paraId="353773FD" w14:textId="77777777">
          <w:pPr>
            <w:rPr>
              <w:rFonts w:eastAsia="Calibri"/>
              <w:b/>
              <w:bCs/>
              <w:szCs w:val="24"/>
            </w:rPr>
          </w:pPr>
        </w:p>
        <w:p w14:paraId="2B6985BB" w14:textId="77777777">
          <w:pPr>
            <w:rPr>
              <w:rFonts w:eastAsia="Calibri"/>
              <w:b/>
              <w:bCs/>
              <w:szCs w:val="24"/>
            </w:rPr>
          </w:pPr>
        </w:p>
        <w:p w14:paraId="0A3C2217" w14:textId="77777777">
          <w:pPr>
            <w:jc w:val="center"/>
            <w:rPr>
              <w:rFonts w:eastAsia="Calibri"/>
              <w:b/>
              <w:bCs/>
              <w:szCs w:val="24"/>
            </w:rPr>
          </w:pPr>
          <w:sdt>
            <w:sdtPr>
              <w:alias w:val="Pavadinimas"/>
              <w:tag w:val="title_d1a883d9b94d4b2797c53cfd86570542"/>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3FF486F3" w14:textId="77777777">
          <w:pPr>
            <w:jc w:val="center"/>
            <w:rPr>
              <w:rFonts w:eastAsia="Calibri"/>
              <w:b/>
              <w:bCs/>
              <w:szCs w:val="24"/>
            </w:rPr>
          </w:pPr>
        </w:p>
        <w:p w14:paraId="22E9F3C4"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43977BB"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BB2E606"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092F4AA7"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17A04913" w14:textId="77777777">
            <w:tc>
              <w:tcPr>
                <w:tcW w:w="3545" w:type="dxa"/>
              </w:tcPr>
              <w:p w14:paraId="764F8D4E" w14:textId="77777777">
                <w:pPr>
                  <w:jc w:val="center"/>
                  <w:rPr>
                    <w:rFonts w:eastAsia="Calibri"/>
                    <w:b/>
                    <w:szCs w:val="24"/>
                  </w:rPr>
                </w:pPr>
                <w:r>
                  <w:rPr>
                    <w:rFonts w:eastAsia="Calibri"/>
                    <w:b/>
                    <w:szCs w:val="24"/>
                  </w:rPr>
                  <w:t>Aplinkos tikslai</w:t>
                </w:r>
              </w:p>
              <w:p w14:paraId="64ECE2B8" w14:textId="123FB0FC">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528" w:type="dxa"/>
              </w:tcPr>
              <w:p w14:paraId="6EC29092" w14:textId="7777777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931282D" w14:textId="7777777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DDF18FF"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62CEAF86" w14:textId="77777777">
                <w:pPr>
                  <w:jc w:val="center"/>
                  <w:rPr>
                    <w:rFonts w:eastAsia="Calibri"/>
                    <w:i/>
                    <w:sz w:val="20"/>
                  </w:rPr>
                </w:pPr>
                <w:r>
                  <w:rPr>
                    <w:rFonts w:eastAsia="Calibri"/>
                    <w:b/>
                    <w:szCs w:val="24"/>
                  </w:rPr>
                  <w:t>Pagrindimo dokumentai</w:t>
                </w:r>
              </w:p>
              <w:p w14:paraId="2E308D0F"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1A518878" w14:textId="77777777">
            <w:tc>
              <w:tcPr>
                <w:tcW w:w="3545" w:type="dxa"/>
              </w:tcPr>
              <w:p w14:paraId="7B202275" w14:textId="77777777">
                <w:pPr>
                  <w:rPr>
                    <w:rFonts w:eastAsia="Calibri"/>
                  </w:rPr>
                </w:pPr>
                <w:r>
                  <w:rPr>
                    <w:rFonts w:eastAsia="Calibri"/>
                    <w:szCs w:val="24"/>
                  </w:rPr>
                  <w:t>1. Klimato kaitos švelninimas</w:t>
                </w:r>
              </w:p>
            </w:tc>
            <w:tc>
              <w:tcPr>
                <w:tcW w:w="5528" w:type="dxa"/>
              </w:tcPr>
              <w:p w14:paraId="1AD6EA6D" w14:textId="77777777">
                <w:pPr>
                  <w:jc w:val="both"/>
                  <w:rPr>
                    <w:bCs/>
                  </w:rPr>
                </w:pPr>
                <w:r>
                  <w:rPr>
                    <w:rFonts w:eastAsia="Calibri"/>
                    <w:bCs/>
                    <w:iCs/>
                    <w:szCs w:val="24"/>
                  </w:rPr>
                  <w:t xml:space="preserve">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41EC1E41" w14:textId="77777777">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7D3111A4" w14:textId="77777777">
            <w:tc>
              <w:tcPr>
                <w:tcW w:w="3545" w:type="dxa"/>
              </w:tcPr>
              <w:p w14:paraId="44ED29CD" w14:textId="77777777">
                <w:pPr>
                  <w:rPr>
                    <w:rFonts w:eastAsia="Calibri"/>
                  </w:rPr>
                </w:pPr>
                <w:r>
                  <w:rPr>
                    <w:rFonts w:eastAsia="Calibri"/>
                    <w:szCs w:val="24"/>
                  </w:rPr>
                  <w:t>2. Prisitaikymas prie klimato kaitos</w:t>
                </w:r>
              </w:p>
            </w:tc>
            <w:tc>
              <w:tcPr>
                <w:tcW w:w="5528" w:type="dxa"/>
              </w:tcPr>
              <w:p w14:paraId="59697EE1" w14:textId="77777777">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3F355CAC" w14:textId="77777777">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5216E88C" w14:textId="77777777">
            <w:tc>
              <w:tcPr>
                <w:tcW w:w="3545" w:type="dxa"/>
                <w:shd w:val="clear" w:color="auto" w:fill="auto"/>
              </w:tcPr>
              <w:p w14:paraId="5E7EB4A4" w14:textId="77777777">
                <w:pPr>
                  <w:rPr>
                    <w:rFonts w:eastAsia="Calibri"/>
                  </w:rPr>
                </w:pPr>
                <w:r>
                  <w:rPr>
                    <w:rFonts w:eastAsia="Calibri"/>
                    <w:szCs w:val="24"/>
                  </w:rPr>
                  <w:t>3. Tausus vandens ir jūrų išteklių naudojimas ir apsauga</w:t>
                </w:r>
              </w:p>
            </w:tc>
            <w:tc>
              <w:tcPr>
                <w:tcW w:w="5528" w:type="dxa"/>
                <w:shd w:val="clear" w:color="auto" w:fill="auto"/>
              </w:tcPr>
              <w:p w14:paraId="3DE4DF5B" w14:textId="77777777">
                <w:pPr>
                  <w:jc w:val="both"/>
                  <w:rPr>
                    <w:rFonts w:eastAsia="Calibri"/>
                    <w:b/>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10596F7E" w14:textId="77777777">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1EFD086D" w14:textId="77777777">
            <w:tc>
              <w:tcPr>
                <w:tcW w:w="3545" w:type="dxa"/>
                <w:shd w:val="clear" w:color="auto" w:fill="auto"/>
              </w:tcPr>
              <w:p w14:paraId="53E43067" w14:textId="77777777">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7421CEAF" w14:textId="77777777">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500305A9" w14:textId="77777777">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421F4BBD" w14:textId="77777777">
            <w:tc>
              <w:tcPr>
                <w:tcW w:w="3545" w:type="dxa"/>
              </w:tcPr>
              <w:p w14:paraId="6C3903E1" w14:textId="77777777">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6256B71D" w14:textId="77777777">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33BBAE6D" w14:textId="77777777">
                <w:pPr>
                  <w:jc w:val="both"/>
                  <w:rPr>
                    <w:rFonts w:eastAsia="Calibri"/>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42459F92" w14:textId="77777777">
            <w:tc>
              <w:tcPr>
                <w:tcW w:w="3545" w:type="dxa"/>
              </w:tcPr>
              <w:p w14:paraId="45A957B8" w14:textId="77777777">
                <w:pPr>
                  <w:rPr>
                    <w:rFonts w:eastAsia="Calibri"/>
                  </w:rPr>
                </w:pPr>
                <w:r>
                  <w:rPr>
                    <w:rFonts w:eastAsia="Calibri"/>
                    <w:szCs w:val="24"/>
                  </w:rPr>
                  <w:t>6. Biologinės įvairovės ir ekosistemų apsauga ir atkūrimas</w:t>
                </w:r>
              </w:p>
            </w:tc>
            <w:tc>
              <w:tcPr>
                <w:tcW w:w="5528" w:type="dxa"/>
              </w:tcPr>
              <w:p w14:paraId="0C970151" w14:textId="77777777">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181A413E" w14:textId="77777777">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040778C9" w14:textId="77777777">
          <w:pPr>
            <w:spacing w:line="276" w:lineRule="auto"/>
            <w:jc w:val="center"/>
            <w:rPr>
              <w:rFonts w:ascii="Calibri" w:eastAsia="Calibri" w:hAnsi="Calibri"/>
              <w:sz w:val="22"/>
              <w:szCs w:val="22"/>
            </w:rPr>
          </w:pPr>
        </w:p>
        <w:sdt>
          <w:sdtPr>
            <w:alias w:val="pabaiga"/>
            <w:tag w:val="part_823f31d539ed4084b2d57af7c5600f9a"/>
            <w:lock w:val="sdtLocked"/>
            <w:richText/>
          </w:sdtPr>
          <w:sdtContent>
            <w:p w14:paraId="2DB17B35" w14:textId="77777777">
              <w:pPr>
                <w:spacing w:line="276" w:lineRule="auto"/>
                <w:jc w:val="center"/>
                <w:rPr>
                  <w:sz w:val="22"/>
                  <w:szCs w:val="22"/>
                </w:rPr>
              </w:pPr>
              <w:r>
                <w:rPr>
                  <w:rFonts w:ascii="Calibri" w:eastAsia="Calibri" w:hAnsi="Calibri"/>
                  <w:sz w:val="22"/>
                  <w:szCs w:val="22"/>
                </w:rPr>
                <w:t>________________</w:t>
              </w:r>
            </w:p>
            <w:p w14:paraId="0CD05EF9" w14:textId="77777777">
              <w:pPr>
                <w:spacing w:line="276" w:lineRule="auto"/>
                <w:rPr>
                  <w:sz w:val="22"/>
                  <w:szCs w:val="22"/>
                </w:rPr>
              </w:pPr>
            </w:p>
            <w:p w14:paraId="30D82B35" w14:textId="77777777">
              <w:pPr>
                <w:spacing w:line="276" w:lineRule="auto"/>
                <w:rPr>
                  <w:sz w:val="22"/>
                  <w:szCs w:val="22"/>
                </w:rPr>
              </w:pPr>
            </w:p>
            <w:p w14:paraId="71DF3334" w14:textId="77777777">
              <w:pPr>
                <w:spacing w:line="276" w:lineRule="auto"/>
                <w:rPr>
                  <w:sz w:val="22"/>
                  <w:szCs w:val="22"/>
                </w:rPr>
              </w:pPr>
            </w:p>
          </w:sdtContent>
        </w:sdt>
      </w:sdtContent>
    </w:sdt>
    <w:sectPr>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8E6C64" w14:textId="77777777">
      <w:pPr>
        <w:rPr>
          <w:sz w:val="22"/>
          <w:szCs w:val="22"/>
        </w:rPr>
      </w:pPr>
      <w:r>
        <w:rPr>
          <w:sz w:val="22"/>
          <w:szCs w:val="22"/>
        </w:rPr>
        <w:separator/>
      </w:r>
    </w:p>
  </w:endnote>
  <w:endnote w:type="continuationSeparator" w:id="0">
    <w:p w14:paraId="475A0C93" w14:textId="77777777">
      <w:pPr>
        <w:rPr>
          <w:sz w:val="22"/>
          <w:szCs w:val="22"/>
        </w:rPr>
      </w:pPr>
      <w:r>
        <w:rPr>
          <w:sz w:val="22"/>
          <w:szCs w:val="22"/>
        </w:rPr>
        <w:continuationSeparator/>
      </w:r>
    </w:p>
  </w:endnote>
  <w:endnote w:type="continuationNotice" w:id="1">
    <w:p w14:paraId="17A071BE"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77D77"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5E61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B01F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003CD3" w14:textId="77777777">
      <w:pPr>
        <w:rPr>
          <w:sz w:val="22"/>
          <w:szCs w:val="22"/>
        </w:rPr>
      </w:pPr>
      <w:r>
        <w:rPr>
          <w:sz w:val="22"/>
          <w:szCs w:val="22"/>
        </w:rPr>
        <w:separator/>
      </w:r>
    </w:p>
  </w:footnote>
  <w:footnote w:type="continuationSeparator" w:id="0">
    <w:p w14:paraId="6A00D319" w14:textId="77777777">
      <w:pPr>
        <w:rPr>
          <w:sz w:val="22"/>
          <w:szCs w:val="22"/>
        </w:rPr>
      </w:pPr>
      <w:r>
        <w:rPr>
          <w:sz w:val="22"/>
          <w:szCs w:val="22"/>
        </w:rPr>
        <w:continuationSeparator/>
      </w:r>
    </w:p>
  </w:footnote>
  <w:footnote w:type="continuationNotice" w:id="1">
    <w:p w14:paraId="2EF9C9D5"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C8850"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5D36" w14:textId="445511A3">
    <w:pPr>
      <w:tabs>
        <w:tab w:val="center" w:pos="4819"/>
        <w:tab w:val="right" w:pos="9638"/>
      </w:tabs>
      <w:jc w:val="center"/>
    </w:pPr>
    <w:r>
      <w:fldChar w:fldCharType="begin"/>
    </w:r>
    <w:r>
      <w:instrText>PAGE   \* MERGEFORMAT</w:instrText>
    </w:r>
    <w:r>
      <w:fldChar w:fldCharType="separate"/>
    </w:r>
    <w:r>
      <w:t>2</w:t>
    </w:r>
    <w:r>
      <w:fldChar w:fldCharType="end"/>
    </w:r>
  </w:p>
  <w:p w14:paraId="73ED8E5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0F4AC"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9604381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5.xml"/>
  <Relationship Id="rId22" Type="http://schemas.openxmlformats.org/officeDocument/2006/relationships/fontTable" Target="fontTable.xml"/>
  <Relationship Id="rId23"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4" Abbr="24 pr." Title="2022–2030 METŲ SVEIKATOS PRIEŽIŪROS KOKYBĖS IR EFEKTYVUMO DIDINIMO PLĖTROS PROGRAMOS PAŽANGOS PRIEMONĖS NR. 11-002-02-11-01 „GERINTI SVEIKATOS PRIEŽIŪROS PASLAUGŲ KOKYBĘ IR PRIEINAMUMĄ“ PROJEKTŲ FINANSAVIMO SĄLYGŲ APRAŠAS NR. 24" DocPartId="0266baa162f449838976a44cbe403ebe" PartId="14a88e8cbb73460d86bbec8562e7d6bf">
    <Part Type="pabaiga" DocPartId="29b0af13d6b543719f596ed20482d6a8" PartId="4083994b6d6e49fbbeffd8d84a890762"/>
  </Part>
  <Part Type="priedas" Abbr="pr." Title="PROJEKTO (ĮSKAITANT JUNGTINĮ PROJEKTĄ) ATITIKTIES REIKŠMINGOS ŽALOS NEDARYMO HORIZONTALIAJAM PRINCIPUI VERTINIMO REIKALAVIMŲ APRAŠAS" DocPartId="be5b1e968d344e5caf01fc9ae6644479" PartId="d1a883d9b94d4b2797c53cfd86570542">
    <Part Type="pabaiga" DocPartId="0da2038da38a45668822231bbb4a0f7e" PartId="823f31d539ed4084b2d57af7c5600f9a"/>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BC51E4-B8ED-4496-8690-DD73E7B71E28}">
  <ds:schemaRefs>
    <ds:schemaRef ds:uri="http://schemas.openxmlformats.org/officeDocument/2006/bibliography"/>
  </ds:schemaRefs>
</ds:datastoreItem>
</file>

<file path=customXml/itemProps5.xml><?xml version="1.0" encoding="utf-8"?>
<ds:datastoreItem xmlns:ds="http://schemas.openxmlformats.org/officeDocument/2006/customXml" ds:itemID="{5F972B6A-122E-4F72-9AE6-B0681AA45A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4217</Words>
  <Characters>31212</Characters>
  <Application>Microsoft Office Word</Application>
  <DocSecurity>4</DocSecurity>
  <Lines>678</Lines>
  <Paragraphs>292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35137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Virginija Levinskienė</dc:creator>
  <lastModifiedBy>adlibuser</lastModifiedBy>
  <dcterms:modified xsi:type="dcterms:W3CDTF">2024-05-20T05:05:00Z</dcterms:modified>
  <revision>2</revision>
  <dc:title>PFSA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