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1 pr."/>
        <w:tag w:val="part_7bb06299d3f94f0b8ea7fc7dfaaa2b1a"/>
        <w:lock w:val="sdtLocked"/>
        <w:richText/>
      </w:sdtPr>
      <w:sdtContent>
        <w:p>
          <w:pPr>
            <w:tabs>
              <w:tab w:val="center" w:pos="4819"/>
              <w:tab w:val="right" w:pos="9638"/>
            </w:tabs>
            <w:rPr>
              <w:sz w:val="22"/>
              <w:szCs w:val="22"/>
            </w:rPr>
          </w:pPr>
        </w:p>
        <w:p>
          <w:pPr>
            <w:tabs>
              <w:tab w:val="center" w:pos="4819"/>
              <w:tab w:val="right" w:pos="9638"/>
            </w:tabs>
            <w:rPr>
              <w:sz w:val="22"/>
              <w:szCs w:val="22"/>
            </w:rPr>
          </w:pPr>
        </w:p>
        <w:p>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pPr>
            <w:ind w:left="10065"/>
            <w:jc w:val="both"/>
            <w:rPr>
              <w:szCs w:val="24"/>
            </w:rPr>
          </w:pPr>
          <w:sdt>
            <w:sdtPr>
              <w:alias w:val="Numeris"/>
              <w:tag w:val="nr_7bb06299d3f94f0b8ea7fc7dfaaa2b1a"/>
              <w:lock w:val="sdtLocked"/>
              <w:richText/>
            </w:sdtPr>
            <w:sdtContent>
              <w:r>
                <w:rPr>
                  <w:szCs w:val="24"/>
                </w:rPr>
                <w:t>21</w:t>
              </w:r>
            </w:sdtContent>
          </w:sdt>
          <w:r>
            <w:rPr>
              <w:szCs w:val="24"/>
            </w:rPr>
            <w:t xml:space="preserve"> priedas  </w:t>
          </w:r>
        </w:p>
        <w:p>
          <w:pPr>
            <w:jc w:val="center"/>
            <w:rPr>
              <w:i/>
              <w:szCs w:val="24"/>
            </w:rPr>
          </w:pPr>
        </w:p>
        <w:p>
          <w:pPr>
            <w:jc w:val="center"/>
            <w:rPr>
              <w:b/>
              <w:bCs/>
              <w:szCs w:val="24"/>
            </w:rPr>
          </w:pPr>
          <w:sdt>
            <w:sdtPr>
              <w:alias w:val="Pavadinimas"/>
              <w:tag w:val="title_7bb06299d3f94f0b8ea7fc7dfaaa2b1a"/>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21</w:t>
              </w:r>
            </w:sdtContent>
          </w:sdt>
        </w:p>
        <w:p>
          <w:pPr>
            <w:jc w:val="center"/>
            <w:rPr>
              <w:b/>
              <w:bCs/>
              <w:szCs w:val="24"/>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tc>
              <w:tcPr>
                <w:tcW w:w="14742" w:type="dxa"/>
                <w:gridSpan w:val="13"/>
                <w:vAlign w:val="center"/>
              </w:tcPr>
              <w:p>
                <w:pPr>
                  <w:jc w:val="center"/>
                  <w:rPr>
                    <w:b/>
                    <w:sz w:val="22"/>
                    <w:szCs w:val="22"/>
                  </w:rPr>
                </w:pPr>
                <w:r>
                  <w:rPr>
                    <w:b/>
                    <w:sz w:val="22"/>
                    <w:szCs w:val="22"/>
                  </w:rPr>
                  <w:t>VEIKLOS AR POVEIKLĖS, KURIOMS NUSTATOMOS PROJEKTŲ FINANSAVIMO SĄLYGOS</w:t>
                </w:r>
              </w:p>
            </w:tc>
          </w:tr>
          <w:tr>
            <w:tc>
              <w:tcPr>
                <w:tcW w:w="1378" w:type="dxa"/>
                <w:vAlign w:val="center"/>
              </w:tcPr>
              <w:p>
                <w:pPr>
                  <w:jc w:val="center"/>
                  <w:rPr>
                    <w:b/>
                    <w:sz w:val="20"/>
                  </w:rPr>
                </w:pPr>
                <w:r>
                  <w:rPr>
                    <w:b/>
                    <w:sz w:val="20"/>
                  </w:rPr>
                  <w:t>Veiklos ar poveiklės pavadinimas</w:t>
                </w:r>
              </w:p>
            </w:tc>
            <w:tc>
              <w:tcPr>
                <w:tcW w:w="1103" w:type="dxa"/>
                <w:vAlign w:val="center"/>
              </w:tcPr>
              <w:p>
                <w:pPr>
                  <w:jc w:val="center"/>
                  <w:rPr>
                    <w:b/>
                    <w:sz w:val="20"/>
                  </w:rPr>
                </w:pPr>
                <w:r>
                  <w:rPr>
                    <w:b/>
                    <w:sz w:val="20"/>
                  </w:rPr>
                  <w:t>Finan-savimo šaltinis</w:t>
                </w:r>
              </w:p>
            </w:tc>
            <w:tc>
              <w:tcPr>
                <w:tcW w:w="966" w:type="dxa"/>
                <w:vAlign w:val="center"/>
              </w:tcPr>
              <w:p>
                <w:pPr>
                  <w:jc w:val="center"/>
                  <w:rPr>
                    <w:b/>
                    <w:sz w:val="20"/>
                  </w:rPr>
                </w:pPr>
                <w:r>
                  <w:rPr>
                    <w:b/>
                    <w:bCs/>
                    <w:sz w:val="20"/>
                  </w:rPr>
                  <w:t>Priorite-tas ar kompo-nentas</w:t>
                </w:r>
              </w:p>
            </w:tc>
            <w:tc>
              <w:tcPr>
                <w:tcW w:w="966" w:type="dxa"/>
                <w:vAlign w:val="center"/>
              </w:tcPr>
              <w:p>
                <w:pPr>
                  <w:jc w:val="center"/>
                  <w:rPr>
                    <w:b/>
                    <w:sz w:val="20"/>
                  </w:rPr>
                </w:pPr>
                <w:r>
                  <w:rPr>
                    <w:b/>
                    <w:bCs/>
                    <w:sz w:val="20"/>
                  </w:rPr>
                  <w:t>Uždavi-nys ar priemo-nė</w:t>
                </w:r>
              </w:p>
            </w:tc>
            <w:tc>
              <w:tcPr>
                <w:tcW w:w="1240" w:type="dxa"/>
                <w:vAlign w:val="center"/>
              </w:tcPr>
              <w:p>
                <w:pPr>
                  <w:jc w:val="center"/>
                  <w:rPr>
                    <w:b/>
                    <w:sz w:val="20"/>
                  </w:rPr>
                </w:pPr>
                <w:r>
                  <w:rPr>
                    <w:b/>
                    <w:bCs/>
                    <w:sz w:val="20"/>
                  </w:rPr>
                  <w:t>Veikla ar paprie-monė</w:t>
                </w:r>
              </w:p>
            </w:tc>
            <w:tc>
              <w:tcPr>
                <w:tcW w:w="965" w:type="dxa"/>
                <w:vAlign w:val="center"/>
              </w:tcPr>
              <w:p>
                <w:pPr>
                  <w:jc w:val="center"/>
                  <w:rPr>
                    <w:b/>
                    <w:sz w:val="20"/>
                  </w:rPr>
                </w:pPr>
                <w:r>
                  <w:rPr>
                    <w:b/>
                    <w:sz w:val="20"/>
                  </w:rPr>
                  <w:t>Inter-ven-cinės priemo-nės kodas</w:t>
                </w:r>
              </w:p>
            </w:tc>
            <w:tc>
              <w:tcPr>
                <w:tcW w:w="1238" w:type="dxa"/>
                <w:vAlign w:val="center"/>
              </w:tcPr>
              <w:p>
                <w:pPr>
                  <w:jc w:val="center"/>
                  <w:rPr>
                    <w:b/>
                    <w:bCs/>
                    <w:sz w:val="20"/>
                  </w:rPr>
                </w:pPr>
                <w:r>
                  <w:rPr>
                    <w:b/>
                    <w:sz w:val="20"/>
                  </w:rPr>
                  <w:t>Regionas, kuriam priskiriama veikla ar poveiklė</w:t>
                </w:r>
              </w:p>
            </w:tc>
            <w:tc>
              <w:tcPr>
                <w:tcW w:w="966" w:type="dxa"/>
                <w:vAlign w:val="center"/>
              </w:tcPr>
              <w:p>
                <w:pPr>
                  <w:jc w:val="center"/>
                  <w:rPr>
                    <w:b/>
                    <w:sz w:val="20"/>
                  </w:rPr>
                </w:pPr>
                <w:r>
                  <w:rPr>
                    <w:b/>
                    <w:bCs/>
                    <w:sz w:val="20"/>
                  </w:rPr>
                  <w:t>Para-mos for-mos ko-das</w:t>
                </w:r>
              </w:p>
            </w:tc>
            <w:tc>
              <w:tcPr>
                <w:tcW w:w="1239" w:type="dxa"/>
                <w:vAlign w:val="center"/>
              </w:tcPr>
              <w:p>
                <w:pPr>
                  <w:jc w:val="center"/>
                  <w:rPr>
                    <w:b/>
                    <w:sz w:val="20"/>
                  </w:rPr>
                </w:pPr>
                <w:r>
                  <w:rPr>
                    <w:b/>
                    <w:bCs/>
                    <w:sz w:val="20"/>
                  </w:rPr>
                  <w:t>Pagrindinės teritorinės srities kodas (-ai)</w:t>
                </w:r>
              </w:p>
            </w:tc>
            <w:tc>
              <w:tcPr>
                <w:tcW w:w="1239" w:type="dxa"/>
                <w:vAlign w:val="center"/>
              </w:tcPr>
              <w:p>
                <w:pPr>
                  <w:jc w:val="center"/>
                  <w:rPr>
                    <w:b/>
                    <w:sz w:val="20"/>
                  </w:rPr>
                </w:pPr>
                <w:r>
                  <w:rPr>
                    <w:b/>
                    <w:bCs/>
                    <w:sz w:val="20"/>
                  </w:rPr>
                  <w:t>Ekonominės veiklos kodas (-ai)</w:t>
                </w:r>
              </w:p>
            </w:tc>
            <w:tc>
              <w:tcPr>
                <w:tcW w:w="1238" w:type="dxa"/>
                <w:vAlign w:val="center"/>
              </w:tcPr>
              <w:p>
                <w:pPr>
                  <w:jc w:val="center"/>
                  <w:rPr>
                    <w:b/>
                    <w:bCs/>
                    <w:sz w:val="20"/>
                  </w:rPr>
                </w:pPr>
                <w:r>
                  <w:rPr>
                    <w:b/>
                    <w:bCs/>
                    <w:sz w:val="20"/>
                  </w:rPr>
                  <w:t>„Europos socialinio fondo +“ (toliau – ESF+) antrinių temų kodai</w:t>
                </w:r>
              </w:p>
            </w:tc>
            <w:tc>
              <w:tcPr>
                <w:tcW w:w="966" w:type="dxa"/>
                <w:vAlign w:val="center"/>
              </w:tcPr>
              <w:p>
                <w:pPr>
                  <w:jc w:val="center"/>
                  <w:rPr>
                    <w:b/>
                    <w:bCs/>
                    <w:sz w:val="20"/>
                  </w:rPr>
                </w:pPr>
                <w:r>
                  <w:rPr>
                    <w:b/>
                    <w:bCs/>
                    <w:sz w:val="20"/>
                  </w:rPr>
                  <w:t>Lyčių lygybės mat-mens kodas</w:t>
                </w:r>
              </w:p>
            </w:tc>
            <w:tc>
              <w:tcPr>
                <w:tcW w:w="1238" w:type="dxa"/>
              </w:tcPr>
              <w:p>
                <w:pPr>
                  <w:jc w:val="center"/>
                  <w:rPr>
                    <w:b/>
                    <w:bCs/>
                    <w:sz w:val="20"/>
                  </w:rPr>
                </w:pPr>
                <w:r>
                  <w:rPr>
                    <w:b/>
                    <w:bCs/>
                    <w:sz w:val="20"/>
                  </w:rPr>
                  <w:t>Nepanau-dotos Ekonomi-kos gaivinimo ir atsparumo didinimo priemonės lėšos</w:t>
                </w:r>
              </w:p>
              <w:p>
                <w:pPr>
                  <w:jc w:val="center"/>
                  <w:rPr>
                    <w:b/>
                    <w:bCs/>
                    <w:sz w:val="20"/>
                  </w:rPr>
                </w:pPr>
                <w:r>
                  <w:rPr>
                    <w:b/>
                    <w:bCs/>
                    <w:sz w:val="20"/>
                  </w:rPr>
                  <w:t>(Taip / Ne)</w:t>
                </w:r>
              </w:p>
            </w:tc>
          </w:tr>
          <w:tr>
            <w:trPr>
              <w:trHeight w:val="278"/>
            </w:trPr>
            <w:tc>
              <w:tcPr>
                <w:tcW w:w="1378" w:type="dxa"/>
                <w:vMerge w:val="restart"/>
                <w:tcMar>
                  <w:left w:w="28" w:type="dxa"/>
                  <w:right w:w="28" w:type="dxa"/>
                </w:tcMar>
              </w:tcPr>
              <w:p>
                <w:pPr>
                  <w:jc w:val="center"/>
                  <w:rPr>
                    <w:sz w:val="20"/>
                  </w:rPr>
                </w:pPr>
                <w:r>
                  <w:rPr>
                    <w:sz w:val="20"/>
                  </w:rPr>
                  <w:t xml:space="preserve">2.4 </w:t>
                </w:r>
              </w:p>
              <w:p>
                <w:pPr>
                  <w:jc w:val="center"/>
                  <w:rPr>
                    <w:sz w:val="20"/>
                  </w:rPr>
                </w:pPr>
                <w:r>
                  <w:rPr>
                    <w:sz w:val="20"/>
                  </w:rPr>
                  <w:t>Regionų ir savivaldybių sveikatos priežiūros įstaigų </w:t>
                </w:r>
              </w:p>
              <w:p>
                <w:pPr>
                  <w:ind w:firstLine="53"/>
                  <w:jc w:val="center"/>
                  <w:rPr>
                    <w:iCs/>
                    <w:sz w:val="20"/>
                  </w:rPr>
                </w:pPr>
                <w:r>
                  <w:rPr>
                    <w:sz w:val="20"/>
                  </w:rPr>
                  <w:t>infrastruktūros modernizavi-mas, Sostinės regionas</w:t>
                </w:r>
              </w:p>
            </w:tc>
            <w:tc>
              <w:tcPr>
                <w:tcW w:w="1103" w:type="dxa"/>
                <w:tcMar>
                  <w:left w:w="28" w:type="dxa"/>
                  <w:right w:w="28" w:type="dxa"/>
                </w:tcMar>
              </w:tcPr>
              <w:p>
                <w:pPr>
                  <w:jc w:val="center"/>
                  <w:rPr>
                    <w:sz w:val="20"/>
                  </w:rPr>
                </w:pPr>
                <w:r>
                  <w:rPr>
                    <w:sz w:val="20"/>
                  </w:rPr>
                  <w:t xml:space="preserve">Europos Sąjungos (toliau – ES) fondų lėšos </w:t>
                </w:r>
              </w:p>
            </w:tc>
            <w:tc>
              <w:tcPr>
                <w:tcW w:w="966" w:type="dxa"/>
                <w:vMerge w:val="restart"/>
                <w:tcMar>
                  <w:left w:w="28" w:type="dxa"/>
                  <w:right w:w="28" w:type="dxa"/>
                </w:tcMar>
              </w:tcPr>
              <w:p>
                <w:pPr>
                  <w:jc w:val="center"/>
                  <w:rPr>
                    <w:iCs/>
                    <w:sz w:val="20"/>
                  </w:rPr>
                </w:pPr>
                <w:r>
                  <w:rPr>
                    <w:iCs/>
                    <w:sz w:val="20"/>
                  </w:rPr>
                  <w:t>4</w:t>
                </w:r>
              </w:p>
            </w:tc>
            <w:tc>
              <w:tcPr>
                <w:tcW w:w="966" w:type="dxa"/>
                <w:vMerge w:val="restart"/>
                <w:tcMar>
                  <w:left w:w="28" w:type="dxa"/>
                  <w:right w:w="28" w:type="dxa"/>
                </w:tcMar>
              </w:tcPr>
              <w:p>
                <w:pPr>
                  <w:jc w:val="center"/>
                  <w:rPr>
                    <w:iCs/>
                    <w:sz w:val="20"/>
                    <w:lang w:val="en-US"/>
                  </w:rPr>
                </w:pPr>
                <w:r>
                  <w:rPr>
                    <w:iCs/>
                    <w:sz w:val="20"/>
                    <w:lang w:val="en-US"/>
                  </w:rPr>
                  <w:t>4.10</w:t>
                </w:r>
              </w:p>
            </w:tc>
            <w:tc>
              <w:tcPr>
                <w:tcW w:w="1240" w:type="dxa"/>
                <w:vMerge w:val="restart"/>
                <w:tcMar>
                  <w:left w:w="28" w:type="dxa"/>
                  <w:right w:w="28" w:type="dxa"/>
                </w:tcMar>
              </w:tcPr>
              <w:p>
                <w:pPr>
                  <w:jc w:val="center"/>
                  <w:rPr>
                    <w:iCs/>
                    <w:sz w:val="20"/>
                    <w:lang w:val="en-US"/>
                  </w:rPr>
                </w:pPr>
                <w:r>
                  <w:rPr>
                    <w:iCs/>
                    <w:sz w:val="20"/>
                    <w:lang w:val="en-US"/>
                  </w:rPr>
                  <w:t xml:space="preserve">4.10.3 </w:t>
                </w:r>
              </w:p>
              <w:p>
                <w:pPr>
                  <w:jc w:val="center"/>
                  <w:rPr>
                    <w:iCs/>
                    <w:sz w:val="20"/>
                  </w:rPr>
                </w:pPr>
                <w:r>
                  <w:rPr>
                    <w:iCs/>
                    <w:sz w:val="20"/>
                    <w:lang w:val="en-US"/>
                  </w:rPr>
                  <w:t>Gerinti aukštos kokybės specializuotos sveikatos priežiūros prieinamumą</w:t>
                </w:r>
              </w:p>
            </w:tc>
            <w:tc>
              <w:tcPr>
                <w:tcW w:w="965" w:type="dxa"/>
                <w:vMerge w:val="restart"/>
                <w:tcMar>
                  <w:left w:w="28" w:type="dxa"/>
                  <w:right w:w="28" w:type="dxa"/>
                </w:tcMar>
              </w:tcPr>
              <w:p>
                <w:pPr>
                  <w:jc w:val="center"/>
                  <w:rPr>
                    <w:bCs/>
                    <w:iCs/>
                    <w:sz w:val="20"/>
                  </w:rPr>
                </w:pPr>
                <w:r>
                  <w:rPr>
                    <w:bCs/>
                    <w:iCs/>
                    <w:sz w:val="20"/>
                  </w:rPr>
                  <w:t>0</w:t>
                </w:r>
                <w:r>
                  <w:rPr>
                    <w:bCs/>
                    <w:iCs/>
                    <w:sz w:val="20"/>
                    <w:lang w:val="en-US"/>
                  </w:rPr>
                  <w:t>44</w:t>
                </w:r>
                <w:r>
                  <w:rPr>
                    <w:bCs/>
                    <w:iCs/>
                    <w:sz w:val="20"/>
                  </w:rPr>
                  <w:t xml:space="preserve"> ir 129</w:t>
                </w:r>
              </w:p>
            </w:tc>
            <w:tc>
              <w:tcPr>
                <w:tcW w:w="1238" w:type="dxa"/>
                <w:vMerge w:val="restart"/>
                <w:tcMar>
                  <w:left w:w="28" w:type="dxa"/>
                  <w:right w:w="28" w:type="dxa"/>
                </w:tcMar>
              </w:tcPr>
              <w:p>
                <w:pPr>
                  <w:jc w:val="center"/>
                  <w:rPr>
                    <w:iCs/>
                    <w:sz w:val="20"/>
                  </w:rPr>
                </w:pPr>
                <w:r>
                  <w:rPr>
                    <w:sz w:val="20"/>
                  </w:rPr>
                  <w:t>Sostinės regionas</w:t>
                </w:r>
              </w:p>
            </w:tc>
            <w:tc>
              <w:tcPr>
                <w:tcW w:w="966" w:type="dxa"/>
                <w:vMerge w:val="restart"/>
                <w:tcMar>
                  <w:left w:w="28" w:type="dxa"/>
                  <w:right w:w="28" w:type="dxa"/>
                </w:tcMar>
              </w:tcPr>
              <w:p>
                <w:pPr>
                  <w:jc w:val="center"/>
                  <w:rPr>
                    <w:iCs/>
                    <w:sz w:val="20"/>
                  </w:rPr>
                </w:pPr>
                <w:r>
                  <w:rPr>
                    <w:iCs/>
                    <w:sz w:val="20"/>
                  </w:rPr>
                  <w:t>01 – Dotacija</w:t>
                </w:r>
              </w:p>
            </w:tc>
            <w:tc>
              <w:tcPr>
                <w:tcW w:w="1239" w:type="dxa"/>
                <w:vMerge w:val="restart"/>
                <w:tcMar>
                  <w:left w:w="28" w:type="dxa"/>
                  <w:right w:w="28" w:type="dxa"/>
                </w:tcMar>
              </w:tcPr>
              <w:p>
                <w:pPr>
                  <w:jc w:val="center"/>
                  <w:rPr>
                    <w:iCs/>
                    <w:sz w:val="20"/>
                  </w:rPr>
                </w:pPr>
                <w:r>
                  <w:rPr>
                    <w:iCs/>
                    <w:sz w:val="20"/>
                  </w:rPr>
                  <w:t>33 – Nesiorien-tuojant į teritoriškumą</w:t>
                </w:r>
              </w:p>
            </w:tc>
            <w:tc>
              <w:tcPr>
                <w:tcW w:w="1239" w:type="dxa"/>
                <w:vMerge w:val="restart"/>
                <w:tcMar>
                  <w:left w:w="28" w:type="dxa"/>
                  <w:right w:w="28" w:type="dxa"/>
                </w:tcMar>
              </w:tcPr>
              <w:p>
                <w:pPr>
                  <w:jc w:val="center"/>
                  <w:rPr>
                    <w:iCs/>
                    <w:sz w:val="20"/>
                  </w:rPr>
                </w:pPr>
                <w:r>
                  <w:rPr>
                    <w:iCs/>
                    <w:sz w:val="20"/>
                  </w:rPr>
                  <w:t>22 – Žmonių sveikatos priežiūros veikla</w:t>
                </w:r>
              </w:p>
            </w:tc>
            <w:tc>
              <w:tcPr>
                <w:tcW w:w="1238" w:type="dxa"/>
                <w:vMerge w:val="restart"/>
                <w:tcMar>
                  <w:left w:w="28" w:type="dxa"/>
                  <w:right w:w="28" w:type="dxa"/>
                </w:tcMar>
              </w:tcPr>
              <w:p>
                <w:pPr>
                  <w:jc w:val="center"/>
                  <w:rPr>
                    <w:iCs/>
                    <w:sz w:val="20"/>
                  </w:rPr>
                </w:pPr>
                <w:r>
                  <w:rPr>
                    <w:iCs/>
                    <w:sz w:val="20"/>
                  </w:rPr>
                  <w:t>Nepildoma</w:t>
                </w:r>
              </w:p>
            </w:tc>
            <w:tc>
              <w:tcPr>
                <w:tcW w:w="966" w:type="dxa"/>
                <w:vMerge w:val="restart"/>
                <w:tcMar>
                  <w:left w:w="28" w:type="dxa"/>
                  <w:right w:w="28" w:type="dxa"/>
                </w:tcMar>
              </w:tcPr>
              <w:p>
                <w:pPr>
                  <w:jc w:val="center"/>
                  <w:rPr>
                    <w:iCs/>
                    <w:sz w:val="20"/>
                  </w:rPr>
                </w:pPr>
                <w:r>
                  <w:rPr>
                    <w:iCs/>
                    <w:sz w:val="20"/>
                  </w:rPr>
                  <w:t>03 – Neutralu-mas lyties požiūriu</w:t>
                </w:r>
              </w:p>
            </w:tc>
            <w:tc>
              <w:tcPr>
                <w:tcW w:w="1238" w:type="dxa"/>
                <w:vMerge w:val="restart"/>
              </w:tcPr>
              <w:p>
                <w:pPr>
                  <w:jc w:val="center"/>
                  <w:rPr>
                    <w:iCs/>
                    <w:sz w:val="20"/>
                  </w:rPr>
                </w:pPr>
                <w:r>
                  <w:rPr>
                    <w:iCs/>
                    <w:sz w:val="20"/>
                  </w:rPr>
                  <w:t>Ne</w:t>
                </w:r>
              </w:p>
              <w:p>
                <w:pPr>
                  <w:jc w:val="center"/>
                  <w:rPr>
                    <w:iCs/>
                    <w:sz w:val="20"/>
                  </w:rPr>
                </w:pPr>
              </w:p>
              <w:p>
                <w:pPr>
                  <w:jc w:val="center"/>
                  <w:rPr>
                    <w:iCs/>
                    <w:sz w:val="20"/>
                  </w:rPr>
                </w:pPr>
              </w:p>
              <w:p>
                <w:pPr>
                  <w:jc w:val="center"/>
                  <w:rPr>
                    <w:iCs/>
                    <w:sz w:val="20"/>
                  </w:rPr>
                </w:pPr>
              </w:p>
              <w:p>
                <w:pPr>
                  <w:jc w:val="center"/>
                  <w:rPr>
                    <w:iCs/>
                    <w:sz w:val="20"/>
                  </w:rPr>
                </w:pPr>
              </w:p>
              <w:p>
                <w:pPr>
                  <w:jc w:val="center"/>
                  <w:rPr>
                    <w:iCs/>
                    <w:sz w:val="20"/>
                  </w:rPr>
                </w:pPr>
              </w:p>
              <w:p>
                <w:pPr>
                  <w:jc w:val="center"/>
                  <w:rPr>
                    <w:iCs/>
                    <w:sz w:val="20"/>
                  </w:rPr>
                </w:pPr>
              </w:p>
            </w:tc>
          </w:tr>
          <w:tr>
            <w:trPr>
              <w:trHeight w:val="278"/>
            </w:trPr>
            <w:tc>
              <w:tcPr>
                <w:tcW w:w="1378" w:type="dxa"/>
                <w:vMerge/>
                <w:tcMar>
                  <w:left w:w="28" w:type="dxa"/>
                  <w:right w:w="28" w:type="dxa"/>
                </w:tcMar>
              </w:tcPr>
              <w:p>
                <w:pPr>
                  <w:jc w:val="center"/>
                  <w:rPr>
                    <w:iCs/>
                    <w:sz w:val="20"/>
                  </w:rPr>
                </w:pPr>
              </w:p>
            </w:tc>
            <w:tc>
              <w:tcPr>
                <w:tcW w:w="1103" w:type="dxa"/>
                <w:tcMar>
                  <w:left w:w="28" w:type="dxa"/>
                  <w:right w:w="28" w:type="dxa"/>
                </w:tcMar>
              </w:tcPr>
              <w:p>
                <w:pPr>
                  <w:jc w:val="center"/>
                  <w:rPr>
                    <w:iCs/>
                    <w:sz w:val="20"/>
                  </w:rPr>
                </w:pPr>
                <w:r>
                  <w:rPr>
                    <w:iCs/>
                    <w:sz w:val="20"/>
                  </w:rPr>
                  <w:t xml:space="preserve">Bendrojo finansavimo lėšos </w:t>
                </w:r>
              </w:p>
              <w:p>
                <w:pPr>
                  <w:jc w:val="center"/>
                  <w:rPr>
                    <w:sz w:val="20"/>
                  </w:rPr>
                </w:pPr>
                <w:r>
                  <w:rPr>
                    <w:iCs/>
                    <w:sz w:val="20"/>
                  </w:rPr>
                  <w:t>(toliau – BF lėšos)</w:t>
                </w:r>
              </w:p>
            </w:tc>
            <w:tc>
              <w:tcPr>
                <w:tcW w:w="966" w:type="dxa"/>
                <w:vMerge/>
                <w:tcMar>
                  <w:left w:w="28" w:type="dxa"/>
                  <w:right w:w="28" w:type="dxa"/>
                </w:tcMar>
              </w:tcPr>
              <w:p>
                <w:pPr>
                  <w:jc w:val="center"/>
                  <w:rPr>
                    <w:iCs/>
                    <w:sz w:val="20"/>
                  </w:rPr>
                </w:pPr>
              </w:p>
            </w:tc>
            <w:tc>
              <w:tcPr>
                <w:tcW w:w="966" w:type="dxa"/>
                <w:vMerge/>
                <w:tcMar>
                  <w:left w:w="28" w:type="dxa"/>
                  <w:right w:w="28" w:type="dxa"/>
                </w:tcMar>
              </w:tcPr>
              <w:p>
                <w:pPr>
                  <w:jc w:val="center"/>
                  <w:rPr>
                    <w:iCs/>
                    <w:sz w:val="20"/>
                  </w:rPr>
                </w:pPr>
              </w:p>
            </w:tc>
            <w:tc>
              <w:tcPr>
                <w:tcW w:w="1240" w:type="dxa"/>
                <w:vMerge/>
                <w:tcMar>
                  <w:left w:w="28" w:type="dxa"/>
                  <w:right w:w="28" w:type="dxa"/>
                </w:tcMar>
              </w:tcPr>
              <w:p>
                <w:pPr>
                  <w:jc w:val="center"/>
                  <w:rPr>
                    <w:iCs/>
                    <w:sz w:val="20"/>
                  </w:rPr>
                </w:pPr>
              </w:p>
            </w:tc>
            <w:tc>
              <w:tcPr>
                <w:tcW w:w="965" w:type="dxa"/>
                <w:vMerge/>
                <w:tcMar>
                  <w:left w:w="28" w:type="dxa"/>
                  <w:right w:w="28" w:type="dxa"/>
                </w:tcMar>
              </w:tcPr>
              <w:p>
                <w:pPr>
                  <w:jc w:val="center"/>
                  <w:rPr>
                    <w:iCs/>
                    <w:sz w:val="20"/>
                  </w:rPr>
                </w:pPr>
              </w:p>
            </w:tc>
            <w:tc>
              <w:tcPr>
                <w:tcW w:w="1238" w:type="dxa"/>
                <w:vMerge/>
                <w:tcMar>
                  <w:left w:w="28" w:type="dxa"/>
                  <w:right w:w="28" w:type="dxa"/>
                </w:tcMar>
              </w:tcPr>
              <w:p>
                <w:pPr>
                  <w:jc w:val="center"/>
                  <w:rPr>
                    <w:iCs/>
                    <w:sz w:val="20"/>
                  </w:rPr>
                </w:pPr>
              </w:p>
            </w:tc>
            <w:tc>
              <w:tcPr>
                <w:tcW w:w="966" w:type="dxa"/>
                <w:vMerge/>
                <w:tcMar>
                  <w:left w:w="28" w:type="dxa"/>
                  <w:right w:w="28" w:type="dxa"/>
                </w:tcMar>
              </w:tcPr>
              <w:p>
                <w:pPr>
                  <w:jc w:val="center"/>
                  <w:rPr>
                    <w:iCs/>
                    <w:sz w:val="20"/>
                  </w:rPr>
                </w:pPr>
              </w:p>
            </w:tc>
            <w:tc>
              <w:tcPr>
                <w:tcW w:w="1239" w:type="dxa"/>
                <w:vMerge/>
                <w:tcMar>
                  <w:left w:w="28" w:type="dxa"/>
                  <w:right w:w="28" w:type="dxa"/>
                </w:tcMar>
              </w:tcPr>
              <w:p>
                <w:pPr>
                  <w:jc w:val="center"/>
                  <w:rPr>
                    <w:iCs/>
                    <w:sz w:val="20"/>
                  </w:rPr>
                </w:pPr>
              </w:p>
            </w:tc>
            <w:tc>
              <w:tcPr>
                <w:tcW w:w="1239" w:type="dxa"/>
                <w:vMerge/>
                <w:tcMar>
                  <w:left w:w="28" w:type="dxa"/>
                  <w:right w:w="28" w:type="dxa"/>
                </w:tcMar>
              </w:tcPr>
              <w:p>
                <w:pPr>
                  <w:jc w:val="center"/>
                  <w:rPr>
                    <w:iCs/>
                    <w:sz w:val="20"/>
                  </w:rPr>
                </w:pPr>
              </w:p>
            </w:tc>
            <w:tc>
              <w:tcPr>
                <w:tcW w:w="1238" w:type="dxa"/>
                <w:vMerge/>
                <w:tcMar>
                  <w:left w:w="28" w:type="dxa"/>
                  <w:right w:w="28" w:type="dxa"/>
                </w:tcMar>
              </w:tcPr>
              <w:p>
                <w:pPr>
                  <w:jc w:val="center"/>
                  <w:rPr>
                    <w:iCs/>
                    <w:sz w:val="20"/>
                  </w:rPr>
                </w:pPr>
              </w:p>
            </w:tc>
            <w:tc>
              <w:tcPr>
                <w:tcW w:w="966" w:type="dxa"/>
                <w:vMerge/>
                <w:tcMar>
                  <w:left w:w="28" w:type="dxa"/>
                  <w:right w:w="28" w:type="dxa"/>
                </w:tcMar>
              </w:tcPr>
              <w:p>
                <w:pPr>
                  <w:jc w:val="center"/>
                  <w:rPr>
                    <w:iCs/>
                    <w:sz w:val="20"/>
                  </w:rPr>
                </w:pPr>
              </w:p>
            </w:tc>
            <w:tc>
              <w:tcPr>
                <w:tcW w:w="1238" w:type="dxa"/>
                <w:vMerge/>
              </w:tcPr>
              <w:p>
                <w:pPr>
                  <w:jc w:val="center"/>
                  <w:rPr>
                    <w:iCs/>
                    <w:sz w:val="20"/>
                  </w:rPr>
                </w:pPr>
              </w:p>
            </w:tc>
          </w:tr>
        </w:tbl>
        <w:p>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2"/>
            <w:gridCol w:w="3585"/>
            <w:gridCol w:w="3585"/>
            <w:gridCol w:w="3570"/>
          </w:tblGrid>
          <w:tr>
            <w:trPr>
              <w:trHeight w:val="405"/>
            </w:trPr>
            <w:tc>
              <w:tcPr>
                <w:tcW w:w="4002" w:type="dxa"/>
                <w:shd w:val="clear" w:color="auto" w:fill="auto"/>
                <w:vAlign w:val="center"/>
              </w:tcPr>
              <w:p>
                <w:pPr>
                  <w:spacing w:line="276" w:lineRule="auto"/>
                  <w:jc w:val="center"/>
                  <w:rPr>
                    <w:sz w:val="22"/>
                    <w:szCs w:val="22"/>
                  </w:rPr>
                </w:pPr>
                <w:r>
                  <w:rPr>
                    <w:sz w:val="22"/>
                    <w:szCs w:val="22"/>
                  </w:rPr>
                  <w:t>Rodiklio pavadinimas</w:t>
                </w:r>
              </w:p>
            </w:tc>
            <w:tc>
              <w:tcPr>
                <w:tcW w:w="3585" w:type="dxa"/>
                <w:shd w:val="clear" w:color="auto" w:fill="auto"/>
                <w:vAlign w:val="center"/>
              </w:tcPr>
              <w:p>
                <w:pPr>
                  <w:spacing w:line="276" w:lineRule="auto"/>
                  <w:jc w:val="center"/>
                  <w:rPr>
                    <w:sz w:val="22"/>
                    <w:szCs w:val="22"/>
                  </w:rPr>
                </w:pPr>
                <w:r>
                  <w:rPr>
                    <w:sz w:val="22"/>
                    <w:szCs w:val="22"/>
                  </w:rPr>
                  <w:t>Rodiklio kodas</w:t>
                </w:r>
              </w:p>
            </w:tc>
            <w:tc>
              <w:tcPr>
                <w:tcW w:w="3585" w:type="dxa"/>
                <w:shd w:val="clear" w:color="auto" w:fill="auto"/>
                <w:vAlign w:val="center"/>
              </w:tcPr>
              <w:p>
                <w:pPr>
                  <w:spacing w:line="276" w:lineRule="auto"/>
                  <w:jc w:val="center"/>
                  <w:rPr>
                    <w:sz w:val="22"/>
                    <w:szCs w:val="22"/>
                  </w:rPr>
                </w:pPr>
                <w:r>
                  <w:rPr>
                    <w:sz w:val="22"/>
                    <w:szCs w:val="22"/>
                  </w:rPr>
                  <w:t>Matavimo vienetai</w:t>
                </w:r>
              </w:p>
            </w:tc>
            <w:tc>
              <w:tcPr>
                <w:tcW w:w="3570" w:type="dxa"/>
                <w:shd w:val="clear" w:color="auto" w:fill="auto"/>
                <w:vAlign w:val="center"/>
              </w:tcPr>
              <w:p>
                <w:pPr>
                  <w:spacing w:line="276" w:lineRule="auto"/>
                  <w:jc w:val="center"/>
                  <w:rPr>
                    <w:sz w:val="22"/>
                    <w:szCs w:val="22"/>
                  </w:rPr>
                </w:pPr>
                <w:r>
                  <w:rPr>
                    <w:sz w:val="22"/>
                    <w:szCs w:val="22"/>
                  </w:rPr>
                  <w:t>Siektina reikšmė</w:t>
                </w:r>
              </w:p>
            </w:tc>
          </w:tr>
          <w:tr>
            <w:trPr>
              <w:trHeight w:val="725"/>
            </w:trPr>
            <w:tc>
              <w:tcPr>
                <w:tcW w:w="4002" w:type="dxa"/>
              </w:tcPr>
              <w:p>
                <w:pPr>
                  <w:spacing w:line="276" w:lineRule="auto"/>
                  <w:jc w:val="center"/>
                  <w:rPr>
                    <w:i/>
                    <w:iCs/>
                    <w:sz w:val="22"/>
                    <w:szCs w:val="22"/>
                  </w:rPr>
                </w:pPr>
                <w:r>
                  <w:rPr>
                    <w:sz w:val="22"/>
                    <w:szCs w:val="22"/>
                  </w:rPr>
                  <w:t>Naujos arba modernizuotos sveikatos priežiūros infrastruktūros talpumas</w:t>
                </w:r>
              </w:p>
            </w:tc>
            <w:tc>
              <w:tcPr>
                <w:tcW w:w="3585" w:type="dxa"/>
              </w:tcPr>
              <w:p>
                <w:pPr>
                  <w:jc w:val="center"/>
                  <w:rPr>
                    <w:sz w:val="22"/>
                    <w:szCs w:val="22"/>
                    <w:lang w:eastAsia="lt-LT"/>
                  </w:rPr>
                </w:pPr>
                <w:r>
                  <w:rPr>
                    <w:sz w:val="22"/>
                    <w:szCs w:val="22"/>
                    <w:lang w:eastAsia="lt-LT"/>
                  </w:rPr>
                  <w:t>P.B.2.0069</w:t>
                </w:r>
              </w:p>
              <w:p>
                <w:pPr>
                  <w:spacing w:line="276" w:lineRule="auto"/>
                  <w:jc w:val="center"/>
                  <w:rPr>
                    <w:i/>
                    <w:iCs/>
                    <w:sz w:val="22"/>
                    <w:szCs w:val="22"/>
                  </w:rPr>
                </w:pPr>
                <w:r>
                  <w:rPr>
                    <w:sz w:val="22"/>
                    <w:szCs w:val="22"/>
                  </w:rPr>
                  <w:t>P-11-002-02-11-01-31</w:t>
                </w:r>
              </w:p>
            </w:tc>
            <w:tc>
              <w:tcPr>
                <w:tcW w:w="3585" w:type="dxa"/>
                <w:vAlign w:val="center"/>
              </w:tcPr>
              <w:p>
                <w:pPr>
                  <w:spacing w:line="276" w:lineRule="auto"/>
                  <w:jc w:val="center"/>
                  <w:rPr>
                    <w:i/>
                    <w:iCs/>
                    <w:sz w:val="22"/>
                    <w:szCs w:val="22"/>
                  </w:rPr>
                </w:pPr>
                <w:r>
                  <w:rPr>
                    <w:sz w:val="22"/>
                    <w:szCs w:val="22"/>
                  </w:rPr>
                  <w:t>Asmenys per metus</w:t>
                </w:r>
              </w:p>
            </w:tc>
            <w:tc>
              <w:tcPr>
                <w:tcW w:w="3570" w:type="dxa"/>
              </w:tcPr>
              <w:p>
                <w:pPr>
                  <w:ind w:left="-57" w:right="-57"/>
                  <w:jc w:val="center"/>
                  <w:rPr>
                    <w:sz w:val="22"/>
                    <w:szCs w:val="22"/>
                    <w:lang w:val="en-US"/>
                  </w:rPr>
                </w:pPr>
                <w:r>
                  <w:rPr>
                    <w:sz w:val="22"/>
                    <w:szCs w:val="22"/>
                    <w:lang w:val="en-US"/>
                  </w:rPr>
                  <w:t>48 900</w:t>
                </w:r>
              </w:p>
              <w:p>
                <w:pPr>
                  <w:spacing w:line="276" w:lineRule="auto"/>
                  <w:ind w:right="-234"/>
                  <w:jc w:val="center"/>
                  <w:rPr>
                    <w:sz w:val="22"/>
                    <w:szCs w:val="22"/>
                  </w:rPr>
                </w:pPr>
                <w:r>
                  <w:rPr>
                    <w:sz w:val="22"/>
                    <w:szCs w:val="22"/>
                  </w:rPr>
                  <w:t>(2029 m.)</w:t>
                </w:r>
              </w:p>
            </w:tc>
          </w:tr>
          <w:tr>
            <w:trPr>
              <w:trHeight w:val="725"/>
            </w:trPr>
            <w:tc>
              <w:tcPr>
                <w:tcW w:w="4002" w:type="dxa"/>
              </w:tcPr>
              <w:p>
                <w:pPr>
                  <w:spacing w:line="276" w:lineRule="auto"/>
                  <w:jc w:val="center"/>
                  <w:rPr>
                    <w:sz w:val="22"/>
                    <w:szCs w:val="22"/>
                  </w:rPr>
                </w:pPr>
                <w:r>
                  <w:rPr>
                    <w:sz w:val="22"/>
                    <w:szCs w:val="22"/>
                  </w:rPr>
                  <w:t>Naujos arba modernizuotos sveikatos priežiūros infrastruktūros naudotojų skaičius per metus</w:t>
                </w:r>
              </w:p>
            </w:tc>
            <w:tc>
              <w:tcPr>
                <w:tcW w:w="3585" w:type="dxa"/>
              </w:tcPr>
              <w:p>
                <w:pPr>
                  <w:jc w:val="center"/>
                  <w:rPr>
                    <w:sz w:val="22"/>
                    <w:szCs w:val="22"/>
                  </w:rPr>
                </w:pPr>
                <w:r>
                  <w:rPr>
                    <w:sz w:val="22"/>
                    <w:szCs w:val="22"/>
                    <w:lang w:eastAsia="lt-LT"/>
                  </w:rPr>
                  <w:t>R.B.2.2073</w:t>
                </w:r>
              </w:p>
              <w:p>
                <w:pPr>
                  <w:spacing w:line="276" w:lineRule="auto"/>
                  <w:jc w:val="center"/>
                  <w:rPr>
                    <w:sz w:val="22"/>
                    <w:szCs w:val="22"/>
                  </w:rPr>
                </w:pPr>
                <w:r>
                  <w:rPr>
                    <w:sz w:val="22"/>
                    <w:szCs w:val="22"/>
                  </w:rPr>
                  <w:t>R-11-002-02-11-01-28</w:t>
                </w:r>
              </w:p>
              <w:p>
                <w:pPr>
                  <w:spacing w:line="276" w:lineRule="auto"/>
                  <w:jc w:val="center"/>
                  <w:rPr>
                    <w:sz w:val="22"/>
                    <w:szCs w:val="22"/>
                  </w:rPr>
                </w:pPr>
              </w:p>
            </w:tc>
            <w:tc>
              <w:tcPr>
                <w:tcW w:w="3585" w:type="dxa"/>
                <w:vAlign w:val="center"/>
              </w:tcPr>
              <w:p>
                <w:pPr>
                  <w:spacing w:line="276" w:lineRule="auto"/>
                  <w:jc w:val="center"/>
                  <w:rPr>
                    <w:sz w:val="22"/>
                    <w:szCs w:val="22"/>
                  </w:rPr>
                </w:pPr>
                <w:r>
                  <w:rPr>
                    <w:sz w:val="22"/>
                    <w:szCs w:val="22"/>
                  </w:rPr>
                  <w:t>Naudotojai per metus</w:t>
                </w:r>
              </w:p>
            </w:tc>
            <w:tc>
              <w:tcPr>
                <w:tcW w:w="3570" w:type="dxa"/>
              </w:tcPr>
              <w:p>
                <w:pPr>
                  <w:ind w:left="-57" w:right="-57"/>
                  <w:jc w:val="center"/>
                  <w:rPr>
                    <w:sz w:val="22"/>
                    <w:szCs w:val="22"/>
                  </w:rPr>
                </w:pPr>
                <w:r>
                  <w:rPr>
                    <w:sz w:val="22"/>
                    <w:szCs w:val="22"/>
                  </w:rPr>
                  <w:t>46 460</w:t>
                </w:r>
              </w:p>
              <w:p>
                <w:pPr>
                  <w:spacing w:line="276" w:lineRule="auto"/>
                  <w:jc w:val="center"/>
                  <w:rPr>
                    <w:sz w:val="22"/>
                    <w:szCs w:val="22"/>
                  </w:rPr>
                </w:pPr>
                <w:r>
                  <w:rPr>
                    <w:sz w:val="22"/>
                    <w:szCs w:val="22"/>
                  </w:rPr>
                  <w:t>(2029 m.)</w:t>
                </w:r>
              </w:p>
            </w:tc>
          </w:tr>
        </w:tbl>
        <w:p>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tc>
              <w:tcPr>
                <w:tcW w:w="14742" w:type="dxa"/>
                <w:gridSpan w:val="13"/>
                <w:vAlign w:val="center"/>
              </w:tcPr>
              <w:p>
                <w:pPr>
                  <w:jc w:val="center"/>
                  <w:rPr>
                    <w:b/>
                    <w:sz w:val="22"/>
                    <w:szCs w:val="22"/>
                  </w:rPr>
                </w:pPr>
                <w:r>
                  <w:rPr>
                    <w:b/>
                    <w:sz w:val="22"/>
                    <w:szCs w:val="22"/>
                  </w:rPr>
                  <w:t>VEIKLOS AR POVEIKLĖS, KURIOMS NUSTATOMOS PROJEKTŲ FINANSAVIMO SĄLYGOS</w:t>
                </w:r>
              </w:p>
            </w:tc>
          </w:tr>
          <w:tr>
            <w:tc>
              <w:tcPr>
                <w:tcW w:w="1378" w:type="dxa"/>
                <w:vAlign w:val="center"/>
              </w:tcPr>
              <w:p>
                <w:pPr>
                  <w:jc w:val="center"/>
                  <w:rPr>
                    <w:b/>
                    <w:sz w:val="20"/>
                  </w:rPr>
                </w:pPr>
                <w:r>
                  <w:rPr>
                    <w:b/>
                    <w:sz w:val="20"/>
                  </w:rPr>
                  <w:t>Veiklos ar poveiklės pavadinimas</w:t>
                </w:r>
              </w:p>
            </w:tc>
            <w:tc>
              <w:tcPr>
                <w:tcW w:w="1103" w:type="dxa"/>
                <w:vAlign w:val="center"/>
              </w:tcPr>
              <w:p>
                <w:pPr>
                  <w:jc w:val="center"/>
                  <w:rPr>
                    <w:b/>
                    <w:sz w:val="20"/>
                  </w:rPr>
                </w:pPr>
                <w:r>
                  <w:rPr>
                    <w:b/>
                    <w:sz w:val="20"/>
                  </w:rPr>
                  <w:t>Finan-savimo šaltinis</w:t>
                </w:r>
              </w:p>
            </w:tc>
            <w:tc>
              <w:tcPr>
                <w:tcW w:w="966" w:type="dxa"/>
                <w:vAlign w:val="center"/>
              </w:tcPr>
              <w:p>
                <w:pPr>
                  <w:jc w:val="center"/>
                  <w:rPr>
                    <w:b/>
                    <w:sz w:val="20"/>
                  </w:rPr>
                </w:pPr>
                <w:r>
                  <w:rPr>
                    <w:b/>
                    <w:bCs/>
                    <w:sz w:val="20"/>
                  </w:rPr>
                  <w:t>Priorite-tas ar kompo-nentas</w:t>
                </w:r>
              </w:p>
            </w:tc>
            <w:tc>
              <w:tcPr>
                <w:tcW w:w="966" w:type="dxa"/>
                <w:vAlign w:val="center"/>
              </w:tcPr>
              <w:p>
                <w:pPr>
                  <w:jc w:val="center"/>
                  <w:rPr>
                    <w:b/>
                    <w:sz w:val="20"/>
                  </w:rPr>
                </w:pPr>
                <w:r>
                  <w:rPr>
                    <w:b/>
                    <w:bCs/>
                    <w:sz w:val="20"/>
                  </w:rPr>
                  <w:t>Uždavi-nys ar priemo-nė</w:t>
                </w:r>
              </w:p>
            </w:tc>
            <w:tc>
              <w:tcPr>
                <w:tcW w:w="1240" w:type="dxa"/>
                <w:vAlign w:val="center"/>
              </w:tcPr>
              <w:p>
                <w:pPr>
                  <w:jc w:val="center"/>
                  <w:rPr>
                    <w:b/>
                    <w:sz w:val="20"/>
                  </w:rPr>
                </w:pPr>
                <w:r>
                  <w:rPr>
                    <w:b/>
                    <w:bCs/>
                    <w:sz w:val="20"/>
                  </w:rPr>
                  <w:t>Veikla ar paprie-monė</w:t>
                </w:r>
              </w:p>
            </w:tc>
            <w:tc>
              <w:tcPr>
                <w:tcW w:w="965" w:type="dxa"/>
                <w:vAlign w:val="center"/>
              </w:tcPr>
              <w:p>
                <w:pPr>
                  <w:jc w:val="center"/>
                  <w:rPr>
                    <w:b/>
                    <w:sz w:val="20"/>
                  </w:rPr>
                </w:pPr>
                <w:r>
                  <w:rPr>
                    <w:b/>
                    <w:sz w:val="20"/>
                  </w:rPr>
                  <w:t>Inter-ven-cinės priemo-nės kodas</w:t>
                </w:r>
              </w:p>
            </w:tc>
            <w:tc>
              <w:tcPr>
                <w:tcW w:w="1238" w:type="dxa"/>
                <w:vAlign w:val="center"/>
              </w:tcPr>
              <w:p>
                <w:pPr>
                  <w:jc w:val="center"/>
                  <w:rPr>
                    <w:b/>
                    <w:bCs/>
                    <w:sz w:val="20"/>
                  </w:rPr>
                </w:pPr>
                <w:r>
                  <w:rPr>
                    <w:b/>
                    <w:sz w:val="20"/>
                  </w:rPr>
                  <w:t>Regionas, kuriam priskiriama veikla ar poveiklė</w:t>
                </w:r>
              </w:p>
            </w:tc>
            <w:tc>
              <w:tcPr>
                <w:tcW w:w="966" w:type="dxa"/>
                <w:vAlign w:val="center"/>
              </w:tcPr>
              <w:p>
                <w:pPr>
                  <w:jc w:val="center"/>
                  <w:rPr>
                    <w:b/>
                    <w:sz w:val="20"/>
                  </w:rPr>
                </w:pPr>
                <w:r>
                  <w:rPr>
                    <w:b/>
                    <w:bCs/>
                    <w:sz w:val="20"/>
                  </w:rPr>
                  <w:t>Para-mos for-mos ko-das</w:t>
                </w:r>
              </w:p>
            </w:tc>
            <w:tc>
              <w:tcPr>
                <w:tcW w:w="1239" w:type="dxa"/>
                <w:vAlign w:val="center"/>
              </w:tcPr>
              <w:p>
                <w:pPr>
                  <w:jc w:val="center"/>
                  <w:rPr>
                    <w:b/>
                    <w:sz w:val="20"/>
                  </w:rPr>
                </w:pPr>
                <w:r>
                  <w:rPr>
                    <w:b/>
                    <w:bCs/>
                    <w:sz w:val="20"/>
                  </w:rPr>
                  <w:t>Pagrindinės teritorinės srities kodas (-ai)</w:t>
                </w:r>
              </w:p>
            </w:tc>
            <w:tc>
              <w:tcPr>
                <w:tcW w:w="1239" w:type="dxa"/>
                <w:vAlign w:val="center"/>
              </w:tcPr>
              <w:p>
                <w:pPr>
                  <w:jc w:val="center"/>
                  <w:rPr>
                    <w:b/>
                    <w:sz w:val="20"/>
                  </w:rPr>
                </w:pPr>
                <w:r>
                  <w:rPr>
                    <w:b/>
                    <w:bCs/>
                    <w:sz w:val="20"/>
                  </w:rPr>
                  <w:t>Ekonominės veiklos kodas (-ai)</w:t>
                </w:r>
              </w:p>
            </w:tc>
            <w:tc>
              <w:tcPr>
                <w:tcW w:w="1238" w:type="dxa"/>
                <w:vAlign w:val="center"/>
              </w:tcPr>
              <w:p>
                <w:pPr>
                  <w:jc w:val="center"/>
                  <w:rPr>
                    <w:b/>
                    <w:bCs/>
                    <w:sz w:val="20"/>
                  </w:rPr>
                </w:pPr>
                <w:r>
                  <w:rPr>
                    <w:b/>
                    <w:bCs/>
                    <w:sz w:val="20"/>
                  </w:rPr>
                  <w:t>„Europos socialinio fondo +“ (toliau – ESF+) antrinių temų kodai</w:t>
                </w:r>
              </w:p>
            </w:tc>
            <w:tc>
              <w:tcPr>
                <w:tcW w:w="966" w:type="dxa"/>
                <w:vAlign w:val="center"/>
              </w:tcPr>
              <w:p>
                <w:pPr>
                  <w:jc w:val="center"/>
                  <w:rPr>
                    <w:b/>
                    <w:bCs/>
                    <w:sz w:val="20"/>
                  </w:rPr>
                </w:pPr>
                <w:r>
                  <w:rPr>
                    <w:b/>
                    <w:bCs/>
                    <w:sz w:val="20"/>
                  </w:rPr>
                  <w:t>Lyčių lygybės mat-mens kodas</w:t>
                </w:r>
              </w:p>
            </w:tc>
            <w:tc>
              <w:tcPr>
                <w:tcW w:w="1238" w:type="dxa"/>
              </w:tcPr>
              <w:p>
                <w:pPr>
                  <w:jc w:val="center"/>
                  <w:rPr>
                    <w:b/>
                    <w:bCs/>
                    <w:sz w:val="20"/>
                  </w:rPr>
                </w:pPr>
                <w:r>
                  <w:rPr>
                    <w:b/>
                    <w:bCs/>
                    <w:sz w:val="20"/>
                  </w:rPr>
                  <w:t>Nepanau-dotos Ekonomi-kos gaivinimo ir atsparumo didinimo priemonės lėšos</w:t>
                </w:r>
              </w:p>
              <w:p>
                <w:pPr>
                  <w:jc w:val="center"/>
                  <w:rPr>
                    <w:b/>
                    <w:bCs/>
                    <w:sz w:val="20"/>
                  </w:rPr>
                </w:pPr>
                <w:r>
                  <w:rPr>
                    <w:b/>
                    <w:bCs/>
                    <w:sz w:val="20"/>
                  </w:rPr>
                  <w:t>(Taip / Ne)</w:t>
                </w:r>
              </w:p>
            </w:tc>
          </w:tr>
          <w:tr>
            <w:trPr>
              <w:trHeight w:val="278"/>
            </w:trPr>
            <w:tc>
              <w:tcPr>
                <w:tcW w:w="1378" w:type="dxa"/>
                <w:vMerge w:val="restart"/>
                <w:tcMar>
                  <w:left w:w="28" w:type="dxa"/>
                  <w:right w:w="28" w:type="dxa"/>
                </w:tcMar>
              </w:tcPr>
              <w:p>
                <w:pPr>
                  <w:jc w:val="center"/>
                  <w:rPr>
                    <w:sz w:val="20"/>
                  </w:rPr>
                </w:pPr>
                <w:r>
                  <w:rPr>
                    <w:sz w:val="20"/>
                  </w:rPr>
                  <w:t xml:space="preserve">2.5. </w:t>
                </w:r>
              </w:p>
              <w:p>
                <w:pPr>
                  <w:jc w:val="center"/>
                  <w:rPr>
                    <w:sz w:val="20"/>
                  </w:rPr>
                </w:pPr>
                <w:r>
                  <w:rPr>
                    <w:sz w:val="20"/>
                  </w:rPr>
                  <w:t>Regionų ir savivaldybių sveikatos priežiūros įstaigų </w:t>
                </w:r>
              </w:p>
              <w:p>
                <w:pPr>
                  <w:jc w:val="center"/>
                  <w:rPr>
                    <w:iCs/>
                    <w:sz w:val="20"/>
                  </w:rPr>
                </w:pPr>
                <w:r>
                  <w:rPr>
                    <w:sz w:val="20"/>
                  </w:rPr>
                  <w:t>infrastruktūros modernizavi-mas, Vidurio ir vakarų Lietuvos regionas</w:t>
                </w:r>
              </w:p>
            </w:tc>
            <w:tc>
              <w:tcPr>
                <w:tcW w:w="1103" w:type="dxa"/>
                <w:tcMar>
                  <w:left w:w="28" w:type="dxa"/>
                  <w:right w:w="28" w:type="dxa"/>
                </w:tcMar>
              </w:tcPr>
              <w:p>
                <w:pPr>
                  <w:ind w:firstLine="53"/>
                  <w:jc w:val="center"/>
                  <w:rPr>
                    <w:iCs/>
                    <w:sz w:val="20"/>
                  </w:rPr>
                </w:pPr>
                <w:r>
                  <w:rPr>
                    <w:sz w:val="20"/>
                  </w:rPr>
                  <w:t>ES fondų lėšos</w:t>
                </w:r>
              </w:p>
            </w:tc>
            <w:tc>
              <w:tcPr>
                <w:tcW w:w="966" w:type="dxa"/>
                <w:vMerge w:val="restart"/>
                <w:tcMar>
                  <w:left w:w="28" w:type="dxa"/>
                  <w:right w:w="28" w:type="dxa"/>
                </w:tcMar>
              </w:tcPr>
              <w:p>
                <w:pPr>
                  <w:jc w:val="center"/>
                  <w:rPr>
                    <w:iCs/>
                    <w:sz w:val="20"/>
                  </w:rPr>
                </w:pPr>
                <w:r>
                  <w:rPr>
                    <w:iCs/>
                    <w:sz w:val="20"/>
                  </w:rPr>
                  <w:t>4</w:t>
                </w:r>
              </w:p>
            </w:tc>
            <w:tc>
              <w:tcPr>
                <w:tcW w:w="966" w:type="dxa"/>
                <w:vMerge w:val="restart"/>
                <w:tcMar>
                  <w:left w:w="28" w:type="dxa"/>
                  <w:right w:w="28" w:type="dxa"/>
                </w:tcMar>
              </w:tcPr>
              <w:p>
                <w:pPr>
                  <w:jc w:val="center"/>
                  <w:rPr>
                    <w:iCs/>
                    <w:sz w:val="20"/>
                    <w:lang w:val="en-US"/>
                  </w:rPr>
                </w:pPr>
                <w:r>
                  <w:rPr>
                    <w:iCs/>
                    <w:sz w:val="20"/>
                    <w:lang w:val="en-US"/>
                  </w:rPr>
                  <w:t>4.10</w:t>
                </w:r>
              </w:p>
            </w:tc>
            <w:tc>
              <w:tcPr>
                <w:tcW w:w="1240" w:type="dxa"/>
                <w:vMerge w:val="restart"/>
                <w:tcMar>
                  <w:left w:w="28" w:type="dxa"/>
                  <w:right w:w="28" w:type="dxa"/>
                </w:tcMar>
              </w:tcPr>
              <w:p>
                <w:pPr>
                  <w:jc w:val="center"/>
                  <w:rPr>
                    <w:iCs/>
                    <w:sz w:val="20"/>
                    <w:lang w:val="en-US"/>
                  </w:rPr>
                </w:pPr>
                <w:r>
                  <w:rPr>
                    <w:iCs/>
                    <w:sz w:val="20"/>
                    <w:lang w:val="en-US"/>
                  </w:rPr>
                  <w:t>4.10.3</w:t>
                </w:r>
              </w:p>
              <w:p>
                <w:pPr>
                  <w:jc w:val="center"/>
                  <w:rPr>
                    <w:iCs/>
                    <w:sz w:val="20"/>
                  </w:rPr>
                </w:pPr>
                <w:r>
                  <w:rPr>
                    <w:iCs/>
                    <w:sz w:val="20"/>
                    <w:lang w:val="en-US"/>
                  </w:rPr>
                  <w:t>Gerinti aukštos kokybės specializuotos sveikatos priežiūros prieinamumą</w:t>
                </w:r>
              </w:p>
            </w:tc>
            <w:tc>
              <w:tcPr>
                <w:tcW w:w="965" w:type="dxa"/>
                <w:vMerge w:val="restart"/>
                <w:tcMar>
                  <w:left w:w="28" w:type="dxa"/>
                  <w:right w:w="28" w:type="dxa"/>
                </w:tcMar>
              </w:tcPr>
              <w:p>
                <w:pPr>
                  <w:jc w:val="center"/>
                  <w:rPr>
                    <w:bCs/>
                    <w:iCs/>
                    <w:sz w:val="20"/>
                  </w:rPr>
                </w:pPr>
                <w:r>
                  <w:rPr>
                    <w:bCs/>
                    <w:iCs/>
                    <w:sz w:val="20"/>
                  </w:rPr>
                  <w:t>044 ir 129</w:t>
                </w:r>
              </w:p>
            </w:tc>
            <w:tc>
              <w:tcPr>
                <w:tcW w:w="1238" w:type="dxa"/>
                <w:vMerge w:val="restart"/>
                <w:tcMar>
                  <w:left w:w="28" w:type="dxa"/>
                  <w:right w:w="28" w:type="dxa"/>
                </w:tcMar>
              </w:tcPr>
              <w:p>
                <w:pPr>
                  <w:jc w:val="center"/>
                  <w:rPr>
                    <w:iCs/>
                    <w:sz w:val="20"/>
                  </w:rPr>
                </w:pPr>
                <w:r>
                  <w:rPr>
                    <w:sz w:val="20"/>
                  </w:rPr>
                  <w:t>Vidurio ir vakarų Lietuvos regionas</w:t>
                </w:r>
              </w:p>
            </w:tc>
            <w:tc>
              <w:tcPr>
                <w:tcW w:w="966" w:type="dxa"/>
                <w:vMerge w:val="restart"/>
                <w:tcMar>
                  <w:left w:w="28" w:type="dxa"/>
                  <w:right w:w="28" w:type="dxa"/>
                </w:tcMar>
              </w:tcPr>
              <w:p>
                <w:pPr>
                  <w:jc w:val="center"/>
                  <w:rPr>
                    <w:iCs/>
                    <w:sz w:val="20"/>
                  </w:rPr>
                </w:pPr>
                <w:r>
                  <w:rPr>
                    <w:iCs/>
                    <w:sz w:val="20"/>
                  </w:rPr>
                  <w:t>01 – Dotacija</w:t>
                </w:r>
              </w:p>
            </w:tc>
            <w:tc>
              <w:tcPr>
                <w:tcW w:w="1239" w:type="dxa"/>
                <w:vMerge w:val="restart"/>
                <w:tcMar>
                  <w:left w:w="28" w:type="dxa"/>
                  <w:right w:w="28" w:type="dxa"/>
                </w:tcMar>
              </w:tcPr>
              <w:p>
                <w:pPr>
                  <w:jc w:val="center"/>
                  <w:rPr>
                    <w:iCs/>
                    <w:sz w:val="20"/>
                  </w:rPr>
                </w:pPr>
                <w:r>
                  <w:rPr>
                    <w:iCs/>
                    <w:sz w:val="20"/>
                  </w:rPr>
                  <w:t>33 – Nesiorientuo-jant į teritoriškumą</w:t>
                </w:r>
              </w:p>
            </w:tc>
            <w:tc>
              <w:tcPr>
                <w:tcW w:w="1239" w:type="dxa"/>
                <w:vMerge w:val="restart"/>
                <w:tcMar>
                  <w:left w:w="28" w:type="dxa"/>
                  <w:right w:w="28" w:type="dxa"/>
                </w:tcMar>
              </w:tcPr>
              <w:p>
                <w:pPr>
                  <w:jc w:val="center"/>
                  <w:rPr>
                    <w:iCs/>
                    <w:sz w:val="20"/>
                  </w:rPr>
                </w:pPr>
                <w:r>
                  <w:rPr>
                    <w:iCs/>
                    <w:sz w:val="20"/>
                  </w:rPr>
                  <w:t>22 – Žmonių sveikatos priežiūros veikla</w:t>
                </w:r>
              </w:p>
            </w:tc>
            <w:tc>
              <w:tcPr>
                <w:tcW w:w="1238" w:type="dxa"/>
                <w:vMerge w:val="restart"/>
                <w:tcMar>
                  <w:left w:w="28" w:type="dxa"/>
                  <w:right w:w="28" w:type="dxa"/>
                </w:tcMar>
              </w:tcPr>
              <w:p>
                <w:pPr>
                  <w:jc w:val="center"/>
                  <w:rPr>
                    <w:iCs/>
                    <w:sz w:val="20"/>
                  </w:rPr>
                </w:pPr>
                <w:r>
                  <w:rPr>
                    <w:iCs/>
                    <w:sz w:val="20"/>
                  </w:rPr>
                  <w:t>Nepildoma</w:t>
                </w:r>
              </w:p>
            </w:tc>
            <w:tc>
              <w:tcPr>
                <w:tcW w:w="966" w:type="dxa"/>
                <w:vMerge w:val="restart"/>
                <w:tcMar>
                  <w:left w:w="28" w:type="dxa"/>
                  <w:right w:w="28" w:type="dxa"/>
                </w:tcMar>
              </w:tcPr>
              <w:p>
                <w:pPr>
                  <w:jc w:val="center"/>
                  <w:rPr>
                    <w:iCs/>
                    <w:sz w:val="20"/>
                  </w:rPr>
                </w:pPr>
                <w:r>
                  <w:rPr>
                    <w:iCs/>
                    <w:sz w:val="20"/>
                  </w:rPr>
                  <w:t>03 – Neutralu-mas lyties požiūriu</w:t>
                </w:r>
              </w:p>
            </w:tc>
            <w:tc>
              <w:tcPr>
                <w:tcW w:w="1238" w:type="dxa"/>
                <w:vMerge w:val="restart"/>
              </w:tcPr>
              <w:p>
                <w:pPr>
                  <w:jc w:val="center"/>
                  <w:rPr>
                    <w:iCs/>
                    <w:sz w:val="20"/>
                  </w:rPr>
                </w:pPr>
                <w:r>
                  <w:rPr>
                    <w:iCs/>
                    <w:sz w:val="20"/>
                  </w:rPr>
                  <w:t>Ne</w:t>
                </w:r>
              </w:p>
              <w:p>
                <w:pPr>
                  <w:jc w:val="center"/>
                  <w:rPr>
                    <w:iCs/>
                    <w:sz w:val="20"/>
                  </w:rPr>
                </w:pPr>
              </w:p>
              <w:p>
                <w:pPr>
                  <w:jc w:val="center"/>
                  <w:rPr>
                    <w:iCs/>
                    <w:sz w:val="20"/>
                  </w:rPr>
                </w:pPr>
              </w:p>
              <w:p>
                <w:pPr>
                  <w:jc w:val="center"/>
                  <w:rPr>
                    <w:iCs/>
                    <w:sz w:val="20"/>
                  </w:rPr>
                </w:pPr>
              </w:p>
              <w:p>
                <w:pPr>
                  <w:jc w:val="center"/>
                  <w:rPr>
                    <w:iCs/>
                    <w:sz w:val="20"/>
                  </w:rPr>
                </w:pPr>
              </w:p>
              <w:p>
                <w:pPr>
                  <w:jc w:val="center"/>
                  <w:rPr>
                    <w:iCs/>
                    <w:sz w:val="20"/>
                  </w:rPr>
                </w:pPr>
              </w:p>
              <w:p>
                <w:pPr>
                  <w:jc w:val="center"/>
                  <w:rPr>
                    <w:iCs/>
                    <w:sz w:val="20"/>
                  </w:rPr>
                </w:pPr>
              </w:p>
            </w:tc>
          </w:tr>
          <w:tr>
            <w:trPr>
              <w:trHeight w:val="278"/>
            </w:trPr>
            <w:tc>
              <w:tcPr>
                <w:tcW w:w="1378" w:type="dxa"/>
                <w:vMerge/>
                <w:tcMar>
                  <w:left w:w="28" w:type="dxa"/>
                  <w:right w:w="28" w:type="dxa"/>
                </w:tcMar>
              </w:tcPr>
              <w:p>
                <w:pPr>
                  <w:jc w:val="center"/>
                  <w:rPr>
                    <w:iCs/>
                    <w:sz w:val="20"/>
                  </w:rPr>
                </w:pPr>
              </w:p>
            </w:tc>
            <w:tc>
              <w:tcPr>
                <w:tcW w:w="1103" w:type="dxa"/>
                <w:tcMar>
                  <w:left w:w="28" w:type="dxa"/>
                  <w:right w:w="28" w:type="dxa"/>
                </w:tcMar>
              </w:tcPr>
              <w:p>
                <w:pPr>
                  <w:jc w:val="center"/>
                  <w:rPr>
                    <w:sz w:val="20"/>
                  </w:rPr>
                </w:pPr>
                <w:r>
                  <w:rPr>
                    <w:bCs/>
                    <w:sz w:val="20"/>
                  </w:rPr>
                  <w:t>BF lėšos</w:t>
                </w:r>
              </w:p>
              <w:p>
                <w:pPr>
                  <w:jc w:val="center"/>
                  <w:rPr>
                    <w:sz w:val="20"/>
                  </w:rPr>
                </w:pPr>
              </w:p>
            </w:tc>
            <w:tc>
              <w:tcPr>
                <w:tcW w:w="966" w:type="dxa"/>
                <w:vMerge/>
                <w:tcMar>
                  <w:left w:w="28" w:type="dxa"/>
                  <w:right w:w="28" w:type="dxa"/>
                </w:tcMar>
              </w:tcPr>
              <w:p>
                <w:pPr>
                  <w:jc w:val="center"/>
                  <w:rPr>
                    <w:iCs/>
                    <w:sz w:val="20"/>
                  </w:rPr>
                </w:pPr>
              </w:p>
            </w:tc>
            <w:tc>
              <w:tcPr>
                <w:tcW w:w="966" w:type="dxa"/>
                <w:vMerge/>
                <w:tcMar>
                  <w:left w:w="28" w:type="dxa"/>
                  <w:right w:w="28" w:type="dxa"/>
                </w:tcMar>
              </w:tcPr>
              <w:p>
                <w:pPr>
                  <w:jc w:val="center"/>
                  <w:rPr>
                    <w:iCs/>
                    <w:sz w:val="20"/>
                  </w:rPr>
                </w:pPr>
              </w:p>
            </w:tc>
            <w:tc>
              <w:tcPr>
                <w:tcW w:w="1240" w:type="dxa"/>
                <w:vMerge/>
                <w:tcMar>
                  <w:left w:w="28" w:type="dxa"/>
                  <w:right w:w="28" w:type="dxa"/>
                </w:tcMar>
              </w:tcPr>
              <w:p>
                <w:pPr>
                  <w:jc w:val="center"/>
                  <w:rPr>
                    <w:iCs/>
                    <w:sz w:val="20"/>
                  </w:rPr>
                </w:pPr>
              </w:p>
            </w:tc>
            <w:tc>
              <w:tcPr>
                <w:tcW w:w="965" w:type="dxa"/>
                <w:vMerge/>
                <w:tcMar>
                  <w:left w:w="28" w:type="dxa"/>
                  <w:right w:w="28" w:type="dxa"/>
                </w:tcMar>
              </w:tcPr>
              <w:p>
                <w:pPr>
                  <w:jc w:val="center"/>
                  <w:rPr>
                    <w:iCs/>
                    <w:sz w:val="20"/>
                  </w:rPr>
                </w:pPr>
              </w:p>
            </w:tc>
            <w:tc>
              <w:tcPr>
                <w:tcW w:w="1238" w:type="dxa"/>
                <w:vMerge/>
                <w:tcMar>
                  <w:left w:w="28" w:type="dxa"/>
                  <w:right w:w="28" w:type="dxa"/>
                </w:tcMar>
              </w:tcPr>
              <w:p>
                <w:pPr>
                  <w:jc w:val="center"/>
                  <w:rPr>
                    <w:iCs/>
                    <w:sz w:val="20"/>
                  </w:rPr>
                </w:pPr>
              </w:p>
            </w:tc>
            <w:tc>
              <w:tcPr>
                <w:tcW w:w="966" w:type="dxa"/>
                <w:vMerge/>
                <w:tcMar>
                  <w:left w:w="28" w:type="dxa"/>
                  <w:right w:w="28" w:type="dxa"/>
                </w:tcMar>
              </w:tcPr>
              <w:p>
                <w:pPr>
                  <w:jc w:val="center"/>
                  <w:rPr>
                    <w:iCs/>
                    <w:sz w:val="20"/>
                  </w:rPr>
                </w:pPr>
              </w:p>
            </w:tc>
            <w:tc>
              <w:tcPr>
                <w:tcW w:w="1239" w:type="dxa"/>
                <w:vMerge/>
                <w:tcMar>
                  <w:left w:w="28" w:type="dxa"/>
                  <w:right w:w="28" w:type="dxa"/>
                </w:tcMar>
              </w:tcPr>
              <w:p>
                <w:pPr>
                  <w:jc w:val="center"/>
                  <w:rPr>
                    <w:iCs/>
                    <w:sz w:val="20"/>
                  </w:rPr>
                </w:pPr>
              </w:p>
            </w:tc>
            <w:tc>
              <w:tcPr>
                <w:tcW w:w="1239" w:type="dxa"/>
                <w:vMerge/>
                <w:tcMar>
                  <w:left w:w="28" w:type="dxa"/>
                  <w:right w:w="28" w:type="dxa"/>
                </w:tcMar>
              </w:tcPr>
              <w:p>
                <w:pPr>
                  <w:jc w:val="center"/>
                  <w:rPr>
                    <w:iCs/>
                    <w:sz w:val="20"/>
                  </w:rPr>
                </w:pPr>
              </w:p>
            </w:tc>
            <w:tc>
              <w:tcPr>
                <w:tcW w:w="1238" w:type="dxa"/>
                <w:vMerge/>
                <w:tcMar>
                  <w:left w:w="28" w:type="dxa"/>
                  <w:right w:w="28" w:type="dxa"/>
                </w:tcMar>
              </w:tcPr>
              <w:p>
                <w:pPr>
                  <w:jc w:val="center"/>
                  <w:rPr>
                    <w:iCs/>
                    <w:sz w:val="20"/>
                  </w:rPr>
                </w:pPr>
              </w:p>
            </w:tc>
            <w:tc>
              <w:tcPr>
                <w:tcW w:w="966" w:type="dxa"/>
                <w:vMerge/>
                <w:tcMar>
                  <w:left w:w="28" w:type="dxa"/>
                  <w:right w:w="28" w:type="dxa"/>
                </w:tcMar>
              </w:tcPr>
              <w:p>
                <w:pPr>
                  <w:jc w:val="center"/>
                  <w:rPr>
                    <w:iCs/>
                    <w:sz w:val="20"/>
                  </w:rPr>
                </w:pPr>
              </w:p>
            </w:tc>
            <w:tc>
              <w:tcPr>
                <w:tcW w:w="1238" w:type="dxa"/>
                <w:vMerge/>
              </w:tcPr>
              <w:p>
                <w:pPr>
                  <w:jc w:val="center"/>
                  <w:rPr>
                    <w:iCs/>
                    <w:sz w:val="20"/>
                  </w:rPr>
                </w:pPr>
              </w:p>
            </w:tc>
          </w:tr>
        </w:tbl>
        <w:p>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trPr>
              <w:trHeight w:val="405"/>
            </w:trPr>
            <w:tc>
              <w:tcPr>
                <w:tcW w:w="4119" w:type="dxa"/>
                <w:shd w:val="clear" w:color="auto" w:fill="auto"/>
                <w:vAlign w:val="center"/>
              </w:tcPr>
              <w:p>
                <w:pPr>
                  <w:spacing w:line="276" w:lineRule="auto"/>
                  <w:jc w:val="center"/>
                  <w:rPr>
                    <w:sz w:val="22"/>
                    <w:szCs w:val="22"/>
                  </w:rPr>
                </w:pPr>
                <w:r>
                  <w:rPr>
                    <w:sz w:val="22"/>
                    <w:szCs w:val="22"/>
                  </w:rPr>
                  <w:t>Rodiklio pavadinimas</w:t>
                </w:r>
              </w:p>
            </w:tc>
            <w:tc>
              <w:tcPr>
                <w:tcW w:w="3688" w:type="dxa"/>
                <w:shd w:val="clear" w:color="auto" w:fill="auto"/>
                <w:vAlign w:val="center"/>
              </w:tcPr>
              <w:p>
                <w:pPr>
                  <w:spacing w:line="276" w:lineRule="auto"/>
                  <w:jc w:val="center"/>
                  <w:rPr>
                    <w:sz w:val="22"/>
                    <w:szCs w:val="22"/>
                  </w:rPr>
                </w:pPr>
                <w:r>
                  <w:rPr>
                    <w:sz w:val="22"/>
                    <w:szCs w:val="22"/>
                  </w:rPr>
                  <w:t>Rodiklio kodas</w:t>
                </w:r>
              </w:p>
            </w:tc>
            <w:tc>
              <w:tcPr>
                <w:tcW w:w="3688" w:type="dxa"/>
                <w:shd w:val="clear" w:color="auto" w:fill="auto"/>
                <w:vAlign w:val="center"/>
              </w:tcPr>
              <w:p>
                <w:pPr>
                  <w:spacing w:line="276" w:lineRule="auto"/>
                  <w:jc w:val="center"/>
                  <w:rPr>
                    <w:sz w:val="22"/>
                    <w:szCs w:val="22"/>
                  </w:rPr>
                </w:pPr>
                <w:r>
                  <w:rPr>
                    <w:sz w:val="22"/>
                    <w:szCs w:val="22"/>
                  </w:rPr>
                  <w:t>Matavimo vienetai</w:t>
                </w:r>
              </w:p>
            </w:tc>
            <w:tc>
              <w:tcPr>
                <w:tcW w:w="3390" w:type="dxa"/>
                <w:shd w:val="clear" w:color="auto" w:fill="auto"/>
                <w:vAlign w:val="center"/>
              </w:tcPr>
              <w:p>
                <w:pPr>
                  <w:spacing w:line="276" w:lineRule="auto"/>
                  <w:jc w:val="center"/>
                  <w:rPr>
                    <w:sz w:val="22"/>
                    <w:szCs w:val="22"/>
                  </w:rPr>
                </w:pPr>
                <w:r>
                  <w:rPr>
                    <w:sz w:val="22"/>
                    <w:szCs w:val="22"/>
                  </w:rPr>
                  <w:t>Siektina reikšmė</w:t>
                </w:r>
              </w:p>
            </w:tc>
          </w:tr>
          <w:tr>
            <w:trPr>
              <w:trHeight w:val="725"/>
            </w:trPr>
            <w:tc>
              <w:tcPr>
                <w:tcW w:w="4119" w:type="dxa"/>
              </w:tcPr>
              <w:p>
                <w:pPr>
                  <w:spacing w:line="276" w:lineRule="auto"/>
                  <w:jc w:val="center"/>
                  <w:rPr>
                    <w:i/>
                    <w:iCs/>
                    <w:sz w:val="22"/>
                    <w:szCs w:val="22"/>
                  </w:rPr>
                </w:pPr>
                <w:r>
                  <w:rPr>
                    <w:sz w:val="22"/>
                    <w:szCs w:val="22"/>
                  </w:rPr>
                  <w:t>Naujos arba modernizuotos sveikatos priežiūros infrastruktūros talpumas</w:t>
                </w:r>
              </w:p>
            </w:tc>
            <w:tc>
              <w:tcPr>
                <w:tcW w:w="3688" w:type="dxa"/>
              </w:tcPr>
              <w:p>
                <w:pPr>
                  <w:jc w:val="center"/>
                  <w:rPr>
                    <w:sz w:val="22"/>
                    <w:szCs w:val="22"/>
                    <w:lang w:eastAsia="lt-LT"/>
                  </w:rPr>
                </w:pPr>
                <w:r>
                  <w:rPr>
                    <w:sz w:val="22"/>
                    <w:szCs w:val="22"/>
                    <w:lang w:eastAsia="lt-LT"/>
                  </w:rPr>
                  <w:t>P.B.2.0069</w:t>
                </w:r>
              </w:p>
              <w:p>
                <w:pPr>
                  <w:spacing w:line="276" w:lineRule="auto"/>
                  <w:jc w:val="center"/>
                  <w:rPr>
                    <w:i/>
                    <w:iCs/>
                    <w:sz w:val="22"/>
                    <w:szCs w:val="22"/>
                  </w:rPr>
                </w:pPr>
                <w:r>
                  <w:rPr>
                    <w:sz w:val="22"/>
                    <w:szCs w:val="22"/>
                  </w:rPr>
                  <w:t>P-11-002-02-11-01-31</w:t>
                </w:r>
              </w:p>
            </w:tc>
            <w:tc>
              <w:tcPr>
                <w:tcW w:w="3688" w:type="dxa"/>
                <w:vAlign w:val="center"/>
              </w:tcPr>
              <w:p>
                <w:pPr>
                  <w:spacing w:line="276" w:lineRule="auto"/>
                  <w:jc w:val="center"/>
                  <w:rPr>
                    <w:i/>
                    <w:iCs/>
                    <w:sz w:val="22"/>
                    <w:szCs w:val="22"/>
                  </w:rPr>
                </w:pPr>
                <w:r>
                  <w:rPr>
                    <w:sz w:val="22"/>
                    <w:szCs w:val="22"/>
                  </w:rPr>
                  <w:t>Asmenys per metus</w:t>
                </w:r>
              </w:p>
            </w:tc>
            <w:tc>
              <w:tcPr>
                <w:tcW w:w="3390" w:type="dxa"/>
                <w:shd w:val="clear" w:color="auto" w:fill="auto"/>
              </w:tcPr>
              <w:p>
                <w:pPr>
                  <w:ind w:left="-57" w:right="-57"/>
                  <w:jc w:val="center"/>
                  <w:rPr>
                    <w:sz w:val="22"/>
                    <w:szCs w:val="22"/>
                  </w:rPr>
                </w:pPr>
                <w:r>
                  <w:rPr>
                    <w:sz w:val="22"/>
                    <w:szCs w:val="22"/>
                    <w:lang w:val="en-US"/>
                  </w:rPr>
                  <w:t>213</w:t>
                </w:r>
                <w:r>
                  <w:rPr>
                    <w:sz w:val="22"/>
                    <w:szCs w:val="22"/>
                  </w:rPr>
                  <w:t xml:space="preserve"> 700</w:t>
                </w:r>
              </w:p>
              <w:p>
                <w:pPr>
                  <w:spacing w:line="276" w:lineRule="auto"/>
                  <w:ind w:right="-234"/>
                  <w:jc w:val="center"/>
                  <w:rPr>
                    <w:sz w:val="22"/>
                    <w:szCs w:val="22"/>
                  </w:rPr>
                </w:pPr>
                <w:r>
                  <w:rPr>
                    <w:sz w:val="22"/>
                    <w:szCs w:val="22"/>
                  </w:rPr>
                  <w:t>(2029 m.)</w:t>
                </w:r>
              </w:p>
            </w:tc>
          </w:tr>
          <w:tr>
            <w:trPr>
              <w:trHeight w:val="725"/>
            </w:trPr>
            <w:tc>
              <w:tcPr>
                <w:tcW w:w="4119" w:type="dxa"/>
              </w:tcPr>
              <w:p>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pPr>
                  <w:jc w:val="center"/>
                  <w:rPr>
                    <w:sz w:val="22"/>
                    <w:szCs w:val="22"/>
                  </w:rPr>
                </w:pPr>
                <w:r>
                  <w:rPr>
                    <w:sz w:val="22"/>
                    <w:szCs w:val="22"/>
                    <w:lang w:eastAsia="lt-LT"/>
                  </w:rPr>
                  <w:t>R.B.2.2073</w:t>
                </w:r>
              </w:p>
              <w:p>
                <w:pPr>
                  <w:spacing w:line="276" w:lineRule="auto"/>
                  <w:jc w:val="center"/>
                  <w:rPr>
                    <w:sz w:val="22"/>
                    <w:szCs w:val="22"/>
                  </w:rPr>
                </w:pPr>
                <w:r>
                  <w:rPr>
                    <w:sz w:val="22"/>
                    <w:szCs w:val="22"/>
                  </w:rPr>
                  <w:t>R-11-002-02-11-01-28</w:t>
                </w:r>
              </w:p>
              <w:p>
                <w:pPr>
                  <w:spacing w:line="276" w:lineRule="auto"/>
                  <w:jc w:val="center"/>
                  <w:rPr>
                    <w:sz w:val="22"/>
                    <w:szCs w:val="22"/>
                  </w:rPr>
                </w:pPr>
              </w:p>
            </w:tc>
            <w:tc>
              <w:tcPr>
                <w:tcW w:w="3688" w:type="dxa"/>
                <w:vAlign w:val="center"/>
              </w:tcPr>
              <w:p>
                <w:pPr>
                  <w:spacing w:line="276" w:lineRule="auto"/>
                  <w:jc w:val="center"/>
                  <w:rPr>
                    <w:sz w:val="22"/>
                    <w:szCs w:val="22"/>
                  </w:rPr>
                </w:pPr>
                <w:r>
                  <w:rPr>
                    <w:sz w:val="22"/>
                    <w:szCs w:val="22"/>
                  </w:rPr>
                  <w:t>Naudotojai per metus</w:t>
                </w:r>
              </w:p>
            </w:tc>
            <w:tc>
              <w:tcPr>
                <w:tcW w:w="3390" w:type="dxa"/>
                <w:shd w:val="clear" w:color="auto" w:fill="auto"/>
              </w:tcPr>
              <w:p>
                <w:pPr>
                  <w:ind w:left="-57" w:right="-57"/>
                  <w:jc w:val="center"/>
                  <w:rPr>
                    <w:sz w:val="22"/>
                    <w:szCs w:val="22"/>
                  </w:rPr>
                </w:pPr>
                <w:r>
                  <w:rPr>
                    <w:sz w:val="22"/>
                    <w:szCs w:val="22"/>
                  </w:rPr>
                  <w:t>203 070</w:t>
                </w:r>
              </w:p>
              <w:p>
                <w:pPr>
                  <w:spacing w:line="276" w:lineRule="auto"/>
                  <w:jc w:val="center"/>
                  <w:rPr>
                    <w:sz w:val="22"/>
                    <w:szCs w:val="22"/>
                  </w:rPr>
                </w:pPr>
                <w:r>
                  <w:rPr>
                    <w:sz w:val="22"/>
                    <w:szCs w:val="22"/>
                  </w:rPr>
                  <w:t>(2029 m.)</w:t>
                </w:r>
              </w:p>
            </w:tc>
          </w:tr>
        </w:tbl>
        <w:p>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trPr>
              <w:trHeight w:val="298"/>
            </w:trPr>
            <w:tc>
              <w:tcPr>
                <w:tcW w:w="14991" w:type="dxa"/>
              </w:tcPr>
              <w:p>
                <w:pPr>
                  <w:jc w:val="both"/>
                  <w:rPr>
                    <w:szCs w:val="24"/>
                  </w:rPr>
                </w:pPr>
                <w:r>
                  <w:rPr>
                    <w:szCs w:val="24"/>
                  </w:rPr>
                  <w:t>Ministerijos stebėsenos rodiklių aprašymo kortelės</w:t>
                </w:r>
              </w:p>
            </w:tc>
          </w:tr>
          <w:tr>
            <w:trPr>
              <w:trHeight w:val="315"/>
            </w:trPr>
            <w:tc>
              <w:tcPr>
                <w:tcW w:w="14991" w:type="dxa"/>
              </w:tcPr>
              <w:p>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pPr>
                  <w:ind w:right="340"/>
                  <w:jc w:val="both"/>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tc>
              <w:tcPr>
                <w:tcW w:w="14885" w:type="dxa"/>
              </w:tcPr>
              <w:p>
                <w:pPr>
                  <w:jc w:val="both"/>
                  <w:rPr>
                    <w:b/>
                    <w:szCs w:val="24"/>
                  </w:rPr>
                </w:pPr>
                <w:r>
                  <w:rPr>
                    <w:b/>
                    <w:szCs w:val="24"/>
                  </w:rPr>
                  <w:t>SPECIALIEJI FINANSAVIMO REIKALAVIMAI</w:t>
                </w:r>
              </w:p>
            </w:tc>
          </w:tr>
          <w:tr>
            <w:tc>
              <w:tcPr>
                <w:tcW w:w="14885" w:type="dxa"/>
              </w:tcPr>
              <w:p>
                <w:pPr>
                  <w:jc w:val="both"/>
                  <w:rPr>
                    <w:b/>
                    <w:bCs/>
                    <w:szCs w:val="24"/>
                  </w:rPr>
                </w:pPr>
                <w:r>
                  <w:rPr>
                    <w:b/>
                    <w:bCs/>
                    <w:szCs w:val="24"/>
                  </w:rPr>
                  <w:t>1. Taikomi teisės aktai</w:t>
                </w:r>
              </w:p>
            </w:tc>
          </w:tr>
          <w:tr>
            <w:tc>
              <w:tcPr>
                <w:tcW w:w="14885" w:type="dxa"/>
              </w:tcPr>
              <w:p>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21</w:t>
                </w:r>
                <w:r>
                  <w:rPr>
                    <w:szCs w:val="24"/>
                    <w:lang w:eastAsia="lt-LT"/>
                  </w:rPr>
                  <w:t xml:space="preserve"> (toliau – Aprašas):</w:t>
                </w:r>
              </w:p>
              <w:p>
                <w:pPr>
                  <w:tabs>
                    <w:tab w:val="left" w:pos="600"/>
                  </w:tabs>
                  <w:spacing w:line="276" w:lineRule="auto"/>
                  <w:jc w:val="both"/>
                  <w:rPr>
                    <w:b/>
                    <w:szCs w:val="24"/>
                  </w:rPr>
                </w:pPr>
                <w:r>
                  <w:rPr>
                    <w:b/>
                    <w:szCs w:val="24"/>
                  </w:rPr>
                  <w:t>1.1. bendrieji teisės aktai:</w:t>
                </w:r>
              </w:p>
              <w:p>
                <w:pPr>
                  <w:tabs>
                    <w:tab w:val="left" w:pos="462"/>
                  </w:tabs>
                  <w:spacing w:line="276" w:lineRule="auto"/>
                  <w:ind w:firstLine="36"/>
                  <w:jc w:val="both"/>
                  <w:rPr>
                    <w:szCs w:val="24"/>
                  </w:rPr>
                </w:pPr>
                <w:r>
                  <w:rPr>
                    <w:szCs w:val="24"/>
                  </w:rPr>
                  <w:t xml:space="preserve">1.1.1. 2021 m. birželio 24 d. Europos Parlamento ir Tarybos reglamentas </w:t>
                </w:r>
                <w:r>
                  <w:rPr>
                    <w:szCs w:val="24"/>
                  </w:rPr>
                  <w:t>(ES)2021/1060</w:t>
                </w:r>
                <w:r>
                  <w:rPr>
                    <w:szCs w:val="24"/>
                  </w:rPr>
                  <w:t xml:space="preserve">,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pPr>
                  <w:tabs>
                    <w:tab w:val="left" w:pos="600"/>
                  </w:tabs>
                  <w:spacing w:line="277" w:lineRule="auto"/>
                  <w:ind w:left="29"/>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tabs>
                    <w:tab w:val="left" w:pos="600"/>
                  </w:tabs>
                  <w:spacing w:line="276" w:lineRule="auto"/>
                  <w:ind w:firstLine="36"/>
                  <w:jc w:val="both"/>
                  <w:rPr>
                    <w:bCs/>
                    <w:szCs w:val="24"/>
                  </w:rPr>
                </w:pPr>
                <w:r>
                  <w:rPr>
                    <w:b/>
                    <w:szCs w:val="24"/>
                  </w:rPr>
                  <w:t>1.2. specialieji teisės aktai</w:t>
                </w:r>
                <w:r>
                  <w:rPr>
                    <w:bCs/>
                    <w:szCs w:val="24"/>
                  </w:rPr>
                  <w:t>:</w:t>
                </w:r>
              </w:p>
              <w:p>
                <w:pPr>
                  <w:tabs>
                    <w:tab w:val="left" w:pos="462"/>
                    <w:tab w:val="left" w:pos="747"/>
                  </w:tabs>
                  <w:spacing w:line="276" w:lineRule="auto"/>
                  <w:ind w:left="36"/>
                  <w:jc w:val="both"/>
                  <w:rPr>
                    <w:szCs w:val="24"/>
                  </w:rPr>
                </w:pPr>
                <w:r>
                  <w:rPr>
                    <w:szCs w:val="24"/>
                  </w:rPr>
                  <w:t>1.2.1.</w:t>
                </w:r>
                <w:r>
                  <w:rPr>
                    <w:bCs/>
                    <w:szCs w:val="24"/>
                  </w:rPr>
                  <w:t xml:space="preserve">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pPr>
                  <w:tabs>
                    <w:tab w:val="left" w:pos="462"/>
                    <w:tab w:val="left" w:pos="747"/>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tc>
              <w:tcPr>
                <w:tcW w:w="14885" w:type="dxa"/>
              </w:tcPr>
              <w:p>
                <w:pPr>
                  <w:spacing w:line="276" w:lineRule="auto"/>
                  <w:rPr>
                    <w:b/>
                    <w:sz w:val="22"/>
                    <w:szCs w:val="22"/>
                  </w:rPr>
                </w:pPr>
                <w:r>
                  <w:rPr>
                    <w:b/>
                    <w:sz w:val="22"/>
                    <w:szCs w:val="22"/>
                  </w:rPr>
                  <w:t xml:space="preserve">2. </w:t>
                </w:r>
                <w:r>
                  <w:rPr>
                    <w:b/>
                    <w:szCs w:val="24"/>
                  </w:rPr>
                  <w:t>Reikalavimai projektams, pareiškėjams ir partneriams</w:t>
                </w:r>
              </w:p>
            </w:tc>
          </w:tr>
          <w:tr>
            <w:tc>
              <w:tcPr>
                <w:tcW w:w="14885" w:type="dxa"/>
              </w:tcPr>
              <w:p>
                <w:pPr>
                  <w:tabs>
                    <w:tab w:val="left" w:pos="454"/>
                  </w:tabs>
                  <w:spacing w:line="276" w:lineRule="auto"/>
                  <w:ind w:firstLine="36"/>
                  <w:jc w:val="both"/>
                  <w:rPr>
                    <w:szCs w:val="24"/>
                  </w:rPr>
                </w:pPr>
                <w:r>
                  <w:rPr>
                    <w:szCs w:val="24"/>
                    <w:lang w:eastAsia="lt-LT"/>
                  </w:rPr>
                  <w:t xml:space="preserve">2.1. Įgyvendinant Pažangos priemonę </w:t>
                </w:r>
                <w:r>
                  <w:rPr>
                    <w:szCs w:val="24"/>
                  </w:rPr>
                  <w:t xml:space="preserve">investicijos bus skiriamos </w:t>
                </w:r>
                <w:r>
                  <w:t xml:space="preserve">intensyviosios terapijos paslaugas teikiančių asmens sveikatos priežiūros įstaigų (toliau  – ASPĮ) </w:t>
                </w:r>
                <w:r>
                  <w:rPr>
                    <w:szCs w:val="24"/>
                  </w:rPr>
                  <w:t>skubiosios medicinos pagalbos ir reanimacijos (intensyviosios terapijos) skyriams modernizuoti, siekiant užtikrinti įstaigų pasirengimą ekstremaliųjų situacijų atvejais teikti kokybiškas ir saugias paslaugas.</w:t>
                </w:r>
              </w:p>
              <w:p>
                <w:pPr>
                  <w:spacing w:line="276" w:lineRule="auto"/>
                  <w:ind w:firstLine="36"/>
                  <w:jc w:val="both"/>
                  <w:rPr>
                    <w:b/>
                    <w:bCs/>
                    <w:szCs w:val="24"/>
                    <w:lang w:eastAsia="lt-LT"/>
                  </w:rPr>
                </w:pPr>
                <w:r>
                  <w:rPr>
                    <w:bCs/>
                    <w:szCs w:val="24"/>
                  </w:rPr>
                  <w:t xml:space="preserve">2.2. Galimi pareiškėjai yra šios ASPĮ: VšĮ Klaipėdos universiteto ligoninė,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rPr>
                  <w:t xml:space="preserve">VšĮ Respublikinė Klaipėdos ligoninė, VšĮ Regioninė Mažeikių ligoninė, </w:t>
                </w:r>
                <w:r>
                  <w:rPr>
                    <w:bCs/>
                    <w:szCs w:val="24"/>
                    <w:lang w:eastAsia="lt-LT"/>
                  </w:rPr>
                  <w:t>VšĮ Rokiškio rajono ligoninė, VšĮ Pasvalio ligoninė.</w:t>
                </w:r>
              </w:p>
              <w:p>
                <w:pPr>
                  <w:spacing w:line="276" w:lineRule="auto"/>
                  <w:jc w:val="both"/>
                  <w:rPr>
                    <w:szCs w:val="24"/>
                  </w:rPr>
                </w:pPr>
                <w:r>
                  <w:rPr>
                    <w:szCs w:val="24"/>
                  </w:rPr>
                  <w:t xml:space="preserve">2.3. </w:t>
                </w:r>
                <w:r>
                  <w:rPr>
                    <w:bCs/>
                    <w:szCs w:val="24"/>
                  </w:rPr>
                  <w:t>Partneriai nėra galimi</w:t>
                </w:r>
                <w:r>
                  <w:rPr>
                    <w:szCs w:val="24"/>
                    <w:lang w:eastAsia="lt-LT"/>
                  </w:rPr>
                  <w:t xml:space="preserve">. </w:t>
                </w:r>
              </w:p>
              <w:p>
                <w:pPr>
                  <w:tabs>
                    <w:tab w:val="left" w:pos="462"/>
                  </w:tabs>
                  <w:spacing w:line="276" w:lineRule="auto"/>
                  <w:jc w:val="both"/>
                  <w:rPr>
                    <w:szCs w:val="24"/>
                  </w:rPr>
                </w:pPr>
                <w:r>
                  <w:rPr>
                    <w:szCs w:val="24"/>
                  </w:rPr>
                  <w:t>2.4. Finansuojamos veiklos turi būti baigtos įgyvendinti iki 2027 m. gruodžio 31 d. Tam tikrais atvejais dėl objektyvių priežasčių, kurių projekto vykdytojas negalėjo numatyti PĮP pateikimo ir vertinimo metu, finansuojamų veiklų įgyvendinimo laikotarpis gali būti pratęstas PAFT nustatyta tvarka ne ilgiau kaip iki 2029 m. rugsėjo 30 d.</w:t>
                </w:r>
              </w:p>
              <w:p>
                <w:pPr>
                  <w:tabs>
                    <w:tab w:val="left" w:pos="462"/>
                  </w:tabs>
                  <w:spacing w:line="276" w:lineRule="auto"/>
                  <w:jc w:val="both"/>
                  <w:rPr>
                    <w:rFonts w:eastAsia="Calibri"/>
                    <w:szCs w:val="24"/>
                  </w:rPr>
                </w:pPr>
                <w:r>
                  <w:t xml:space="preserve">2.5. </w:t>
                </w:r>
                <w:r>
                  <w:rPr>
                    <w:rFonts w:eastAsia="Calibri"/>
                    <w:szCs w:val="24"/>
                  </w:rPr>
                  <w:t>Pagal šį Aprašą finansuojama veikla (</w:t>
                </w:r>
                <w:r>
                  <w:rPr>
                    <w:szCs w:val="24"/>
                  </w:rPr>
                  <w:t xml:space="preserve">pastatų statyba ir (ar) rekonstrukcija, ir (ar) patalpų remontas, ir (ar)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iCs/>
                    <w:szCs w:val="24"/>
                  </w:rPr>
                  <w:t>atitinka Pažangos priemonės aprašo III skyriaus „</w:t>
                </w:r>
                <w:r>
                  <w:rPr>
                    <w:szCs w:val="24"/>
                  </w:rPr>
                  <w:t>Plėtros programos pažangos priemonės veiklų suvestinė“</w:t>
                </w:r>
                <w:r>
                  <w:rPr>
                    <w:iCs/>
                    <w:szCs w:val="24"/>
                  </w:rPr>
                  <w:t xml:space="preserve"> 2 veiklą – </w:t>
                </w:r>
                <w:r>
                  <w:rPr>
                    <w:szCs w:val="24"/>
                    <w:lang w:eastAsia="lt-LT"/>
                  </w:rPr>
                  <w:t xml:space="preserve">pasirengimo grėsmėms stiprinimas, </w:t>
                </w:r>
                <w:r>
                  <w:rPr>
                    <w:szCs w:val="24"/>
                  </w:rPr>
                  <w:t>2.4 poveiklę – regionų ir savivaldybių sveikatos priežiūros įstaigų infrastruktūros modernizavimas, Sostinės regionas, ir 2.5 poveiklę – regionų ir savivaldybių sveikatos priežiūros įstaigų infrastruktūros modernizavimas, Vidurio ir vakarų Lietuvos regionas.</w:t>
                </w:r>
              </w:p>
              <w:p>
                <w:pPr>
                  <w:tabs>
                    <w:tab w:val="left" w:pos="462"/>
                  </w:tabs>
                  <w:spacing w:line="276" w:lineRule="auto"/>
                  <w:ind w:firstLine="36"/>
                  <w:jc w:val="both"/>
                  <w:rPr>
                    <w:szCs w:val="24"/>
                  </w:rPr>
                </w:pPr>
                <w:r>
                  <w:rPr>
                    <w:szCs w:val="24"/>
                  </w:rPr>
                  <w:t>2.6. Projekto veiklos turi būti vykdomos Lietuvos Respublikoje.</w:t>
                </w:r>
              </w:p>
              <w:p>
                <w:pPr>
                  <w:tabs>
                    <w:tab w:val="left" w:pos="462"/>
                  </w:tabs>
                  <w:spacing w:line="276" w:lineRule="auto"/>
                  <w:ind w:left="36"/>
                  <w:jc w:val="both"/>
                  <w:rPr>
                    <w:szCs w:val="24"/>
                    <w:lang w:eastAsia="lt-LT"/>
                  </w:rPr>
                </w:pPr>
                <w:r>
                  <w:rPr>
                    <w:szCs w:val="24"/>
                  </w:rPr>
                  <w:t xml:space="preserve">2.7. </w:t>
                </w:r>
                <w:r>
                  <w:rPr>
                    <w:szCs w:val="24"/>
                    <w:lang w:eastAsia="lt-LT"/>
                  </w:rPr>
                  <w:t xml:space="preserve">Aprašo poveiklėms įgyvendinti skiriama suma: </w:t>
                </w:r>
              </w:p>
              <w:tbl>
                <w:tblPr>
                  <w:tblW w:w="14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5528"/>
                  <w:gridCol w:w="1985"/>
                  <w:gridCol w:w="1984"/>
                  <w:gridCol w:w="1701"/>
                  <w:gridCol w:w="2268"/>
                </w:tblGrid>
                <w:tr>
                  <w:tc>
                    <w:tcPr>
                      <w:tcW w:w="1166" w:type="dxa"/>
                    </w:tcPr>
                    <w:p>
                      <w:pPr>
                        <w:jc w:val="both"/>
                        <w:rPr>
                          <w:szCs w:val="24"/>
                        </w:rPr>
                      </w:pPr>
                      <w:r>
                        <w:rPr>
                          <w:szCs w:val="24"/>
                        </w:rPr>
                        <w:t>Poveiklė</w:t>
                      </w:r>
                    </w:p>
                  </w:tc>
                  <w:tc>
                    <w:tcPr>
                      <w:tcW w:w="5528" w:type="dxa"/>
                    </w:tcPr>
                    <w:p>
                      <w:pPr>
                        <w:jc w:val="center"/>
                        <w:rPr>
                          <w:szCs w:val="24"/>
                        </w:rPr>
                      </w:pPr>
                      <w:r>
                        <w:rPr>
                          <w:szCs w:val="24"/>
                        </w:rPr>
                        <w:t>Poveiklės pavadinimas</w:t>
                      </w:r>
                    </w:p>
                  </w:tc>
                  <w:tc>
                    <w:tcPr>
                      <w:tcW w:w="1985" w:type="dxa"/>
                    </w:tcPr>
                    <w:p>
                      <w:pPr>
                        <w:jc w:val="center"/>
                        <w:rPr>
                          <w:szCs w:val="24"/>
                        </w:rPr>
                      </w:pPr>
                      <w:r>
                        <w:rPr>
                          <w:szCs w:val="24"/>
                        </w:rPr>
                        <w:t>Regionas</w:t>
                      </w:r>
                    </w:p>
                  </w:tc>
                  <w:tc>
                    <w:tcPr>
                      <w:tcW w:w="1984" w:type="dxa"/>
                      <w:vAlign w:val="center"/>
                    </w:tcPr>
                    <w:p>
                      <w:pPr>
                        <w:jc w:val="center"/>
                        <w:rPr>
                          <w:szCs w:val="24"/>
                        </w:rPr>
                      </w:pPr>
                      <w:r>
                        <w:t>ES fondų lėšos, eurai</w:t>
                      </w:r>
                    </w:p>
                  </w:tc>
                  <w:tc>
                    <w:tcPr>
                      <w:tcW w:w="1701" w:type="dxa"/>
                      <w:vAlign w:val="center"/>
                    </w:tcPr>
                    <w:p>
                      <w:pPr>
                        <w:jc w:val="center"/>
                        <w:rPr>
                          <w:szCs w:val="24"/>
                        </w:rPr>
                      </w:pPr>
                      <w:r>
                        <w:t>BF lėšos, eurai</w:t>
                      </w:r>
                    </w:p>
                  </w:tc>
                  <w:tc>
                    <w:tcPr>
                      <w:tcW w:w="2268" w:type="dxa"/>
                      <w:tcBorders>
                        <w:bottom w:val="single" w:sz="4" w:space="0" w:color="auto"/>
                      </w:tcBorders>
                      <w:vAlign w:val="center"/>
                    </w:tcPr>
                    <w:p>
                      <w:pPr>
                        <w:jc w:val="center"/>
                        <w:rPr>
                          <w:szCs w:val="24"/>
                        </w:rPr>
                      </w:pPr>
                      <w:r>
                        <w:t>Bendra suma, eurai</w:t>
                      </w:r>
                    </w:p>
                  </w:tc>
                </w:tr>
                <w:tr>
                  <w:tc>
                    <w:tcPr>
                      <w:tcW w:w="1166" w:type="dxa"/>
                    </w:tcPr>
                    <w:p>
                      <w:pPr>
                        <w:rPr>
                          <w:szCs w:val="24"/>
                        </w:rPr>
                      </w:pPr>
                      <w:r>
                        <w:rPr>
                          <w:szCs w:val="24"/>
                        </w:rPr>
                        <w:t>2.4</w:t>
                      </w:r>
                    </w:p>
                  </w:tc>
                  <w:tc>
                    <w:tcPr>
                      <w:tcW w:w="5528" w:type="dxa"/>
                    </w:tcPr>
                    <w:p>
                      <w:pPr>
                        <w:rPr>
                          <w:bCs/>
                          <w:iCs/>
                          <w:szCs w:val="24"/>
                        </w:rPr>
                      </w:pPr>
                      <w:r>
                        <w:rPr>
                          <w:szCs w:val="24"/>
                        </w:rPr>
                        <w:t>Regionų ir savivaldybių sveikatos priežiūros įstaigų infrastruktūros modernizavimas, Sostinės regionas</w:t>
                      </w:r>
                    </w:p>
                  </w:tc>
                  <w:tc>
                    <w:tcPr>
                      <w:tcW w:w="1985" w:type="dxa"/>
                    </w:tcPr>
                    <w:p>
                      <w:pPr>
                        <w:jc w:val="center"/>
                        <w:rPr>
                          <w:szCs w:val="24"/>
                        </w:rPr>
                      </w:pPr>
                      <w:r>
                        <w:rPr>
                          <w:szCs w:val="24"/>
                        </w:rPr>
                        <w:t>Sostinės</w:t>
                      </w:r>
                    </w:p>
                  </w:tc>
                  <w:tc>
                    <w:tcPr>
                      <w:tcW w:w="1984" w:type="dxa"/>
                    </w:tcPr>
                    <w:p>
                      <w:pPr>
                        <w:jc w:val="center"/>
                        <w:rPr>
                          <w:szCs w:val="24"/>
                          <w:lang w:val="en-US"/>
                        </w:rPr>
                      </w:pPr>
                      <w:r>
                        <w:rPr>
                          <w:szCs w:val="24"/>
                          <w:lang w:val="en-US"/>
                        </w:rPr>
                        <w:t>4 483 834</w:t>
                      </w:r>
                    </w:p>
                  </w:tc>
                  <w:tc>
                    <w:tcPr>
                      <w:tcW w:w="1701" w:type="dxa"/>
                    </w:tcPr>
                    <w:p>
                      <w:pPr>
                        <w:jc w:val="center"/>
                        <w:rPr>
                          <w:szCs w:val="24"/>
                        </w:rPr>
                      </w:pPr>
                      <w:r>
                        <w:rPr>
                          <w:szCs w:val="24"/>
                          <w:lang w:val="en-US"/>
                        </w:rPr>
                        <w:t>4 483 834</w:t>
                      </w:r>
                    </w:p>
                  </w:tc>
                  <w:tc>
                    <w:tcPr>
                      <w:tcW w:w="2268" w:type="dxa"/>
                      <w:tcBorders>
                        <w:bottom w:val="single" w:sz="4" w:space="0" w:color="auto"/>
                      </w:tcBorders>
                    </w:tcPr>
                    <w:p>
                      <w:pPr>
                        <w:jc w:val="center"/>
                        <w:rPr>
                          <w:szCs w:val="24"/>
                        </w:rPr>
                      </w:pPr>
                      <w:r>
                        <w:rPr>
                          <w:szCs w:val="24"/>
                        </w:rPr>
                        <w:t>8 967 668</w:t>
                      </w:r>
                    </w:p>
                  </w:tc>
                </w:tr>
                <w:tr>
                  <w:tc>
                    <w:tcPr>
                      <w:tcW w:w="1166" w:type="dxa"/>
                    </w:tcPr>
                    <w:p>
                      <w:pPr>
                        <w:rPr>
                          <w:szCs w:val="24"/>
                        </w:rPr>
                      </w:pPr>
                      <w:r>
                        <w:rPr>
                          <w:szCs w:val="24"/>
                        </w:rPr>
                        <w:t>2.5</w:t>
                      </w:r>
                    </w:p>
                  </w:tc>
                  <w:tc>
                    <w:tcPr>
                      <w:tcW w:w="5528" w:type="dxa"/>
                    </w:tcPr>
                    <w:p>
                      <w:pPr>
                        <w:rPr>
                          <w:szCs w:val="24"/>
                        </w:rPr>
                      </w:pPr>
                      <w:r>
                        <w:rPr>
                          <w:szCs w:val="24"/>
                        </w:rPr>
                        <w:t>Regionų ir savivaldybių sveikatos priežiūros įstaigų infrastruktūros modernizavimas, Vidurio ir vakarų Lietuvos regionas</w:t>
                      </w:r>
                    </w:p>
                  </w:tc>
                  <w:tc>
                    <w:tcPr>
                      <w:tcW w:w="1985" w:type="dxa"/>
                    </w:tcPr>
                    <w:p>
                      <w:pPr>
                        <w:jc w:val="center"/>
                        <w:rPr>
                          <w:szCs w:val="24"/>
                        </w:rPr>
                      </w:pPr>
                      <w:r>
                        <w:rPr>
                          <w:iCs/>
                          <w:szCs w:val="24"/>
                        </w:rPr>
                        <w:t>Vidurio ir vakarų Lietuvos</w:t>
                      </w:r>
                    </w:p>
                  </w:tc>
                  <w:tc>
                    <w:tcPr>
                      <w:tcW w:w="1984" w:type="dxa"/>
                    </w:tcPr>
                    <w:p>
                      <w:pPr>
                        <w:jc w:val="center"/>
                        <w:rPr>
                          <w:szCs w:val="24"/>
                        </w:rPr>
                      </w:pPr>
                      <w:r>
                        <w:rPr>
                          <w:szCs w:val="24"/>
                        </w:rPr>
                        <w:t>32 077 140</w:t>
                      </w:r>
                    </w:p>
                  </w:tc>
                  <w:tc>
                    <w:tcPr>
                      <w:tcW w:w="1701" w:type="dxa"/>
                    </w:tcPr>
                    <w:p>
                      <w:pPr>
                        <w:jc w:val="center"/>
                        <w:rPr>
                          <w:szCs w:val="24"/>
                        </w:rPr>
                      </w:pPr>
                      <w:r>
                        <w:rPr>
                          <w:szCs w:val="24"/>
                        </w:rPr>
                        <w:t>5 660 672</w:t>
                      </w:r>
                    </w:p>
                  </w:tc>
                  <w:tc>
                    <w:tcPr>
                      <w:tcW w:w="2268"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 w:val="22"/>
                          <w:szCs w:val="22"/>
                        </w:rPr>
                        <w:t>37 737 812</w:t>
                      </w:r>
                    </w:p>
                  </w:tc>
                </w:tr>
                <w:tr>
                  <w:trPr>
                    <w:trHeight w:val="303"/>
                  </w:trPr>
                  <w:tc>
                    <w:tcPr>
                      <w:tcW w:w="12364" w:type="dxa"/>
                      <w:gridSpan w:val="5"/>
                    </w:tcPr>
                    <w:p>
                      <w:pPr>
                        <w:ind w:firstLine="2356"/>
                        <w:jc w:val="center"/>
                        <w:rPr>
                          <w:szCs w:val="24"/>
                        </w:rPr>
                      </w:pPr>
                      <w:r>
                        <w:rPr>
                          <w:rFonts w:eastAsia="Calibri"/>
                          <w:szCs w:val="24"/>
                        </w:rPr>
                        <w:t xml:space="preserve">Iš viso: </w:t>
                      </w:r>
                    </w:p>
                  </w:tc>
                  <w:tc>
                    <w:tcPr>
                      <w:tcW w:w="2268"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46 705 480</w:t>
                      </w:r>
                    </w:p>
                  </w:tc>
                </w:tr>
              </w:tbl>
              <w:p>
                <w:pPr>
                  <w:tabs>
                    <w:tab w:val="left" w:pos="462"/>
                  </w:tabs>
                  <w:spacing w:line="276" w:lineRule="auto"/>
                  <w:ind w:firstLine="36"/>
                  <w:jc w:val="both"/>
                  <w:rPr>
                    <w:szCs w:val="24"/>
                    <w:lang w:eastAsia="lt-LT"/>
                  </w:rPr>
                </w:pPr>
                <w:r>
                  <w:rPr>
                    <w:szCs w:val="24"/>
                  </w:rPr>
                  <w:t xml:space="preserve">2.8. </w:t>
                </w:r>
                <w:r>
                  <w:rPr>
                    <w:szCs w:val="24"/>
                    <w:lang w:eastAsia="lt-LT"/>
                  </w:rPr>
                  <w:t xml:space="preserve">Kiekvienos ASPĮ projektui įgyvendinti skiriama investicijų suma, eurais: </w:t>
                </w:r>
              </w:p>
              <w:tbl>
                <w:tblPr>
                  <w:tblW w:w="14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5"/>
                  <w:gridCol w:w="7938"/>
                </w:tblGrid>
                <w:tr>
                  <w:trPr>
                    <w:trHeight w:val="280"/>
                  </w:trPr>
                  <w:tc>
                    <w:tcPr>
                      <w:tcW w:w="6695" w:type="dxa"/>
                    </w:tcPr>
                    <w:p>
                      <w:pPr>
                        <w:jc w:val="center"/>
                        <w:rPr>
                          <w:szCs w:val="24"/>
                        </w:rPr>
                      </w:pPr>
                      <w:r>
                        <w:rPr>
                          <w:szCs w:val="24"/>
                        </w:rPr>
                        <w:t>ASPĮ</w:t>
                      </w:r>
                    </w:p>
                  </w:tc>
                  <w:tc>
                    <w:tcPr>
                      <w:tcW w:w="7938" w:type="dxa"/>
                    </w:tcPr>
                    <w:p>
                      <w:pPr>
                        <w:jc w:val="center"/>
                        <w:rPr>
                          <w:szCs w:val="24"/>
                        </w:rPr>
                      </w:pPr>
                      <w:r>
                        <w:rPr>
                          <w:szCs w:val="24"/>
                        </w:rPr>
                        <w:t>ES fondų lėšos, BF lėšos, eurais (su pridėtinės vertės mokesčiu (toliau – PVM)</w:t>
                      </w:r>
                    </w:p>
                  </w:tc>
                </w:tr>
                <w:tr>
                  <w:trPr>
                    <w:trHeight w:val="280"/>
                  </w:trPr>
                  <w:tc>
                    <w:tcPr>
                      <w:tcW w:w="6695" w:type="dxa"/>
                    </w:tcPr>
                    <w:p>
                      <w:pPr>
                        <w:rPr>
                          <w:szCs w:val="24"/>
                        </w:rPr>
                      </w:pPr>
                      <w:r>
                        <w:rPr>
                          <w:szCs w:val="24"/>
                        </w:rPr>
                        <w:t>VšĮ Klaipėdos universiteto ligoninė</w:t>
                      </w:r>
                    </w:p>
                  </w:tc>
                  <w:tc>
                    <w:tcPr>
                      <w:tcW w:w="7938" w:type="dxa"/>
                    </w:tcPr>
                    <w:p>
                      <w:pPr>
                        <w:jc w:val="center"/>
                        <w:rPr>
                          <w:szCs w:val="24"/>
                        </w:rPr>
                      </w:pPr>
                      <w:r>
                        <w:rPr>
                          <w:sz w:val="22"/>
                          <w:szCs w:val="22"/>
                        </w:rPr>
                        <w:t>10 327 533</w:t>
                      </w:r>
                    </w:p>
                  </w:tc>
                </w:tr>
                <w:tr>
                  <w:trPr>
                    <w:trHeight w:val="280"/>
                  </w:trPr>
                  <w:tc>
                    <w:tcPr>
                      <w:tcW w:w="6695" w:type="dxa"/>
                    </w:tcPr>
                    <w:p>
                      <w:pPr>
                        <w:rPr>
                          <w:szCs w:val="24"/>
                        </w:rPr>
                      </w:pPr>
                      <w:r>
                        <w:rPr>
                          <w:szCs w:val="24"/>
                        </w:rPr>
                        <w:t>VšĮ Vilniaus miesto klinikinė ligoninė</w:t>
                      </w:r>
                    </w:p>
                  </w:tc>
                  <w:tc>
                    <w:tcPr>
                      <w:tcW w:w="7938" w:type="dxa"/>
                    </w:tcPr>
                    <w:p>
                      <w:pPr>
                        <w:jc w:val="center"/>
                        <w:rPr>
                          <w:szCs w:val="24"/>
                        </w:rPr>
                      </w:pPr>
                      <w:r>
                        <w:rPr>
                          <w:szCs w:val="24"/>
                        </w:rPr>
                        <w:t>5 994 341</w:t>
                      </w:r>
                    </w:p>
                  </w:tc>
                </w:tr>
                <w:tr>
                  <w:trPr>
                    <w:trHeight w:val="269"/>
                  </w:trPr>
                  <w:tc>
                    <w:tcPr>
                      <w:tcW w:w="6695" w:type="dxa"/>
                    </w:tcPr>
                    <w:p>
                      <w:pPr>
                        <w:rPr>
                          <w:szCs w:val="24"/>
                        </w:rPr>
                      </w:pPr>
                      <w:r>
                        <w:rPr>
                          <w:szCs w:val="24"/>
                        </w:rPr>
                        <w:t>VšĮ Ukmergės ligoninė</w:t>
                      </w:r>
                    </w:p>
                  </w:tc>
                  <w:tc>
                    <w:tcPr>
                      <w:tcW w:w="7938" w:type="dxa"/>
                    </w:tcPr>
                    <w:p>
                      <w:pPr>
                        <w:jc w:val="center"/>
                        <w:rPr>
                          <w:szCs w:val="24"/>
                        </w:rPr>
                      </w:pPr>
                      <w:r>
                        <w:rPr>
                          <w:szCs w:val="24"/>
                        </w:rPr>
                        <w:t>2 973 327</w:t>
                      </w:r>
                    </w:p>
                  </w:tc>
                </w:tr>
                <w:tr>
                  <w:trPr>
                    <w:trHeight w:val="280"/>
                  </w:trPr>
                  <w:tc>
                    <w:tcPr>
                      <w:tcW w:w="6695" w:type="dxa"/>
                    </w:tcPr>
                    <w:p>
                      <w:pPr>
                        <w:rPr>
                          <w:szCs w:val="24"/>
                        </w:rPr>
                      </w:pPr>
                      <w:r>
                        <w:rPr>
                          <w:szCs w:val="24"/>
                        </w:rPr>
                        <w:t>VšĮ Druskininkų ligoninė</w:t>
                      </w:r>
                    </w:p>
                  </w:tc>
                  <w:tc>
                    <w:tcPr>
                      <w:tcW w:w="7938" w:type="dxa"/>
                    </w:tcPr>
                    <w:p>
                      <w:pPr>
                        <w:jc w:val="center"/>
                        <w:rPr>
                          <w:szCs w:val="24"/>
                        </w:rPr>
                      </w:pPr>
                      <w:r>
                        <w:rPr>
                          <w:szCs w:val="24"/>
                        </w:rPr>
                        <w:t>2 374 131</w:t>
                      </w:r>
                    </w:p>
                  </w:tc>
                </w:tr>
                <w:tr>
                  <w:trPr>
                    <w:trHeight w:val="280"/>
                  </w:trPr>
                  <w:tc>
                    <w:tcPr>
                      <w:tcW w:w="6695" w:type="dxa"/>
                    </w:tcPr>
                    <w:p>
                      <w:pPr>
                        <w:rPr>
                          <w:szCs w:val="24"/>
                        </w:rPr>
                      </w:pPr>
                      <w:r>
                        <w:rPr>
                          <w:szCs w:val="24"/>
                        </w:rPr>
                        <w:t>VšĮ Visagino ligoninė</w:t>
                      </w:r>
                    </w:p>
                  </w:tc>
                  <w:tc>
                    <w:tcPr>
                      <w:tcW w:w="7938" w:type="dxa"/>
                    </w:tcPr>
                    <w:p>
                      <w:pPr>
                        <w:jc w:val="center"/>
                        <w:rPr>
                          <w:szCs w:val="24"/>
                        </w:rPr>
                      </w:pPr>
                      <w:r>
                        <w:rPr>
                          <w:szCs w:val="24"/>
                        </w:rPr>
                        <w:t>2 837 902</w:t>
                      </w:r>
                    </w:p>
                  </w:tc>
                </w:tr>
                <w:tr>
                  <w:trPr>
                    <w:trHeight w:val="280"/>
                  </w:trPr>
                  <w:tc>
                    <w:tcPr>
                      <w:tcW w:w="6695" w:type="dxa"/>
                    </w:tcPr>
                    <w:p>
                      <w:pPr>
                        <w:rPr>
                          <w:szCs w:val="24"/>
                        </w:rPr>
                      </w:pPr>
                      <w:r>
                        <w:rPr>
                          <w:szCs w:val="24"/>
                        </w:rPr>
                        <w:t>VšĮ Kėdainių ligoninė</w:t>
                      </w:r>
                    </w:p>
                  </w:tc>
                  <w:tc>
                    <w:tcPr>
                      <w:tcW w:w="7938" w:type="dxa"/>
                    </w:tcPr>
                    <w:p>
                      <w:pPr>
                        <w:jc w:val="center"/>
                        <w:rPr>
                          <w:szCs w:val="24"/>
                        </w:rPr>
                      </w:pPr>
                      <w:r>
                        <w:rPr>
                          <w:szCs w:val="24"/>
                        </w:rPr>
                        <w:t>3 026 858</w:t>
                      </w:r>
                    </w:p>
                  </w:tc>
                </w:tr>
                <w:tr>
                  <w:trPr>
                    <w:trHeight w:val="280"/>
                  </w:trPr>
                  <w:tc>
                    <w:tcPr>
                      <w:tcW w:w="6695" w:type="dxa"/>
                    </w:tcPr>
                    <w:p>
                      <w:pPr>
                        <w:rPr>
                          <w:szCs w:val="24"/>
                        </w:rPr>
                      </w:pPr>
                      <w:r>
                        <w:rPr>
                          <w:szCs w:val="24"/>
                        </w:rPr>
                        <w:t>VšĮ Jonavos ligoninė</w:t>
                      </w:r>
                    </w:p>
                  </w:tc>
                  <w:tc>
                    <w:tcPr>
                      <w:tcW w:w="7938" w:type="dxa"/>
                    </w:tcPr>
                    <w:p>
                      <w:pPr>
                        <w:jc w:val="center"/>
                        <w:rPr>
                          <w:szCs w:val="24"/>
                        </w:rPr>
                      </w:pPr>
                      <w:r>
                        <w:rPr>
                          <w:szCs w:val="24"/>
                        </w:rPr>
                        <w:t>3 103 678</w:t>
                      </w:r>
                    </w:p>
                  </w:tc>
                </w:tr>
                <w:tr>
                  <w:trPr>
                    <w:trHeight w:val="280"/>
                  </w:trPr>
                  <w:tc>
                    <w:tcPr>
                      <w:tcW w:w="6695" w:type="dxa"/>
                    </w:tcPr>
                    <w:p>
                      <w:pPr>
                        <w:rPr>
                          <w:szCs w:val="24"/>
                        </w:rPr>
                      </w:pPr>
                      <w:r>
                        <w:rPr>
                          <w:szCs w:val="24"/>
                        </w:rPr>
                        <w:t>VšĮ Jurbarko ligoninė</w:t>
                      </w:r>
                    </w:p>
                  </w:tc>
                  <w:tc>
                    <w:tcPr>
                      <w:tcW w:w="7938" w:type="dxa"/>
                    </w:tcPr>
                    <w:p>
                      <w:pPr>
                        <w:jc w:val="center"/>
                        <w:rPr>
                          <w:szCs w:val="24"/>
                        </w:rPr>
                      </w:pPr>
                      <w:r>
                        <w:rPr>
                          <w:szCs w:val="24"/>
                        </w:rPr>
                        <w:t>2 878 139</w:t>
                      </w:r>
                    </w:p>
                  </w:tc>
                </w:tr>
                <w:tr>
                  <w:trPr>
                    <w:trHeight w:val="269"/>
                  </w:trPr>
                  <w:tc>
                    <w:tcPr>
                      <w:tcW w:w="6695" w:type="dxa"/>
                    </w:tcPr>
                    <w:p>
                      <w:pPr>
                        <w:rPr>
                          <w:szCs w:val="24"/>
                        </w:rPr>
                      </w:pPr>
                      <w:r>
                        <w:rPr>
                          <w:szCs w:val="24"/>
                        </w:rPr>
                        <w:t>VšĮ Respublikinė Klaipėdos ligoninė</w:t>
                      </w:r>
                    </w:p>
                  </w:tc>
                  <w:tc>
                    <w:tcPr>
                      <w:tcW w:w="7938" w:type="dxa"/>
                    </w:tcPr>
                    <w:p>
                      <w:pPr>
                        <w:jc w:val="center"/>
                        <w:rPr>
                          <w:szCs w:val="24"/>
                        </w:rPr>
                      </w:pPr>
                      <w:r>
                        <w:rPr>
                          <w:szCs w:val="24"/>
                        </w:rPr>
                        <w:t>4 916 887</w:t>
                      </w:r>
                    </w:p>
                  </w:tc>
                </w:tr>
                <w:tr>
                  <w:trPr>
                    <w:trHeight w:val="280"/>
                  </w:trPr>
                  <w:tc>
                    <w:tcPr>
                      <w:tcW w:w="6695" w:type="dxa"/>
                    </w:tcPr>
                    <w:p>
                      <w:pPr>
                        <w:rPr>
                          <w:szCs w:val="24"/>
                        </w:rPr>
                      </w:pPr>
                      <w:r>
                        <w:rPr>
                          <w:szCs w:val="24"/>
                        </w:rPr>
                        <w:t xml:space="preserve">VšĮ Regioninė Mažeikių ligoninė </w:t>
                      </w:r>
                    </w:p>
                  </w:tc>
                  <w:tc>
                    <w:tcPr>
                      <w:tcW w:w="7938" w:type="dxa"/>
                    </w:tcPr>
                    <w:p>
                      <w:pPr>
                        <w:jc w:val="center"/>
                        <w:rPr>
                          <w:szCs w:val="24"/>
                        </w:rPr>
                      </w:pPr>
                      <w:r>
                        <w:rPr>
                          <w:szCs w:val="24"/>
                        </w:rPr>
                        <w:t>3 286 697</w:t>
                      </w:r>
                    </w:p>
                  </w:tc>
                </w:tr>
                <w:tr>
                  <w:trPr>
                    <w:trHeight w:val="280"/>
                  </w:trPr>
                  <w:tc>
                    <w:tcPr>
                      <w:tcW w:w="6695" w:type="dxa"/>
                    </w:tcPr>
                    <w:p>
                      <w:pPr>
                        <w:rPr>
                          <w:szCs w:val="24"/>
                        </w:rPr>
                      </w:pPr>
                      <w:r>
                        <w:rPr>
                          <w:szCs w:val="24"/>
                        </w:rPr>
                        <w:t xml:space="preserve">VšĮ Rokiškio rajono ligoninė </w:t>
                      </w:r>
                    </w:p>
                  </w:tc>
                  <w:tc>
                    <w:tcPr>
                      <w:tcW w:w="7938" w:type="dxa"/>
                    </w:tcPr>
                    <w:p>
                      <w:pPr>
                        <w:jc w:val="center"/>
                        <w:rPr>
                          <w:szCs w:val="24"/>
                        </w:rPr>
                      </w:pPr>
                      <w:r>
                        <w:rPr>
                          <w:szCs w:val="24"/>
                        </w:rPr>
                        <w:t>2 814 841</w:t>
                      </w:r>
                    </w:p>
                  </w:tc>
                </w:tr>
                <w:tr>
                  <w:trPr>
                    <w:trHeight w:val="280"/>
                  </w:trPr>
                  <w:tc>
                    <w:tcPr>
                      <w:tcW w:w="6695" w:type="dxa"/>
                    </w:tcPr>
                    <w:p>
                      <w:pPr>
                        <w:rPr>
                          <w:szCs w:val="24"/>
                        </w:rPr>
                      </w:pPr>
                      <w:r>
                        <w:rPr>
                          <w:szCs w:val="24"/>
                        </w:rPr>
                        <w:t>VšĮ Pasvalio ligoninė</w:t>
                      </w:r>
                    </w:p>
                  </w:tc>
                  <w:tc>
                    <w:tcPr>
                      <w:tcW w:w="7938" w:type="dxa"/>
                    </w:tcPr>
                    <w:p>
                      <w:pPr>
                        <w:jc w:val="center"/>
                        <w:rPr>
                          <w:szCs w:val="24"/>
                        </w:rPr>
                      </w:pPr>
                      <w:r>
                        <w:rPr>
                          <w:szCs w:val="24"/>
                        </w:rPr>
                        <w:t>2 171 146</w:t>
                      </w:r>
                    </w:p>
                  </w:tc>
                </w:tr>
                <w:tr>
                  <w:trPr>
                    <w:trHeight w:val="280"/>
                  </w:trPr>
                  <w:tc>
                    <w:tcPr>
                      <w:tcW w:w="6695" w:type="dxa"/>
                    </w:tcPr>
                    <w:p>
                      <w:pPr>
                        <w:jc w:val="center"/>
                        <w:rPr>
                          <w:szCs w:val="24"/>
                        </w:rPr>
                      </w:pPr>
                      <w:r>
                        <w:rPr>
                          <w:szCs w:val="24"/>
                        </w:rPr>
                        <w:t>Iš viso:</w:t>
                      </w:r>
                    </w:p>
                  </w:tc>
                  <w:tc>
                    <w:tcPr>
                      <w:tcW w:w="7938" w:type="dxa"/>
                      <w:tcBorders>
                        <w:bottom w:val="single" w:sz="4" w:space="0" w:color="auto"/>
                      </w:tcBorders>
                    </w:tcPr>
                    <w:p>
                      <w:pPr>
                        <w:jc w:val="center"/>
                        <w:rPr>
                          <w:szCs w:val="24"/>
                        </w:rPr>
                      </w:pPr>
                      <w:r>
                        <w:rPr>
                          <w:szCs w:val="24"/>
                        </w:rPr>
                        <w:t>46 705 480</w:t>
                      </w:r>
                    </w:p>
                  </w:tc>
                </w:tr>
              </w:tbl>
              <w:p>
                <w:pPr>
                  <w:tabs>
                    <w:tab w:val="left" w:pos="462"/>
                    <w:tab w:val="left" w:pos="604"/>
                  </w:tabs>
                  <w:spacing w:line="276" w:lineRule="auto"/>
                  <w:ind w:firstLine="36"/>
                  <w:jc w:val="both"/>
                  <w:rPr>
                    <w:szCs w:val="24"/>
                  </w:rPr>
                </w:pPr>
                <w:r>
                  <w:rPr>
                    <w:szCs w:val="24"/>
                  </w:rPr>
                  <w:t>2.9.</w:t>
                  <w:tab/>
                </w:r>
                <w:r>
                  <w:rPr>
                    <w:rFonts w:eastAsia="Calibri"/>
                    <w:szCs w:val="24"/>
                  </w:rPr>
                  <w:t>Projektas turi atitikti projekto bendruosius atrankos kriterijus, nustatytus PAFT 2 priede „Projektų bendrųjų atrankos kriterijų sąrašas ir jų vertinimo metodika“.</w:t>
                </w:r>
              </w:p>
              <w:p>
                <w:pPr>
                  <w:tabs>
                    <w:tab w:val="left" w:pos="462"/>
                    <w:tab w:val="left" w:pos="604"/>
                  </w:tabs>
                  <w:spacing w:line="276" w:lineRule="auto"/>
                  <w:ind w:left="32" w:firstLine="4"/>
                  <w:jc w:val="both"/>
                  <w:rPr>
                    <w:szCs w:val="24"/>
                    <w:lang w:eastAsia="lt-LT"/>
                  </w:rPr>
                </w:pPr>
                <w:r>
                  <w:rPr>
                    <w:szCs w:val="24"/>
                  </w:rPr>
                  <w:t>2.10.</w:t>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pPr>
                  <w:tabs>
                    <w:tab w:val="left" w:pos="462"/>
                    <w:tab w:val="left" w:pos="604"/>
                  </w:tabs>
                  <w:spacing w:line="276" w:lineRule="auto"/>
                  <w:ind w:left="36"/>
                  <w:jc w:val="both"/>
                  <w:rPr>
                    <w:szCs w:val="24"/>
                  </w:rPr>
                </w:pPr>
                <w:r>
                  <w:rPr>
                    <w:szCs w:val="24"/>
                  </w:rPr>
                  <w:t>2.11.</w:t>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pPr>
                  <w:tabs>
                    <w:tab w:val="left" w:pos="604"/>
                    <w:tab w:val="left" w:pos="1450"/>
                  </w:tabs>
                  <w:spacing w:line="276" w:lineRule="auto"/>
                  <w:ind w:left="36"/>
                  <w:jc w:val="both"/>
                  <w:rPr>
                    <w:szCs w:val="24"/>
                  </w:rPr>
                </w:pPr>
                <w:r>
                  <w:rPr>
                    <w:szCs w:val="24"/>
                  </w:rPr>
                  <w:t>2.12.</w:t>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pPr>
                  <w:tabs>
                    <w:tab w:val="left" w:pos="680"/>
                    <w:tab w:val="decimal" w:pos="743"/>
                  </w:tabs>
                  <w:spacing w:line="276" w:lineRule="auto"/>
                  <w:jc w:val="both"/>
                  <w:rPr>
                    <w:szCs w:val="24"/>
                  </w:rPr>
                </w:pPr>
                <w:r>
                  <w:rPr>
                    <w:szCs w:val="24"/>
                  </w:rPr>
                  <w:t>2.12.3. d</w:t>
                </w:r>
                <w:r>
                  <w:rPr>
                    <w:szCs w:val="24"/>
                    <w:lang w:eastAsia="lt-LT"/>
                  </w:rPr>
                  <w:t xml:space="preserve">okumentai, pagrindžiantys projekto išlaidų pagrįstumą (sudarytos sutartys, komerciniai pasiūlymai, nuorodos į rinkoje esančias kainas (pvz.,  Centrinėje viešųjų pirkimų informacinėje sistemoje) ir kt.);</w:t>
                </w:r>
              </w:p>
              <w:p>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Statybos įstatyme nustatytų reikalingų dokumentų kopijas (jei taikoma);</w:t>
                </w:r>
              </w:p>
              <w:p>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 </w:t>
                </w:r>
              </w:p>
              <w:p>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p>
                <w:pPr>
                  <w:tabs>
                    <w:tab w:val="left" w:pos="462"/>
                  </w:tabs>
                  <w:spacing w:line="276" w:lineRule="auto"/>
                  <w:jc w:val="both"/>
                  <w:rPr>
                    <w:szCs w:val="24"/>
                  </w:rPr>
                </w:pPr>
                <w:r>
                  <w:rPr>
                    <w:szCs w:val="24"/>
                    <w:lang w:eastAsia="lt-LT"/>
                  </w:rPr>
                  <w:t xml:space="preserve">2.13. </w:t>
                </w:r>
                <w:r>
                  <w:rPr>
                    <w:szCs w:val="24"/>
                  </w:rPr>
                  <w:t xml:space="preserve">PĮP </w:t>
                </w:r>
                <w:r>
                  <w:rPr>
                    <w:bCs/>
                    <w:iCs/>
                    <w:szCs w:val="24"/>
                  </w:rPr>
                  <w:t>pateikimas administruojančiajai institucijai skaidomas į etapus</w:t>
                </w:r>
                <w:r>
                  <w:rPr>
                    <w:szCs w:val="24"/>
                  </w:rPr>
                  <w:t>:</w:t>
                </w:r>
              </w:p>
              <w:p>
                <w:pPr>
                  <w:tabs>
                    <w:tab w:val="left" w:pos="462"/>
                  </w:tabs>
                  <w:spacing w:line="276" w:lineRule="auto"/>
                  <w:jc w:val="both"/>
                  <w:rPr>
                    <w:szCs w:val="24"/>
                    <w:lang w:eastAsia="lt-LT"/>
                  </w:rPr>
                </w:pPr>
                <w:r>
                  <w:rPr>
                    <w:szCs w:val="24"/>
                  </w:rPr>
                  <w:t xml:space="preserve">2.13.1. I etapas: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szCs w:val="24"/>
                  </w:rPr>
                  <w:t xml:space="preserve">VšĮ Respublikinė Klaipėdos ligoninė, VšĮ Regioninė Mažeikių ligoninė, </w:t>
                </w:r>
                <w:r>
                  <w:rPr>
                    <w:bCs/>
                    <w:szCs w:val="24"/>
                    <w:lang w:eastAsia="lt-LT"/>
                  </w:rPr>
                  <w:t>VšĮ Rokiškio rajono ligoninė, VšĮ Pasvalio ligoninė.</w:t>
                </w:r>
              </w:p>
              <w:p>
                <w:pPr>
                  <w:tabs>
                    <w:tab w:val="left" w:pos="462"/>
                  </w:tabs>
                  <w:spacing w:line="276" w:lineRule="auto"/>
                  <w:jc w:val="both"/>
                  <w:rPr>
                    <w:szCs w:val="24"/>
                    <w:lang w:eastAsia="lt-LT"/>
                  </w:rPr>
                </w:pPr>
                <w:r>
                  <w:rPr>
                    <w:szCs w:val="24"/>
                    <w:lang w:eastAsia="lt-LT"/>
                  </w:rPr>
                  <w:t>2.13.2. II etapas – V</w:t>
                </w:r>
                <w:r>
                  <w:rPr>
                    <w:bCs/>
                    <w:szCs w:val="24"/>
                  </w:rPr>
                  <w:t>šĮ Klaipėdos universiteto ligoninė.</w:t>
                </w:r>
              </w:p>
            </w:tc>
          </w:tr>
          <w:tr>
            <w:tc>
              <w:tcPr>
                <w:tcW w:w="14885" w:type="dxa"/>
              </w:tcPr>
              <w:p>
                <w:pPr>
                  <w:spacing w:line="276" w:lineRule="auto"/>
                  <w:jc w:val="both"/>
                  <w:rPr>
                    <w:b/>
                    <w:sz w:val="22"/>
                    <w:szCs w:val="22"/>
                  </w:rPr>
                </w:pPr>
                <w:r>
                  <w:rPr>
                    <w:b/>
                    <w:szCs w:val="24"/>
                  </w:rPr>
                  <w:t>3. Reikalavimai jungtinio projekto projektams ir jungtinio projekto projektų pareiškėjams</w:t>
                </w:r>
              </w:p>
            </w:tc>
          </w:tr>
          <w:tr>
            <w:tc>
              <w:tcPr>
                <w:tcW w:w="14885" w:type="dxa"/>
              </w:tcPr>
              <w:p>
                <w:pPr>
                  <w:spacing w:line="276" w:lineRule="auto"/>
                  <w:jc w:val="both"/>
                  <w:rPr>
                    <w:bCs/>
                    <w:sz w:val="22"/>
                    <w:szCs w:val="22"/>
                  </w:rPr>
                </w:pPr>
                <w:r>
                  <w:rPr>
                    <w:bCs/>
                    <w:sz w:val="22"/>
                    <w:szCs w:val="22"/>
                  </w:rPr>
                  <w:t>Netaikoma.</w:t>
                </w:r>
              </w:p>
            </w:tc>
          </w:tr>
          <w:tr>
            <w:tc>
              <w:tcPr>
                <w:tcW w:w="14885" w:type="dxa"/>
              </w:tcPr>
              <w:p>
                <w:pPr>
                  <w:jc w:val="both"/>
                  <w:rPr>
                    <w:b/>
                    <w:szCs w:val="24"/>
                  </w:rPr>
                </w:pPr>
                <w:r>
                  <w:rPr>
                    <w:b/>
                    <w:szCs w:val="24"/>
                  </w:rPr>
                  <w:t>4. Projekto tikslinės grupės</w:t>
                </w:r>
              </w:p>
              <w:p>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trPr>
              <w:trHeight w:val="245"/>
            </w:trPr>
            <w:tc>
              <w:tcPr>
                <w:tcW w:w="14885" w:type="dxa"/>
              </w:tcPr>
              <w:p>
                <w:pPr>
                  <w:spacing w:line="276" w:lineRule="auto"/>
                  <w:rPr>
                    <w:sz w:val="22"/>
                    <w:szCs w:val="22"/>
                  </w:rPr>
                </w:pPr>
                <w:r>
                  <w:rPr>
                    <w:b/>
                    <w:szCs w:val="24"/>
                  </w:rPr>
                  <w:t>5. Horizontaliųjų principų (toliau – HP) reikalavimai</w:t>
                </w:r>
              </w:p>
            </w:tc>
          </w:tr>
          <w:tr>
            <w:trPr>
              <w:trHeight w:val="1412"/>
            </w:trPr>
            <w:tc>
              <w:tcPr>
                <w:tcW w:w="14885" w:type="dxa"/>
              </w:tcPr>
              <w:p>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pPr>
                  <w:spacing w:line="276" w:lineRule="auto"/>
                  <w:jc w:val="both"/>
                  <w:rPr>
                    <w:bCs/>
                    <w:szCs w:val="24"/>
                  </w:rPr>
                </w:pPr>
                <w:r>
                  <w:rPr>
                    <w:szCs w:val="24"/>
                  </w:rPr>
                  <w:t xml:space="preserve">5.2. Įvertinus Pažangos priemonės aprašo  poveiklės </w:t>
                </w:r>
                <w:r>
                  <w:rPr>
                    <w:szCs w:val="24"/>
                    <w:lang w:eastAsia="lt-LT"/>
                  </w:rPr>
                  <w:t>2.4 „</w:t>
                </w:r>
                <w:r>
                  <w:rPr>
                    <w:szCs w:val="24"/>
                  </w:rPr>
                  <w:t>Regionų ir savivaldybių sveikatos priežiūros įstaigų  infrastruktūros modernizavimas, Sostinės regionas“</w:t>
                </w:r>
                <w:r>
                  <w:rPr>
                    <w:szCs w:val="24"/>
                    <w:lang w:eastAsia="lt-LT"/>
                  </w:rPr>
                  <w:t xml:space="preserve"> ir poveiklės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w:t>
                </w:r>
                <w:r>
                  <w:rPr>
                    <w:szCs w:val="24"/>
                  </w:rPr>
                  <w:t>(ES) Nr. 2020/852</w:t>
                </w:r>
                <w:r>
                  <w:rPr>
                    <w:szCs w:val="24"/>
                  </w:rPr>
                  <w:t xml:space="preserve"> dėl sistemos tvariam investavimui palengvinti sukūrimo, kuriuo iš dalies keičiamas Reglamentas </w:t>
                </w:r>
                <w:r>
                  <w:rPr>
                    <w:szCs w:val="24"/>
                  </w:rPr>
                  <w:t>(ES) 2019/2088</w:t>
                </w:r>
                <w:r>
                  <w:rPr>
                    <w:szCs w:val="24"/>
                  </w:rPr>
                  <w:t>,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Projektų atitikties reikšmingos žalos nedarymo HP vertinimo reikalavimai pateikiami Aprašo priede „Projekto atitikties reikšmingos žalos nedarymo horizontaliajam principui vertinimo reikalavimų aprašas“.</w:t>
                </w:r>
              </w:p>
              <w:p>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tc>
              <w:tcPr>
                <w:tcW w:w="14885" w:type="dxa"/>
              </w:tcPr>
              <w:p>
                <w:pPr>
                  <w:spacing w:line="276" w:lineRule="auto"/>
                  <w:rPr>
                    <w:b/>
                    <w:sz w:val="22"/>
                    <w:szCs w:val="22"/>
                  </w:rPr>
                </w:pPr>
                <w:r>
                  <w:rPr>
                    <w:b/>
                    <w:iCs/>
                    <w:szCs w:val="24"/>
                  </w:rPr>
                  <w:t>6. Europos Sąjungos pagrindinių teisių chartijos (toliau – Chartija) reikalavimai</w:t>
                </w:r>
              </w:p>
            </w:tc>
          </w:tr>
          <w:tr>
            <w:tc>
              <w:tcPr>
                <w:tcW w:w="14885" w:type="dxa"/>
              </w:tcPr>
              <w:p>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tc>
              <w:tcPr>
                <w:tcW w:w="14885" w:type="dxa"/>
              </w:tcPr>
              <w:p>
                <w:pPr>
                  <w:spacing w:line="276" w:lineRule="auto"/>
                  <w:rPr>
                    <w:b/>
                    <w:szCs w:val="24"/>
                  </w:rPr>
                </w:pPr>
                <w:r>
                  <w:rPr>
                    <w:b/>
                    <w:szCs w:val="24"/>
                    <w:lang w:val="nb-NO"/>
                  </w:rPr>
                  <w:t>7</w:t>
                </w:r>
                <w:r>
                  <w:rPr>
                    <w:b/>
                    <w:szCs w:val="24"/>
                  </w:rPr>
                  <w:t>. Apskritis, kurioje gali būti įgyvendinami projektai</w:t>
                </w:r>
              </w:p>
            </w:tc>
          </w:tr>
          <w:tr>
            <w:tc>
              <w:tcPr>
                <w:tcW w:w="14885" w:type="dxa"/>
              </w:tcPr>
              <w:p>
                <w:pPr>
                  <w:spacing w:line="276" w:lineRule="auto"/>
                  <w:jc w:val="both"/>
                  <w:rPr>
                    <w:iCs/>
                    <w:szCs w:val="24"/>
                  </w:rPr>
                </w:pPr>
                <w:r>
                  <w:rPr>
                    <w:iCs/>
                    <w:szCs w:val="24"/>
                  </w:rPr>
                  <w:t>Netaikoma</w:t>
                </w:r>
              </w:p>
            </w:tc>
          </w:tr>
          <w:tr>
            <w:tc>
              <w:tcPr>
                <w:tcW w:w="14885" w:type="dxa"/>
              </w:tcPr>
              <w:p>
                <w:pPr>
                  <w:spacing w:line="276" w:lineRule="auto"/>
                  <w:jc w:val="both"/>
                  <w:rPr>
                    <w:b/>
                    <w:szCs w:val="24"/>
                  </w:rPr>
                </w:pPr>
                <w:r>
                  <w:rPr>
                    <w:b/>
                    <w:szCs w:val="24"/>
                  </w:rPr>
                  <w:t>8. Reikalavimai valstybės pagalbai (kurie nėra nurodyti kituose Aprašo punktuose)</w:t>
                </w:r>
              </w:p>
            </w:tc>
          </w:tr>
          <w:tr>
            <w:tc>
              <w:tcPr>
                <w:tcW w:w="14885" w:type="dxa"/>
              </w:tcPr>
              <w:p>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tc>
              <w:tcPr>
                <w:tcW w:w="14885" w:type="dxa"/>
              </w:tcPr>
              <w:p>
                <w:pPr>
                  <w:spacing w:line="276" w:lineRule="auto"/>
                  <w:ind w:left="426" w:hanging="426"/>
                  <w:jc w:val="both"/>
                  <w:rPr>
                    <w:b/>
                    <w:szCs w:val="24"/>
                  </w:rPr>
                </w:pPr>
                <w:r>
                  <w:rPr>
                    <w:b/>
                    <w:szCs w:val="24"/>
                  </w:rPr>
                  <w:t>9. Projektų atrankos kriterijai</w:t>
                </w:r>
              </w:p>
              <w:p>
                <w:pPr>
                  <w:spacing w:line="276" w:lineRule="auto"/>
                  <w:ind w:left="426" w:hanging="426"/>
                  <w:jc w:val="both"/>
                  <w:rPr>
                    <w:i/>
                    <w:szCs w:val="24"/>
                  </w:rPr>
                </w:pPr>
                <w:r>
                  <w:t xml:space="preserve">(Kiekvienas projektas turi atitikti PAFT </w:t>
                </w:r>
                <w:r>
                  <w:rPr>
                    <w:iCs/>
                  </w:rPr>
                  <w:t>2 priede nustatytus projektų bendruosius atrankos kriterijus.)</w:t>
                </w:r>
              </w:p>
            </w:tc>
          </w:tr>
          <w:tr>
            <w:trPr>
              <w:trHeight w:val="335"/>
            </w:trPr>
            <w:tc>
              <w:tcPr>
                <w:tcW w:w="14885" w:type="dxa"/>
              </w:tcPr>
              <w:p>
                <w:pPr>
                  <w:spacing w:line="276" w:lineRule="auto"/>
                  <w:jc w:val="both"/>
                  <w:rPr>
                    <w:i/>
                    <w:szCs w:val="24"/>
                  </w:rPr>
                </w:pPr>
                <w:r>
                  <w:rPr>
                    <w:szCs w:val="24"/>
                  </w:rPr>
                  <w:t>Specialieji ir prioritetiniai projektų atrankos kriterijai nėra nustatomi.</w:t>
                </w:r>
              </w:p>
            </w:tc>
          </w:tr>
          <w:tr>
            <w:tc>
              <w:tcPr>
                <w:tcW w:w="14885" w:type="dxa"/>
              </w:tcPr>
              <w:p>
                <w:pPr>
                  <w:jc w:val="both"/>
                  <w:rPr>
                    <w:i/>
                    <w:szCs w:val="22"/>
                  </w:rPr>
                </w:pPr>
                <w:r>
                  <w:rPr>
                    <w:b/>
                    <w:szCs w:val="22"/>
                  </w:rPr>
                  <w:t>10. Jungtinio projekto projektų atrankos kriterijai (</w:t>
                </w:r>
                <w:r>
                  <w:rPr>
                    <w:b/>
                    <w:i/>
                    <w:szCs w:val="22"/>
                  </w:rPr>
                  <w:t>pildoma tik jungtiniam projektui)</w:t>
                </w:r>
              </w:p>
              <w:p>
                <w:pPr>
                  <w:spacing w:line="276" w:lineRule="auto"/>
                  <w:rPr>
                    <w:b/>
                    <w:szCs w:val="24"/>
                  </w:rPr>
                </w:pPr>
                <w:r>
                  <w:t>(Kiekvienas jungtinio projekto projektas turi atitikti PAFT</w:t>
                </w:r>
                <w:r>
                  <w:rPr>
                    <w:iCs/>
                  </w:rPr>
                  <w:t xml:space="preserve"> 2 priede nustatytus projektų bendruosius atrankos kriterijus.)</w:t>
                </w:r>
              </w:p>
            </w:tc>
          </w:tr>
          <w:tr>
            <w:tc>
              <w:tcPr>
                <w:tcW w:w="14885" w:type="dxa"/>
              </w:tcPr>
              <w:p>
                <w:pPr>
                  <w:spacing w:line="276" w:lineRule="auto"/>
                  <w:rPr>
                    <w:bCs/>
                    <w:szCs w:val="24"/>
                  </w:rPr>
                </w:pPr>
                <w:r>
                  <w:rPr>
                    <w:bCs/>
                    <w:szCs w:val="24"/>
                  </w:rPr>
                  <w:t>Netaikoma.</w:t>
                </w:r>
              </w:p>
            </w:tc>
          </w:tr>
          <w:tr>
            <w:tc>
              <w:tcPr>
                <w:tcW w:w="14885" w:type="dxa"/>
              </w:tcPr>
              <w:p>
                <w:pPr>
                  <w:spacing w:line="276" w:lineRule="auto"/>
                  <w:rPr>
                    <w:b/>
                    <w:szCs w:val="24"/>
                  </w:rPr>
                </w:pPr>
                <w:r>
                  <w:rPr>
                    <w:b/>
                    <w:szCs w:val="24"/>
                  </w:rPr>
                  <w:t>11. Reikalavimai įgyvendinus projektų veiklas</w:t>
                </w:r>
              </w:p>
            </w:tc>
          </w:tr>
          <w:tr>
            <w:tc>
              <w:tcPr>
                <w:tcW w:w="14885" w:type="dxa"/>
              </w:tcPr>
              <w:p>
                <w:pPr>
                  <w:spacing w:line="276" w:lineRule="auto"/>
                  <w:rPr>
                    <w:iCs/>
                    <w:szCs w:val="24"/>
                  </w:rPr>
                </w:pPr>
                <w:r>
                  <w:rPr>
                    <w:iCs/>
                    <w:szCs w:val="24"/>
                  </w:rPr>
                  <w:t>Papildomi reikalavimai, kurie nėra numatyti Administravimo taisyklėse ir PAFT, nenustatyti.</w:t>
                </w:r>
              </w:p>
            </w:tc>
          </w:tr>
          <w:tr>
            <w:tc>
              <w:tcPr>
                <w:tcW w:w="14885" w:type="dxa"/>
              </w:tcPr>
              <w:p>
                <w:pPr>
                  <w:spacing w:line="276" w:lineRule="auto"/>
                  <w:rPr>
                    <w:sz w:val="22"/>
                    <w:szCs w:val="22"/>
                  </w:rPr>
                </w:pPr>
                <w:r>
                  <w:rPr>
                    <w:b/>
                    <w:szCs w:val="24"/>
                  </w:rPr>
                  <w:t>12. Kiti reikalavimai</w:t>
                </w:r>
              </w:p>
            </w:tc>
          </w:tr>
          <w:tr>
            <w:tc>
              <w:tcPr>
                <w:tcW w:w="14885" w:type="dxa"/>
              </w:tcPr>
              <w:p>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tc>
              <w:tcPr>
                <w:tcW w:w="14885" w:type="dxa"/>
              </w:tcPr>
              <w:p>
                <w:pPr>
                  <w:spacing w:line="276" w:lineRule="auto"/>
                  <w:jc w:val="both"/>
                  <w:rPr>
                    <w:b/>
                    <w:szCs w:val="24"/>
                  </w:rPr>
                </w:pPr>
                <w:r>
                  <w:rPr>
                    <w:b/>
                    <w:szCs w:val="24"/>
                  </w:rPr>
                  <w:t>IŠLAIDŲ TINKAMUMO FINANSUOTI REIKALAVIMAI</w:t>
                </w:r>
              </w:p>
            </w:tc>
          </w:tr>
          <w:tr>
            <w:trPr>
              <w:trHeight w:val="403"/>
            </w:trPr>
            <w:tc>
              <w:tcPr>
                <w:tcW w:w="14885" w:type="dxa"/>
              </w:tcPr>
              <w:p>
                <w:pPr>
                  <w:spacing w:line="276" w:lineRule="auto"/>
                  <w:jc w:val="both"/>
                  <w:rPr>
                    <w:b/>
                    <w:szCs w:val="24"/>
                  </w:rPr>
                </w:pPr>
                <w:r>
                  <w:rPr>
                    <w:b/>
                    <w:szCs w:val="24"/>
                  </w:rPr>
                  <w:t>13. Išlaidų tinkamumo finansuoti reikalavimai</w:t>
                </w:r>
              </w:p>
            </w:tc>
          </w:tr>
          <w:tr>
            <w:trPr>
              <w:trHeight w:val="403"/>
            </w:trPr>
            <w:tc>
              <w:tcPr>
                <w:tcW w:w="14885" w:type="dxa"/>
              </w:tcPr>
              <w:p>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pPr>
                  <w:spacing w:line="276" w:lineRule="auto"/>
                  <w:jc w:val="both"/>
                  <w:rPr>
                    <w:szCs w:val="24"/>
                  </w:rPr>
                </w:pPr>
                <w:r>
                  <w:rPr>
                    <w:szCs w:val="24"/>
                  </w:rPr>
                  <w:t>13.4. Projekto vykdytojui, vadovaujantis PAFT numatytomis sąlygomis, gali būti mokamas avansas.</w:t>
                </w:r>
              </w:p>
              <w:p>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pPr>
                  <w:spacing w:line="276" w:lineRule="auto"/>
                  <w:jc w:val="both"/>
                  <w:rPr>
                    <w:szCs w:val="24"/>
                  </w:rPr>
                </w:pPr>
                <w:r>
                  <w:rPr>
                    <w:szCs w:val="24"/>
                  </w:rPr>
                  <w:t>13.7. Netinkamos finansuoti projekto lėšomis išlaidos, nustatytos PAFT VII skyriaus „Projektų išlaidų reikalavimai“ 3 skirsnyje:</w:t>
                </w:r>
              </w:p>
              <w:p>
                <w:pPr>
                  <w:spacing w:line="276" w:lineRule="auto"/>
                  <w:jc w:val="both"/>
                  <w:rPr>
                    <w:szCs w:val="24"/>
                  </w:rPr>
                </w:pPr>
                <w:r>
                  <w:rPr>
                    <w:szCs w:val="24"/>
                  </w:rPr>
                  <w:t>13.7.1. žemės ir kito nekilnojamojo turto įsigijimo išlaidos;</w:t>
                </w:r>
              </w:p>
              <w:p>
                <w:pPr>
                  <w:spacing w:line="276" w:lineRule="auto"/>
                  <w:jc w:val="both"/>
                  <w:rPr>
                    <w:szCs w:val="24"/>
                  </w:rPr>
                </w:pPr>
                <w:r>
                  <w:rPr>
                    <w:szCs w:val="24"/>
                  </w:rPr>
                  <w:t>13.7.2. transporto priemonių įsigijimo išlaidos;</w:t>
                </w:r>
              </w:p>
              <w:p>
                <w:pPr>
                  <w:spacing w:line="276" w:lineRule="auto"/>
                  <w:jc w:val="both"/>
                  <w:rPr>
                    <w:szCs w:val="24"/>
                  </w:rPr>
                </w:pPr>
                <w:r>
                  <w:rPr>
                    <w:szCs w:val="24"/>
                  </w:rPr>
                  <w:t>13.7.3. naudojamo ilgalaikio turto nusidėvėjimo (amortizacijos) sąnaudos;</w:t>
                </w:r>
              </w:p>
              <w:p>
                <w:pPr>
                  <w:spacing w:line="276" w:lineRule="auto"/>
                  <w:jc w:val="both"/>
                  <w:rPr>
                    <w:szCs w:val="24"/>
                  </w:rPr>
                </w:pPr>
                <w:r>
                  <w:rPr>
                    <w:szCs w:val="24"/>
                  </w:rPr>
                  <w:t>13.7.4. vienkartinės priemonės, higienos prekės ir kitos panašios paslaugoms teikti reikalingos priemonės;</w:t>
                </w:r>
              </w:p>
              <w:p>
                <w:pPr>
                  <w:tabs>
                    <w:tab w:val="left" w:pos="458"/>
                  </w:tabs>
                  <w:spacing w:line="276" w:lineRule="auto"/>
                  <w:jc w:val="both"/>
                  <w:rPr>
                    <w:bCs/>
                    <w:szCs w:val="24"/>
                  </w:rPr>
                </w:pPr>
                <w:r>
                  <w:rPr>
                    <w:szCs w:val="24"/>
                  </w:rPr>
                  <w:t>13.7.5. nepiniginis projekto vykdytojo ir (ar) projekto partnerio įnašas.</w:t>
                </w:r>
              </w:p>
              <w:p>
                <w:pPr>
                  <w:tabs>
                    <w:tab w:val="left" w:pos="458"/>
                  </w:tabs>
                  <w:spacing w:line="276" w:lineRule="auto"/>
                  <w:jc w:val="both"/>
                </w:pPr>
                <w:r>
                  <w:rPr>
                    <w:bCs/>
                    <w:szCs w:val="24"/>
                  </w:rPr>
                  <w:t xml:space="preserve">13.8. </w:t>
                </w:r>
                <w:r>
                  <w:t xml:space="preserve">PVM tinkamumo reikalavimai nurodyti PAFT ketvirtame skirsnyje. </w:t>
                </w:r>
              </w:p>
              <w:p>
                <w:pPr>
                  <w:tabs>
                    <w:tab w:val="left" w:pos="458"/>
                  </w:tabs>
                  <w:spacing w:line="276" w:lineRule="auto"/>
                  <w:jc w:val="both"/>
                  <w:rPr>
                    <w:b/>
                    <w:sz w:val="22"/>
                    <w:szCs w:val="22"/>
                  </w:rPr>
                </w:pPr>
                <w:r>
                  <w:rPr>
                    <w:bCs/>
                    <w:szCs w:val="24"/>
                  </w:rPr>
                  <w:t>13.9. Kryžminis finansavimas netaikomas.</w:t>
                </w:r>
              </w:p>
            </w:tc>
          </w:tr>
          <w:tr>
            <w:trPr>
              <w:trHeight w:val="349"/>
            </w:trPr>
            <w:tc>
              <w:tcPr>
                <w:tcW w:w="14885" w:type="dxa"/>
              </w:tcPr>
              <w:p>
                <w:pPr>
                  <w:spacing w:line="276" w:lineRule="auto"/>
                  <w:jc w:val="both"/>
                  <w:rPr>
                    <w:sz w:val="22"/>
                    <w:szCs w:val="22"/>
                  </w:rPr>
                </w:pPr>
                <w:r>
                  <w:rPr>
                    <w:b/>
                    <w:szCs w:val="24"/>
                  </w:rPr>
                  <w:t>14. Projektų veiklų ir jungtinio projekto projektų įgyvendinimui taikomi supaprastintai apmokamų išlaidų</w:t>
                </w:r>
              </w:p>
            </w:tc>
          </w:tr>
          <w:tr>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tc>
                    <w:tcPr>
                      <w:tcW w:w="14913" w:type="dxa"/>
                      <w:gridSpan w:val="5"/>
                    </w:tcPr>
                    <w:p>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pPr>
                        <w:rPr>
                          <w:sz w:val="22"/>
                          <w:szCs w:val="22"/>
                        </w:rPr>
                      </w:pPr>
                      <w:r>
                        <w:rPr>
                          <w:rFonts w:eastAsia="MS Gothic"/>
                          <w:b/>
                          <w:bCs/>
                          <w:sz w:val="22"/>
                          <w:szCs w:val="22"/>
                        </w:rPr>
                        <w:t>X</w:t>
                      </w:r>
                      <w:r>
                        <w:rPr>
                          <w:b/>
                          <w:bCs/>
                          <w:sz w:val="22"/>
                          <w:szCs w:val="22"/>
                        </w:rPr>
                        <w:t xml:space="preserve"> Neindeksuojama</w:t>
                      </w:r>
                    </w:p>
                  </w:tc>
                </w:tr>
                <w:tr>
                  <w:tc>
                    <w:tcPr>
                      <w:tcW w:w="2889" w:type="dxa"/>
                      <w:vAlign w:val="center"/>
                    </w:tcPr>
                    <w:p>
                      <w:pPr>
                        <w:jc w:val="center"/>
                        <w:rPr>
                          <w:b/>
                          <w:bCs/>
                          <w:sz w:val="22"/>
                          <w:szCs w:val="22"/>
                        </w:rPr>
                      </w:pPr>
                      <w:r>
                        <w:rPr>
                          <w:b/>
                          <w:bCs/>
                          <w:sz w:val="22"/>
                          <w:szCs w:val="22"/>
                        </w:rPr>
                        <w:t>Veiklos ir (ar) išlaidos, kurioms taikomi supaprastintai apmokamų išlaidų dydžiai</w:t>
                      </w:r>
                    </w:p>
                  </w:tc>
                  <w:tc>
                    <w:tcPr>
                      <w:tcW w:w="1806" w:type="dxa"/>
                      <w:vAlign w:val="center"/>
                    </w:tcPr>
                    <w:p>
                      <w:pPr>
                        <w:jc w:val="center"/>
                        <w:rPr>
                          <w:b/>
                          <w:bCs/>
                          <w:sz w:val="22"/>
                          <w:szCs w:val="22"/>
                        </w:rPr>
                      </w:pPr>
                      <w:r>
                        <w:rPr>
                          <w:b/>
                          <w:bCs/>
                          <w:sz w:val="22"/>
                          <w:szCs w:val="22"/>
                        </w:rPr>
                        <w:t>Supaprastintai apmokamų išlaidų dydžio kodas</w:t>
                      </w:r>
                    </w:p>
                  </w:tc>
                  <w:tc>
                    <w:tcPr>
                      <w:tcW w:w="1843" w:type="dxa"/>
                      <w:vAlign w:val="center"/>
                    </w:tcPr>
                    <w:p>
                      <w:pPr>
                        <w:jc w:val="center"/>
                        <w:rPr>
                          <w:b/>
                          <w:bCs/>
                          <w:i/>
                          <w:iCs/>
                          <w:sz w:val="22"/>
                          <w:szCs w:val="22"/>
                        </w:rPr>
                      </w:pPr>
                      <w:r>
                        <w:rPr>
                          <w:b/>
                          <w:bCs/>
                          <w:sz w:val="22"/>
                          <w:szCs w:val="22"/>
                        </w:rPr>
                        <w:t>Supaprastintai apmokamų išlaidų dydžio versija</w:t>
                      </w:r>
                    </w:p>
                  </w:tc>
                  <w:tc>
                    <w:tcPr>
                      <w:tcW w:w="3700" w:type="dxa"/>
                      <w:vAlign w:val="center"/>
                    </w:tcPr>
                    <w:p>
                      <w:pPr>
                        <w:jc w:val="center"/>
                        <w:rPr>
                          <w:b/>
                          <w:bCs/>
                          <w:sz w:val="22"/>
                          <w:szCs w:val="22"/>
                        </w:rPr>
                      </w:pPr>
                      <w:r>
                        <w:rPr>
                          <w:b/>
                          <w:bCs/>
                          <w:sz w:val="22"/>
                          <w:szCs w:val="22"/>
                        </w:rPr>
                        <w:t>Supaprastintai apmokamų išlaidų dydžio pavadinimas</w:t>
                      </w:r>
                    </w:p>
                  </w:tc>
                  <w:tc>
                    <w:tcPr>
                      <w:tcW w:w="4675" w:type="dxa"/>
                      <w:vAlign w:val="center"/>
                    </w:tcPr>
                    <w:p>
                      <w:pPr>
                        <w:jc w:val="center"/>
                        <w:rPr>
                          <w:b/>
                          <w:bCs/>
                          <w:sz w:val="22"/>
                          <w:szCs w:val="22"/>
                        </w:rPr>
                      </w:pPr>
                      <w:r>
                        <w:rPr>
                          <w:b/>
                          <w:bCs/>
                          <w:sz w:val="22"/>
                          <w:szCs w:val="22"/>
                        </w:rPr>
                        <w:t>Papildoma informacija</w:t>
                      </w:r>
                    </w:p>
                  </w:tc>
                </w:tr>
                <w:tr>
                  <w:trPr>
                    <w:trHeight w:val="852"/>
                  </w:trPr>
                  <w:tc>
                    <w:tcPr>
                      <w:tcW w:w="2889" w:type="dxa"/>
                    </w:tcPr>
                    <w:p>
                      <w:pPr>
                        <w:rPr>
                          <w:sz w:val="22"/>
                          <w:szCs w:val="22"/>
                        </w:rPr>
                      </w:pPr>
                      <w:r>
                        <w:rPr>
                          <w:sz w:val="22"/>
                          <w:szCs w:val="22"/>
                        </w:rPr>
                        <w:t>14.1. Matomumo ir informavimo priemonės</w:t>
                      </w:r>
                    </w:p>
                    <w:p>
                      <w:pPr>
                        <w:rPr>
                          <w:sz w:val="22"/>
                          <w:szCs w:val="22"/>
                        </w:rPr>
                      </w:pPr>
                    </w:p>
                  </w:tc>
                  <w:tc>
                    <w:tcPr>
                      <w:tcW w:w="1806" w:type="dxa"/>
                    </w:tcPr>
                    <w:p>
                      <w:pPr>
                        <w:jc w:val="center"/>
                        <w:rPr>
                          <w:sz w:val="22"/>
                          <w:szCs w:val="22"/>
                        </w:rPr>
                      </w:pPr>
                      <w:r>
                        <w:rPr>
                          <w:sz w:val="22"/>
                          <w:szCs w:val="22"/>
                        </w:rPr>
                        <w:t>FS-01-01</w:t>
                      </w:r>
                    </w:p>
                  </w:tc>
                  <w:tc>
                    <w:tcPr>
                      <w:tcW w:w="1843" w:type="dxa"/>
                    </w:tcPr>
                    <w:p>
                      <w:pPr>
                        <w:jc w:val="center"/>
                        <w:rPr>
                          <w:sz w:val="22"/>
                          <w:szCs w:val="22"/>
                          <w:lang w:val="en-US"/>
                        </w:rPr>
                      </w:pPr>
                      <w:r>
                        <w:rPr>
                          <w:sz w:val="22"/>
                          <w:szCs w:val="22"/>
                        </w:rPr>
                        <w:t>0</w:t>
                      </w:r>
                      <w:r>
                        <w:rPr>
                          <w:sz w:val="22"/>
                          <w:szCs w:val="22"/>
                          <w:lang w:val="en-US"/>
                        </w:rPr>
                        <w:t>2</w:t>
                      </w:r>
                    </w:p>
                  </w:tc>
                  <w:tc>
                    <w:tcPr>
                      <w:tcW w:w="3700" w:type="dxa"/>
                    </w:tcPr>
                    <w:p>
                      <w:pPr>
                        <w:rPr>
                          <w:sz w:val="22"/>
                          <w:szCs w:val="22"/>
                        </w:rPr>
                      </w:pPr>
                      <w:r>
                        <w:rPr>
                          <w:sz w:val="22"/>
                          <w:szCs w:val="22"/>
                        </w:rPr>
                        <w:t>Įgyvendintų privalomų matomumo ir informavimo priemonių apie ES fondų investicijų veiklas fiksuotoji suma, pirmojo rinkinio FS be PVM</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52"/>
                  </w:trPr>
                  <w:tc>
                    <w:tcPr>
                      <w:tcW w:w="2889" w:type="dxa"/>
                    </w:tcPr>
                    <w:p>
                      <w:pPr>
                        <w:rPr>
                          <w:sz w:val="22"/>
                          <w:szCs w:val="22"/>
                        </w:rPr>
                      </w:pPr>
                      <w:r>
                        <w:rPr>
                          <w:sz w:val="22"/>
                          <w:szCs w:val="22"/>
                        </w:rPr>
                        <w:t>14.2. Matomumo ir informavimo priemonės</w:t>
                      </w:r>
                    </w:p>
                  </w:tc>
                  <w:tc>
                    <w:tcPr>
                      <w:tcW w:w="1806" w:type="dxa"/>
                    </w:tcPr>
                    <w:p>
                      <w:pPr>
                        <w:jc w:val="center"/>
                        <w:rPr>
                          <w:sz w:val="22"/>
                          <w:szCs w:val="22"/>
                        </w:rPr>
                      </w:pPr>
                      <w:r>
                        <w:rPr>
                          <w:sz w:val="22"/>
                          <w:szCs w:val="22"/>
                        </w:rPr>
                        <w:t>FS-01-02</w:t>
                      </w:r>
                    </w:p>
                  </w:tc>
                  <w:tc>
                    <w:tcPr>
                      <w:tcW w:w="1843" w:type="dxa"/>
                    </w:tcPr>
                    <w:p>
                      <w:pPr>
                        <w:jc w:val="center"/>
                        <w:rPr>
                          <w:sz w:val="22"/>
                          <w:szCs w:val="22"/>
                        </w:rPr>
                      </w:pPr>
                      <w:r>
                        <w:rPr>
                          <w:sz w:val="22"/>
                          <w:szCs w:val="22"/>
                        </w:rPr>
                        <w:t>02</w:t>
                      </w:r>
                    </w:p>
                  </w:tc>
                  <w:tc>
                    <w:tcPr>
                      <w:tcW w:w="3700" w:type="dxa"/>
                    </w:tcPr>
                    <w:p>
                      <w:pPr>
                        <w:rPr>
                          <w:sz w:val="22"/>
                          <w:szCs w:val="22"/>
                        </w:rPr>
                      </w:pPr>
                      <w:r>
                        <w:rPr>
                          <w:sz w:val="22"/>
                          <w:szCs w:val="22"/>
                        </w:rPr>
                        <w:t>Įgyvendintų privalomų matomumo ir informavimo priemonių apie ES fondų investicijų veiklas fiksuotoji suma, pirmojo rinkinio FS su PVM</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52"/>
                  </w:trPr>
                  <w:tc>
                    <w:tcPr>
                      <w:tcW w:w="2889" w:type="dxa"/>
                    </w:tcPr>
                    <w:p>
                      <w:pPr>
                        <w:rPr>
                          <w:sz w:val="22"/>
                          <w:szCs w:val="22"/>
                        </w:rPr>
                      </w:pPr>
                      <w:r>
                        <w:rPr>
                          <w:sz w:val="22"/>
                          <w:szCs w:val="22"/>
                        </w:rPr>
                        <w:t>14.3. Matomumo ir informavimo priemonės</w:t>
                      </w:r>
                    </w:p>
                    <w:p>
                      <w:pPr>
                        <w:rPr>
                          <w:sz w:val="22"/>
                          <w:szCs w:val="22"/>
                        </w:rPr>
                      </w:pPr>
                    </w:p>
                  </w:tc>
                  <w:tc>
                    <w:tcPr>
                      <w:tcW w:w="1806" w:type="dxa"/>
                    </w:tcPr>
                    <w:p>
                      <w:pPr>
                        <w:jc w:val="center"/>
                        <w:rPr>
                          <w:sz w:val="22"/>
                          <w:szCs w:val="22"/>
                        </w:rPr>
                      </w:pPr>
                      <w:r>
                        <w:rPr>
                          <w:sz w:val="22"/>
                          <w:szCs w:val="22"/>
                        </w:rPr>
                        <w:t>FS-01-03</w:t>
                      </w:r>
                    </w:p>
                  </w:tc>
                  <w:tc>
                    <w:tcPr>
                      <w:tcW w:w="1843" w:type="dxa"/>
                    </w:tcPr>
                    <w:p>
                      <w:pPr>
                        <w:jc w:val="center"/>
                        <w:rPr>
                          <w:sz w:val="22"/>
                          <w:szCs w:val="22"/>
                          <w:lang w:val="en-US"/>
                        </w:rPr>
                      </w:pPr>
                      <w:r>
                        <w:rPr>
                          <w:sz w:val="22"/>
                          <w:szCs w:val="22"/>
                        </w:rPr>
                        <w:t>0</w:t>
                      </w:r>
                      <w:r>
                        <w:rPr>
                          <w:sz w:val="22"/>
                          <w:szCs w:val="22"/>
                          <w:lang w:val="en-US"/>
                        </w:rPr>
                        <w:t>2</w:t>
                      </w:r>
                    </w:p>
                  </w:tc>
                  <w:tc>
                    <w:tcPr>
                      <w:tcW w:w="3700" w:type="dxa"/>
                    </w:tcPr>
                    <w:p>
                      <w:pPr>
                        <w:rPr>
                          <w:sz w:val="22"/>
                          <w:szCs w:val="22"/>
                        </w:rPr>
                      </w:pPr>
                      <w:r>
                        <w:rPr>
                          <w:sz w:val="22"/>
                          <w:szCs w:val="22"/>
                        </w:rPr>
                        <w:t>Įgyvendintų privalomų matomumo ir informavimo priemonių apie ES fondų investicijų veiklas fiksuotoji suma, antrojo rinkinio FS be PVM</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852"/>
                  </w:trPr>
                  <w:tc>
                    <w:tcPr>
                      <w:tcW w:w="2889" w:type="dxa"/>
                    </w:tcPr>
                    <w:p>
                      <w:pPr>
                        <w:rPr>
                          <w:sz w:val="22"/>
                          <w:szCs w:val="22"/>
                        </w:rPr>
                      </w:pPr>
                      <w:r>
                        <w:rPr>
                          <w:sz w:val="22"/>
                          <w:szCs w:val="22"/>
                        </w:rPr>
                        <w:t>14.4. Matomumo ir informavimo priemonės</w:t>
                      </w:r>
                    </w:p>
                  </w:tc>
                  <w:tc>
                    <w:tcPr>
                      <w:tcW w:w="1806" w:type="dxa"/>
                    </w:tcPr>
                    <w:p>
                      <w:pPr>
                        <w:jc w:val="center"/>
                        <w:rPr>
                          <w:sz w:val="22"/>
                          <w:szCs w:val="22"/>
                        </w:rPr>
                      </w:pPr>
                      <w:r>
                        <w:rPr>
                          <w:sz w:val="22"/>
                          <w:szCs w:val="22"/>
                        </w:rPr>
                        <w:t>FS-01-04</w:t>
                      </w:r>
                    </w:p>
                    <w:p>
                      <w:pPr>
                        <w:jc w:val="center"/>
                        <w:rPr>
                          <w:sz w:val="22"/>
                          <w:szCs w:val="22"/>
                        </w:rPr>
                      </w:pPr>
                    </w:p>
                  </w:tc>
                  <w:tc>
                    <w:tcPr>
                      <w:tcW w:w="1843" w:type="dxa"/>
                    </w:tcPr>
                    <w:p>
                      <w:pPr>
                        <w:jc w:val="center"/>
                        <w:rPr>
                          <w:sz w:val="22"/>
                          <w:szCs w:val="22"/>
                        </w:rPr>
                      </w:pPr>
                      <w:r>
                        <w:rPr>
                          <w:sz w:val="22"/>
                          <w:szCs w:val="22"/>
                        </w:rPr>
                        <w:t>0</w:t>
                      </w:r>
                      <w:r>
                        <w:rPr>
                          <w:sz w:val="22"/>
                          <w:szCs w:val="22"/>
                          <w:lang w:val="en-US"/>
                        </w:rPr>
                        <w:t>2</w:t>
                      </w:r>
                    </w:p>
                  </w:tc>
                  <w:tc>
                    <w:tcPr>
                      <w:tcW w:w="3700" w:type="dxa"/>
                    </w:tcPr>
                    <w:p>
                      <w:pPr>
                        <w:rPr>
                          <w:sz w:val="22"/>
                          <w:szCs w:val="22"/>
                        </w:rPr>
                      </w:pPr>
                      <w:r>
                        <w:rPr>
                          <w:sz w:val="22"/>
                          <w:szCs w:val="22"/>
                        </w:rPr>
                        <w:t>Įgyvendintų privalomų matomumo ir informavimo priemonių apie ES fondų investicijų veiklas fiksuotoji suma, antrojo rinkinio FS su PVM</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rPr>
                    <w:trHeight w:val="557"/>
                  </w:trPr>
                  <w:tc>
                    <w:tcPr>
                      <w:tcW w:w="2889" w:type="dxa"/>
                    </w:tcPr>
                    <w:p>
                      <w:pPr>
                        <w:rPr>
                          <w:sz w:val="22"/>
                          <w:szCs w:val="22"/>
                        </w:rPr>
                      </w:pPr>
                      <w:r>
                        <w:rPr>
                          <w:sz w:val="22"/>
                          <w:szCs w:val="22"/>
                        </w:rPr>
                        <w:t>14.5. Netiesioginės išlaidos</w:t>
                      </w:r>
                    </w:p>
                  </w:tc>
                  <w:tc>
                    <w:tcPr>
                      <w:tcW w:w="1806" w:type="dxa"/>
                    </w:tcPr>
                    <w:p>
                      <w:pPr>
                        <w:jc w:val="center"/>
                        <w:rPr>
                          <w:sz w:val="22"/>
                          <w:szCs w:val="22"/>
                        </w:rPr>
                      </w:pPr>
                      <w:r>
                        <w:rPr>
                          <w:sz w:val="22"/>
                          <w:szCs w:val="22"/>
                        </w:rPr>
                        <w:t>FN-01</w:t>
                      </w:r>
                    </w:p>
                  </w:tc>
                  <w:tc>
                    <w:tcPr>
                      <w:tcW w:w="1843" w:type="dxa"/>
                    </w:tcPr>
                    <w:p>
                      <w:pPr>
                        <w:jc w:val="center"/>
                        <w:rPr>
                          <w:sz w:val="22"/>
                          <w:szCs w:val="22"/>
                        </w:rPr>
                      </w:pPr>
                      <w:r>
                        <w:rPr>
                          <w:sz w:val="22"/>
                          <w:szCs w:val="22"/>
                        </w:rPr>
                        <w:t>-</w:t>
                      </w:r>
                    </w:p>
                  </w:tc>
                  <w:tc>
                    <w:tcPr>
                      <w:tcW w:w="3700" w:type="dxa"/>
                    </w:tcPr>
                    <w:p>
                      <w:pPr>
                        <w:rPr>
                          <w:sz w:val="22"/>
                          <w:szCs w:val="22"/>
                        </w:rPr>
                      </w:pPr>
                      <w:r>
                        <w:rPr>
                          <w:sz w:val="22"/>
                          <w:szCs w:val="22"/>
                        </w:rPr>
                        <w:t>Iki 7 proc. netiesioginių išlaidų fiksuotoji norma</w:t>
                      </w:r>
                    </w:p>
                  </w:tc>
                  <w:tc>
                    <w:tcPr>
                      <w:tcW w:w="4675" w:type="dxa"/>
                    </w:tcPr>
                    <w:p>
                      <w:pPr>
                        <w:rPr>
                          <w:sz w:val="22"/>
                          <w:szCs w:val="22"/>
                        </w:rPr>
                      </w:pPr>
                      <w:r>
                        <w:rPr>
                          <w:sz w:val="22"/>
                          <w:szCs w:val="22"/>
                        </w:rPr>
                        <w:t>7 proc.</w:t>
                      </w:r>
                    </w:p>
                  </w:tc>
                </w:tr>
                <w:tr>
                  <w:tc>
                    <w:tcPr>
                      <w:tcW w:w="2889" w:type="dxa"/>
                    </w:tcPr>
                    <w:p>
                      <w:pPr>
                        <w:rPr>
                          <w:sz w:val="22"/>
                          <w:szCs w:val="22"/>
                        </w:rPr>
                      </w:pPr>
                      <w:r>
                        <w:rPr>
                          <w:sz w:val="22"/>
                          <w:szCs w:val="22"/>
                        </w:rPr>
                        <w:t>14.6. Kasmetinių atostogų fiksuotoji norma</w:t>
                      </w:r>
                    </w:p>
                  </w:tc>
                  <w:tc>
                    <w:tcPr>
                      <w:tcW w:w="1806" w:type="dxa"/>
                    </w:tcPr>
                    <w:p>
                      <w:pPr>
                        <w:jc w:val="center"/>
                        <w:rPr>
                          <w:sz w:val="22"/>
                          <w:szCs w:val="22"/>
                        </w:rPr>
                      </w:pPr>
                      <w:r>
                        <w:rPr>
                          <w:sz w:val="22"/>
                          <w:szCs w:val="22"/>
                        </w:rPr>
                        <w:t>FN-05-01</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20 d. d. (jeigu dirbama 5 d. d. per savaitę) arba 24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pPr>
                        <w:rPr>
                          <w:sz w:val="22"/>
                          <w:szCs w:val="22"/>
                        </w:rPr>
                      </w:pPr>
                      <w:r>
                        <w:rPr>
                          <w:sz w:val="22"/>
                          <w:szCs w:val="22"/>
                        </w:rPr>
                        <w:t>14.7. Kasmetinių atostogų fiksuotoji norma</w:t>
                      </w:r>
                    </w:p>
                  </w:tc>
                  <w:tc>
                    <w:tcPr>
                      <w:tcW w:w="1806" w:type="dxa"/>
                    </w:tcPr>
                    <w:p>
                      <w:pPr>
                        <w:jc w:val="center"/>
                        <w:rPr>
                          <w:sz w:val="22"/>
                          <w:szCs w:val="22"/>
                        </w:rPr>
                      </w:pPr>
                      <w:r>
                        <w:rPr>
                          <w:sz w:val="22"/>
                          <w:szCs w:val="22"/>
                        </w:rPr>
                        <w:t>FN-05-02</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pPr>
                        <w:rPr>
                          <w:sz w:val="22"/>
                          <w:szCs w:val="22"/>
                        </w:rPr>
                      </w:pPr>
                      <w:r>
                        <w:rPr>
                          <w:sz w:val="22"/>
                          <w:szCs w:val="22"/>
                        </w:rPr>
                        <w:t xml:space="preserve">14.8. Kasmetinių atostogų  fiksuotoji norma</w:t>
                      </w:r>
                    </w:p>
                  </w:tc>
                  <w:tc>
                    <w:tcPr>
                      <w:tcW w:w="1806" w:type="dxa"/>
                    </w:tcPr>
                    <w:p>
                      <w:pPr>
                        <w:jc w:val="center"/>
                        <w:rPr>
                          <w:sz w:val="22"/>
                          <w:szCs w:val="22"/>
                        </w:rPr>
                      </w:pPr>
                      <w:r>
                        <w:rPr>
                          <w:sz w:val="22"/>
                          <w:szCs w:val="22"/>
                        </w:rPr>
                        <w:t>FN-05-03</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nuo 26 iki 30 d. d. (jeigu dirbama 5 d. d. per savaitę) arba nuo 31 iki 36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pPr>
                        <w:rPr>
                          <w:sz w:val="22"/>
                          <w:szCs w:val="22"/>
                        </w:rPr>
                      </w:pPr>
                      <w:r>
                        <w:rPr>
                          <w:sz w:val="22"/>
                          <w:szCs w:val="22"/>
                        </w:rPr>
                        <w:t>14.9. Kasmetinių atostogų fiksuotoji norma</w:t>
                      </w:r>
                    </w:p>
                  </w:tc>
                  <w:tc>
                    <w:tcPr>
                      <w:tcW w:w="1806" w:type="dxa"/>
                    </w:tcPr>
                    <w:p>
                      <w:pPr>
                        <w:jc w:val="center"/>
                        <w:rPr>
                          <w:sz w:val="22"/>
                          <w:szCs w:val="22"/>
                        </w:rPr>
                      </w:pPr>
                      <w:r>
                        <w:rPr>
                          <w:sz w:val="22"/>
                          <w:szCs w:val="22"/>
                        </w:rPr>
                        <w:t>FN-05-04</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nuo 31 iki 36 d. d. (jeigu dirbama 5 d. d. per savaitę) arba nuo 37 iki 42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pPr>
                        <w:rPr>
                          <w:sz w:val="22"/>
                          <w:szCs w:val="22"/>
                        </w:rPr>
                      </w:pPr>
                      <w:r>
                        <w:rPr>
                          <w:sz w:val="22"/>
                          <w:szCs w:val="22"/>
                        </w:rPr>
                        <w:t>14.10. Kasmetinių atostogų fiksuotoji norma</w:t>
                      </w:r>
                    </w:p>
                  </w:tc>
                  <w:tc>
                    <w:tcPr>
                      <w:tcW w:w="1806" w:type="dxa"/>
                    </w:tcPr>
                    <w:p>
                      <w:pPr>
                        <w:jc w:val="center"/>
                        <w:rPr>
                          <w:sz w:val="22"/>
                          <w:szCs w:val="22"/>
                        </w:rPr>
                      </w:pPr>
                      <w:r>
                        <w:rPr>
                          <w:sz w:val="22"/>
                          <w:szCs w:val="22"/>
                        </w:rPr>
                        <w:t>FN-05-05</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nuo 37 iki 39 d. d. (jeigu dirbama 5 d. d. per savaitę) arba nuo 43 iki 47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pPr>
                        <w:rPr>
                          <w:sz w:val="22"/>
                          <w:szCs w:val="22"/>
                        </w:rPr>
                      </w:pPr>
                      <w:r>
                        <w:rPr>
                          <w:sz w:val="22"/>
                          <w:szCs w:val="22"/>
                        </w:rPr>
                        <w:t>14.11. Kasmetinių atostogų fiksuotoji norma</w:t>
                      </w:r>
                    </w:p>
                  </w:tc>
                  <w:tc>
                    <w:tcPr>
                      <w:tcW w:w="1806" w:type="dxa"/>
                    </w:tcPr>
                    <w:p>
                      <w:pPr>
                        <w:jc w:val="center"/>
                        <w:rPr>
                          <w:sz w:val="22"/>
                          <w:szCs w:val="22"/>
                        </w:rPr>
                      </w:pPr>
                      <w:r>
                        <w:rPr>
                          <w:sz w:val="22"/>
                          <w:szCs w:val="22"/>
                        </w:rPr>
                        <w:t>FN-05-06</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40 d. d. (jeigu dirbama 5 d. d. per savaitę) arba 48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tc>
                    <w:tcPr>
                      <w:tcW w:w="2889" w:type="dxa"/>
                    </w:tcPr>
                    <w:p>
                      <w:pPr>
                        <w:rPr>
                          <w:sz w:val="22"/>
                          <w:szCs w:val="22"/>
                        </w:rPr>
                      </w:pPr>
                      <w:r>
                        <w:rPr>
                          <w:sz w:val="22"/>
                          <w:szCs w:val="22"/>
                        </w:rPr>
                        <w:t>14.12. Kasmetinių atostogų fiksuotoji norma</w:t>
                      </w:r>
                    </w:p>
                  </w:tc>
                  <w:tc>
                    <w:tcPr>
                      <w:tcW w:w="1806" w:type="dxa"/>
                    </w:tcPr>
                    <w:p>
                      <w:pPr>
                        <w:jc w:val="center"/>
                        <w:rPr>
                          <w:sz w:val="22"/>
                          <w:szCs w:val="22"/>
                        </w:rPr>
                      </w:pPr>
                      <w:r>
                        <w:rPr>
                          <w:sz w:val="22"/>
                          <w:szCs w:val="22"/>
                        </w:rPr>
                        <w:t>FN-05-07</w:t>
                      </w:r>
                    </w:p>
                  </w:tc>
                  <w:tc>
                    <w:tcPr>
                      <w:tcW w:w="1843" w:type="dxa"/>
                    </w:tcPr>
                    <w:p>
                      <w:pPr>
                        <w:jc w:val="center"/>
                        <w:rPr>
                          <w:sz w:val="22"/>
                          <w:szCs w:val="22"/>
                        </w:rPr>
                      </w:pPr>
                      <w:r>
                        <w:rPr>
                          <w:sz w:val="22"/>
                          <w:szCs w:val="22"/>
                        </w:rPr>
                        <w:t>01</w:t>
                      </w:r>
                    </w:p>
                  </w:tc>
                  <w:tc>
                    <w:tcPr>
                      <w:tcW w:w="3700" w:type="dxa"/>
                    </w:tcPr>
                    <w:p>
                      <w:pPr>
                        <w:rPr>
                          <w:sz w:val="22"/>
                          <w:szCs w:val="22"/>
                        </w:rPr>
                      </w:pPr>
                      <w:r>
                        <w:rPr>
                          <w:sz w:val="22"/>
                          <w:szCs w:val="22"/>
                        </w:rPr>
                        <w:t>Fiksuotoji norma, taikoma, kai priklauso nuo 41 d. d. (jeigu dirbama 5 d. d. per savaitę) arba nuo 49 d. d. (jeigu dirbama 6 d. d. per savaitę) kasmetinės atostogos</w:t>
                      </w:r>
                    </w:p>
                  </w:tc>
                  <w:tc>
                    <w:tcPr>
                      <w:tcW w:w="4675" w:type="dxa"/>
                    </w:tcPr>
                    <w:p>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pPr>
                  <w:spacing w:line="276" w:lineRule="auto"/>
                  <w:jc w:val="both"/>
                  <w:rPr>
                    <w:i/>
                    <w:iCs/>
                    <w:sz w:val="22"/>
                    <w:szCs w:val="22"/>
                  </w:rPr>
                </w:pPr>
              </w:p>
            </w:tc>
          </w:tr>
        </w:tbl>
        <w:p>
          <w:pPr>
            <w:spacing w:line="276" w:lineRule="auto"/>
            <w:jc w:val="center"/>
            <w:rPr>
              <w:sz w:val="22"/>
              <w:szCs w:val="22"/>
            </w:rPr>
          </w:pPr>
          <w:r>
            <w:rPr>
              <w:rFonts w:eastAsia="Calibri"/>
              <w:sz w:val="20"/>
            </w:rPr>
            <w:t>–––––––––––––––––––––––––––––––––</w:t>
          </w:r>
        </w:p>
        <w:p>
          <w:pPr>
            <w:rPr>
              <w:sz w:val="14"/>
              <w:szCs w:val="14"/>
            </w:rPr>
          </w:pPr>
        </w:p>
        <w:p>
          <w:pPr>
            <w:spacing w:line="259" w:lineRule="auto"/>
            <w:ind w:left="142" w:hanging="142"/>
            <w:rPr>
              <w:sz w:val="22"/>
              <w:szCs w:val="22"/>
            </w:rPr>
          </w:pPr>
        </w:p>
        <w:p>
          <w:pPr>
            <w:rPr>
              <w:sz w:val="14"/>
              <w:szCs w:val="14"/>
            </w:rPr>
          </w:pPr>
        </w:p>
        <w:p>
          <w:pPr>
            <w:ind w:left="9639"/>
            <w:jc w:val="both"/>
            <w:rPr>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962" w:bottom="567" w:left="1701" w:header="567" w:footer="567" w:gutter="0"/>
              <w:pgNumType w:start="1"/>
              <w:cols w:space="1296"/>
              <w:titlePg/>
              <w:docGrid w:linePitch="360"/>
            </w:sectPr>
          </w:pPr>
        </w:p>
        <w:p>
          <w:pPr>
            <w:tabs>
              <w:tab w:val="center" w:pos="4986"/>
              <w:tab w:val="right" w:pos="9972"/>
            </w:tabs>
          </w:pPr>
        </w:p>
        <w:p>
          <w:pPr>
            <w:tabs>
              <w:tab w:val="center" w:pos="4819"/>
              <w:tab w:val="right" w:pos="9638"/>
            </w:tabs>
            <w:rPr>
              <w:sz w:val="22"/>
              <w:szCs w:val="22"/>
            </w:rPr>
          </w:pPr>
        </w:p>
      </w:sdtContent>
    </w:sdt>
    <w:sdt>
      <w:sdtPr>
        <w:alias w:val="pr."/>
        <w:tag w:val="part_5d98e9a2ca7e4e919647fc065a6bad3b"/>
        <w:lock w:val="sdtLocked"/>
        <w:richText/>
      </w:sdtPr>
      <w:sdtContent>
        <w:p>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21</w:t>
          </w:r>
        </w:p>
        <w:p>
          <w:pPr>
            <w:ind w:left="9639"/>
            <w:jc w:val="both"/>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sdt>
            <w:sdtPr>
              <w:alias w:val="Pavadinimas"/>
              <w:tag w:val="title_5d98e9a2ca7e4e919647fc065a6bad3b"/>
              <w:lock w:val="sdtLocked"/>
              <w:richText/>
            </w:sdtPr>
            <w:sdtContent>
              <w:r>
                <w:rPr>
                  <w:rFonts w:eastAsia="Calibri"/>
                  <w:b/>
                  <w:bCs/>
                  <w:szCs w:val="24"/>
                </w:rPr>
                <w:t>PROJEKTO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szCs w:val="24"/>
              <w:lang w:val="en-US"/>
            </w:rPr>
            <mc:AlternateContent>
              <mc:Choice Requires="wps">
                <w:drawing>
                  <wp:anchor distT="0" distB="0" distL="114300" distR="114300" simplePos="0" relativeHeight="251659264" behindDoc="0" locked="0" layoutInCell="1" allowOverlap="1" wp14:anchorId="3F8FF9F9" wp14:editId="1175AC90">
                    <wp:simplePos x="0" y="0"/>
                    <wp:positionH relativeFrom="column">
                      <wp:posOffset>-10990</wp:posOffset>
                    </wp:positionH>
                    <wp:positionV relativeFrom="paragraph">
                      <wp:posOffset>26279</wp:posOffset>
                    </wp:positionV>
                    <wp:extent cx="70338" cy="126609"/>
                    <wp:effectExtent l="0" t="0" r="25400" b="26035"/>
                    <wp:wrapNone/>
                    <wp:docPr id="1007017237" name="Stačiakampis 1"/>
                    <wp:cNvGraphicFramePr/>
                    <a:graphic xmlns:a="http://schemas.openxmlformats.org/drawingml/2006/main">
                      <a:graphicData uri="http://schemas.microsoft.com/office/word/2010/wordprocessingShape">
                        <wps:wsp>
                          <wps:cNvSpPr/>
                          <wps:spPr>
                            <a:xfrm>
                              <a:off x="0" y="0"/>
                              <a:ext cx="70338" cy="1266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CC8576" id="Stačiakampis 1" o:spid="_x0000_s1026" style="position:absolute;margin-left:-.85pt;margin-top:2.05pt;width:5.55pt;height: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9R2MYQIAAO0EAAAOAAAAZHJzL2Uyb0RvYy54bWysVEtv2zAMvg/YfxB0X+2kXR9GnSJokWFA 0QZoh55ZWYoNSKImKXGyXz9Kdpv0cRrmg0KKFB8fP+byams020gfOrQ1nxyVnEkrsOnsqua/Hhff zjkLEWwDGq2s+U4GfjX7+uWyd5WcYou6kZ5REBuq3tW8jdFVRRFEKw2EI3TSklGhNxBJ9aui8dBT dKOLaVmeFj36xnkUMgS6vRmMfJbjKyVFvFcqyMh0zam2mE+fz+d0FrNLqFYeXNuJsQz4hyoMdJaS voa6gQhs7bsPoUwnPAZU8UigKVCpTsjcA3UzKd9189CCk7kXAie4V5jC/wsr7jYPbukJht6FKpCY utgqb9Iv1ce2GazdK1hyG5mgy7Py+JiGK8gymZ6elhcJy2L/1vkQf0g0LAk19zSKjBBsbkMcXF9c UqqAumsWndZZ2YVr7dkGaGo07AZ7zjSESJc1X+RvzPbmmbasT9WclTRqAUQnpSGSaFxT82BXnIFe EU9F9LmWN6/Dh6SP1OtB4jJ/nyVOjdxAaIeKc9TkBpXpItFbd6bm54evtU1WmQk6wrHHP0nP2OyW nnkcGBucWHSU5JZAWIInilKHtHbxng6lkdrGUeKsRf/ns/vkT8whK2c9UZ4g+b0GL6nFn5Y4dTE5 OUk7kpWT72dTUvyh5fnQYtfmGmk+E1pwJ7KY/KN+EZVH80TbOU9ZyQRWUO4B/FG5jsMq0n4LOZ9n N9oLB/HWPjiRgiecEryP2yfwbiRTpMHc4ct6QPWOU4Nvemlxvo6ouky4Pa5E1KTQTmXKjvuflvZQ z177f6nZXwAAAP//AwBQSwMEFAAGAAgAAAAhAANnMALaAAAABQEAAA8AAABkcnMvZG93bnJldi54 bWxMjsFKxDAURfeC/xCe4G4m6VDUqX0dRBBEcGFHXWeaZ1OmeSlN2qnz9caVLi/3cu4pd4vrxUxj 6DwjZGsFgrjxpuMW4X3/tLoDEaJmo3vPhPBNAXbV5UWpC+NP/EZzHVuRIBwKjWBjHAopQ2PJ6bD2 A3HqvvzodExxbKUZ9SnBXS83St1IpztOD1YP9GipOdaTQ3gJ52luTHhd7GKftx+f6lzzEfH6anm4 BxFpiX9j+NVP6lAlp4Of2ATRI6yy27REyDMQqd7mIA4Im1yBrEr53776AQAA//8DAFBLAQItABQA BgAIAAAAIQC2gziS/gAAAOEBAAATAAAAAAAAAAAAAAAAAAAAAABbQ29udGVudF9UeXBlc10ueG1s UEsBAi0AFAAGAAgAAAAhADj9If/WAAAAlAEAAAsAAAAAAAAAAAAAAAAALwEAAF9yZWxzLy5yZWxz UEsBAi0AFAAGAAgAAAAhANX1HYxhAgAA7QQAAA4AAAAAAAAAAAAAAAAALgIAAGRycy9lMm9Eb2Mu eG1sUEsBAi0AFAAGAAgAAAAhAANnMALaAAAABQEAAA8AAAAAAAAAAAAAAAAAuwQAAGRycy9kb3du cmV2LnhtbFBLBQYAAAAABAAEAPMAAADCBQAAAAA= " fillcolor="window" strokecolor="windowText" strokeweight="1pt"/>
                </w:pict>
              </mc:Fallback>
            </mc:AlternateContent>
          </w:r>
          <w:r>
            <w:rPr>
              <w:szCs w:val="24"/>
            </w:rP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szCs w:val="24"/>
            </w:rPr>
            <w:t>X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2"/>
            <w:gridCol w:w="4509"/>
            <w:gridCol w:w="5203"/>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Nr.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pPr>
                  <w:jc w:val="center"/>
                  <w:rPr>
                    <w:rFonts w:eastAsia="Calibri"/>
                    <w:i/>
                    <w:szCs w:val="24"/>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spacing w:line="259" w:lineRule="auto"/>
                  <w:jc w:val="both"/>
                  <w:rPr>
                    <w:rFonts w:eastAsia="Calibri"/>
                    <w:bCs/>
                    <w:iCs/>
                    <w:strike/>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įsigyti įranga privalės atitikti (tai bus numatoma atitinkamuose įrangos įsigijimo dokumentuose) efektyvumo, tvarumo, ilgaamžiškumo reikalavimus pagal </w:t>
                </w:r>
                <w:r>
                  <w:rPr>
                    <w:szCs w:val="24"/>
                    <w:shd w:val="clear" w:color="auto" w:fill="FFFFFF"/>
                  </w:rPr>
                  <w:t xml:space="preserve">2009 m. spalio 21 d. Europos Parlamento ir Tarybos direktyvą </w:t>
                </w:r>
                <w:r>
                  <w:rPr>
                    <w:szCs w:val="24"/>
                    <w:shd w:val="clear" w:color="auto" w:fill="FFFFFF"/>
                  </w:rPr>
                  <w:t>2009/125/EB</w:t>
                </w:r>
                <w:r>
                  <w:rPr>
                    <w:szCs w:val="24"/>
                    <w:shd w:val="clear" w:color="auto" w:fill="FFFFFF"/>
                  </w:rPr>
                  <w:t>, nustatančią ekologinio projektavimo reikalavimų su energija susijusiems gaminiams nustatymo sistemą</w:t>
                </w:r>
                <w:r>
                  <w:rPr>
                    <w:rFonts w:eastAsia="Calibri"/>
                    <w:bCs/>
                    <w:iCs/>
                    <w:szCs w:val="24"/>
                  </w:rPr>
                  <w:t xml:space="preserve"> ir </w:t>
                </w:r>
                <w:r>
                  <w:rPr>
                    <w:szCs w:val="24"/>
                    <w:shd w:val="clear" w:color="auto" w:fill="FFFFFF"/>
                  </w:rPr>
                  <w:t xml:space="preserve">2011 m. birželio 8 d. Europos Parlamento ir Tarybos direktyvą </w:t>
                </w:r>
                <w:r>
                  <w:rPr>
                    <w:szCs w:val="24"/>
                    <w:shd w:val="clear" w:color="auto" w:fill="FFFFFF"/>
                  </w:rPr>
                  <w:t>2011/65/ES</w:t>
                </w:r>
                <w:r>
                  <w:rPr>
                    <w:szCs w:val="24"/>
                    <w:shd w:val="clear" w:color="auto" w:fill="FFFFFF"/>
                  </w:rPr>
                  <w:t xml:space="preserve"> dėl tam tikrų pavojingų medžiagų naudojimo elektros ir elektroninėje įrangoje apribojimo.</w:t>
                </w:r>
              </w:p>
              <w:p>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pPr>
                  <w:jc w:val="both"/>
                  <w:rPr>
                    <w:rFonts w:eastAsia="Calibri"/>
                    <w:bCs/>
                    <w:iCs/>
                    <w:szCs w:val="24"/>
                  </w:rPr>
                </w:pPr>
                <w:r>
                  <w:rPr>
                    <w:rFonts w:eastAsia="Calibri"/>
                    <w:bCs/>
                    <w:iCs/>
                    <w:szCs w:val="24"/>
                  </w:rPr>
                  <w:t xml:space="preserve">Pagrindžiantys dokumentai neteikiami. </w:t>
                </w:r>
              </w:p>
              <w:p>
                <w:pPr>
                  <w:jc w:val="both"/>
                  <w:rPr>
                    <w:rFonts w:eastAsia="Calibri"/>
                    <w:bCs/>
                    <w:iCs/>
                    <w:szCs w:val="24"/>
                  </w:rPr>
                </w:pPr>
                <w:r>
                  <w:rPr>
                    <w:rFonts w:eastAsia="Calibri"/>
                    <w:bCs/>
                    <w:iCs/>
                    <w:szCs w:val="24"/>
                  </w:rPr>
                  <w:t>Kai projektuose finansuojamos veiklos, susijusios su įrangos įsigijimu, į</w:t>
                </w:r>
                <w:r>
                  <w:rPr>
                    <w:bCs/>
                    <w:szCs w:val="24"/>
                  </w:rPr>
                  <w:t xml:space="preserve">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pPr>
                  <w:tabs>
                    <w:tab w:val="left" w:pos="802"/>
                  </w:tabs>
                  <w:jc w:val="both"/>
                  <w:rPr>
                    <w:rFonts w:eastAsia="Calibri"/>
                    <w:bCs/>
                    <w:iCs/>
                    <w:szCs w:val="24"/>
                  </w:rPr>
                </w:pPr>
              </w:p>
              <w:p>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p>
              <w:p>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tc>
              <w:tcPr>
                <w:tcW w:w="4885" w:type="dxa"/>
              </w:tcPr>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br/>
                  <w:t>poveikio žmonėms, gamtai ar turtui rizikos</w:t>
                </w:r>
                <w:r>
                  <w:rPr>
                    <w:bCs/>
                    <w:szCs w:val="24"/>
                  </w:rPr>
                  <w:t xml:space="preserve">,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Pr>
                    <w:szCs w:val="24"/>
                  </w:rPr>
                  <w:t xml:space="preserve"> projektų finansavimo sąlygų aprašo Nr. </w:t>
                </w:r>
                <w:r>
                  <w:rPr>
                    <w:szCs w:val="24"/>
                    <w:lang w:val="en-US"/>
                  </w:rPr>
                  <w:t>21</w:t>
                </w:r>
                <w:r>
                  <w:rPr>
                    <w:bCs/>
                    <w:szCs w:val="24"/>
                  </w:rPr>
                  <w:t xml:space="preserve"> 2.12.11 papunktyje numatytas priedas, jei yra pildomas.</w:t>
                </w:r>
              </w:p>
            </w:tc>
          </w:tr>
          <w:tr>
            <w:tc>
              <w:tcPr>
                <w:tcW w:w="4885" w:type="dxa"/>
                <w:shd w:val="clear" w:color="auto" w:fill="auto"/>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shd w:val="clear" w:color="auto" w:fill="auto"/>
              </w:tcPr>
              <w:p>
                <w:pPr>
                  <w:jc w:val="both"/>
                  <w:rPr>
                    <w:rFonts w:eastAsia="Calibri"/>
                    <w:b/>
                    <w:szCs w:val="24"/>
                  </w:rPr>
                </w:pPr>
                <w:r>
                  <w:rPr>
                    <w:rFonts w:eastAsia="Calibri"/>
                    <w:bCs/>
                    <w:szCs w:val="24"/>
                  </w:rPr>
                  <w:t>Vertinama, kad planuojamos įgyvendinti veiklos (įrangos įsigijimas) neturi jokio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tc>
              <w:tcPr>
                <w:tcW w:w="488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pPr>
                  <w:jc w:val="both"/>
                  <w:rPr>
                    <w:rFonts w:eastAsia="Calibri"/>
                    <w:bCs/>
                    <w:szCs w:val="24"/>
                  </w:rPr>
                </w:pPr>
                <w:r>
                  <w:rPr>
                    <w:rFonts w:eastAsia="Calibri"/>
                    <w:bCs/>
                    <w:szCs w:val="24"/>
                  </w:rPr>
                  <w:t xml:space="preserve">Planuojama įsigyti įranga ir priemonės  privalės atitikti (tai bus numatoma atitinkamuose įrangos įsigijimo dokumentuose) efektyvumo, tvarumo, ilgaamžiškumo reikalavimus pagal Direktyvą </w:t>
                </w:r>
                <w:r>
                  <w:rPr>
                    <w:rFonts w:eastAsia="Calibri"/>
                    <w:bCs/>
                    <w:szCs w:val="24"/>
                  </w:rPr>
                  <w:t>2009/125/EB</w:t>
                </w:r>
                <w:r>
                  <w:rPr>
                    <w:rFonts w:eastAsia="Calibri"/>
                    <w:bCs/>
                    <w:szCs w:val="24"/>
                  </w:rPr>
                  <w:t xml:space="preserve"> ir Direktyvą </w:t>
                </w:r>
                <w:r>
                  <w:rPr>
                    <w:rFonts w:eastAsia="Calibri"/>
                    <w:bCs/>
                    <w:szCs w:val="24"/>
                  </w:rPr>
                  <w:t>2011/65/ES</w:t>
                </w:r>
                <w:r>
                  <w:rPr>
                    <w:rFonts w:eastAsia="Calibri"/>
                    <w:bCs/>
                    <w:szCs w:val="24"/>
                  </w:rPr>
                  <w:t>.</w:t>
                </w:r>
              </w:p>
              <w:p>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pPr>
                  <w:jc w:val="both"/>
                  <w:rPr>
                    <w:rFonts w:eastAsia="Calibri"/>
                    <w:bCs/>
                    <w:iCs/>
                    <w:szCs w:val="24"/>
                  </w:rPr>
                </w:pPr>
                <w:r>
                  <w:rPr>
                    <w:rFonts w:eastAsia="Calibri"/>
                    <w:bCs/>
                    <w:iCs/>
                    <w:szCs w:val="24"/>
                  </w:rPr>
                  <w:t>Pagrindžiantys dokumentai neteikiami.</w:t>
                </w:r>
              </w:p>
              <w:p>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pPr>
                  <w:jc w:val="both"/>
                  <w:rPr>
                    <w:rFonts w:eastAsia="Calibri"/>
                    <w:szCs w:val="24"/>
                  </w:rPr>
                </w:pPr>
                <w:r>
                  <w:rPr>
                    <w:bCs/>
                    <w:szCs w:val="24"/>
                  </w:rPr>
                  <w:t>Atitiktis bus vertinama pagal PĮP nurodytą informaciją ir projektų įgyvendinimo metu pateikiamų pirkimo dokumentų informaciją.</w:t>
                </w:r>
              </w:p>
            </w:tc>
          </w:tr>
          <w:tr>
            <w:tc>
              <w:tcPr>
                <w:tcW w:w="488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pPr>
                  <w:jc w:val="both"/>
                  <w:rPr>
                    <w:rFonts w:eastAsia="Calibri"/>
                    <w:bCs/>
                    <w:iCs/>
                    <w:szCs w:val="24"/>
                  </w:rPr>
                </w:pPr>
              </w:p>
              <w:p>
                <w:pPr>
                  <w:jc w:val="both"/>
                  <w:rPr>
                    <w:rFonts w:eastAsia="Calibri"/>
                    <w:szCs w:val="24"/>
                  </w:rPr>
                </w:pPr>
              </w:p>
            </w:tc>
          </w:tr>
          <w:tr>
            <w:tc>
              <w:tcPr>
                <w:tcW w:w="488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„Natura 2000“, UNESCO pasaulinio paveldo ar kitose saugomose teritorijose.</w:t>
                </w:r>
              </w:p>
            </w:tc>
            <w:tc>
              <w:tcPr>
                <w:tcW w:w="5331" w:type="dxa"/>
              </w:tcPr>
              <w:p>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„Natura 2000“, UNESCO pasaulinio paveldo ar kitose saugomose teritorijose</w:t>
                </w:r>
                <w:r>
                  <w:rPr>
                    <w:rFonts w:eastAsia="Calibri"/>
                    <w:bCs/>
                    <w:iCs/>
                    <w:szCs w:val="24"/>
                  </w:rPr>
                  <w:t>.</w:t>
                </w:r>
              </w:p>
              <w:p>
                <w:pPr>
                  <w:jc w:val="both"/>
                  <w:rPr>
                    <w:rFonts w:eastAsia="Calibri"/>
                    <w:szCs w:val="24"/>
                  </w:rPr>
                </w:pPr>
              </w:p>
            </w:tc>
          </w:tr>
        </w:tbl>
        <w:p>
          <w:pPr>
            <w:rPr>
              <w:szCs w:val="24"/>
            </w:rPr>
          </w:pPr>
        </w:p>
        <w:sdt>
          <w:sdtPr>
            <w:alias w:val="pabaiga"/>
            <w:tag w:val="part_8baa6b68dd73418d82dd1b3f7c3feaf0"/>
            <w:lock w:val="sdtLocked"/>
            <w:richText/>
          </w:sdtPr>
          <w:sdtContent>
            <w:p>
              <w:pPr>
                <w:spacing w:line="276" w:lineRule="auto"/>
                <w:jc w:val="center"/>
                <w:rPr>
                  <w:szCs w:val="24"/>
                </w:rPr>
              </w:pPr>
              <w:r>
                <w:rPr>
                  <w:rFonts w:eastAsia="Calibri"/>
                  <w:szCs w:val="24"/>
                </w:rPr>
                <w:t>________________</w:t>
              </w:r>
            </w:p>
            <w:p/>
            <w:p>
              <w:pPr>
                <w:spacing w:line="259" w:lineRule="auto"/>
                <w:ind w:left="142" w:hanging="142"/>
                <w:rPr>
                  <w:sz w:val="22"/>
                  <w:szCs w:val="22"/>
                </w:rPr>
              </w:pPr>
            </w:p>
          </w:sdtContent>
        </w:sdt>
      </w:sdtContent>
    </w:sdt>
    <w:sectPr>
      <w:pgSz w:w="16838" w:h="11906" w:orient="landscape"/>
      <w:pgMar w:top="1701" w:right="962" w:bottom="567"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4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4DB4A3-6D16-40FE-B86F-7E074903350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2.xml"/>
  <Relationship Id="rId2" Type="http://schemas.openxmlformats.org/officeDocument/2006/relationships/styles" Target="styles.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1" Abbr="21 pr." Title="2022–2030 METŲ SVEIKATOS PRIEŽIŪROS KOKYBĖS IR EFEKTYVUMO DIDINIMO PLĖTROS PROGRAMOS PAŽANGOS PRIEMONĖS NR. 11-002-02-11-01 „GERINTI SVEIKATOS PRIEŽIŪROS PASLAUGŲ KOKYBĘ IR PRIEINAMUMĄ“ PROJEKTŲ FINANSAVIMO SĄLYGŲ APRAŠAS NR. 21" DocPartId="a10aaa1d6621464ead0d67d77adcd384" PartId="7bb06299d3f94f0b8ea7fc7dfaaa2b1a"/>
  <Part Type="priedas" Abbr="pr." Title="PROJEKTO ATITIKTIES REIKŠMINGOS ŽALOS NEDARYMO HORIZONTALIAJAM PRINCIPUI VERTINIMO REIKALAVIMŲ APRAŠAS" DocPartId="116525a162d04370ae4c099692488abd" PartId="5d98e9a2ca7e4e919647fc065a6bad3b">
    <Part Type="pabaiga" DocPartId="64a6d3fe8c2c446aa78ae11306ae25d9" PartId="8baa6b68dd73418d82dd1b3f7c3feaf0"/>
  </Part>
</Parts>
</file>

<file path=customXml/itemProps1.xml><?xml version="1.0" encoding="utf-8"?>
<ds:datastoreItem xmlns:ds="http://schemas.openxmlformats.org/officeDocument/2006/customXml" ds:itemID="{568F759B-395E-4792-8262-B35501E32FEB}">
  <ds:schemaRefs>
    <ds:schemaRef ds:uri="http://schemas.openxmlformats.org/officeDocument/2006/bibliography"/>
  </ds:schemaRefs>
</ds:datastoreItem>
</file>

<file path=customXml/itemProps2.xml><?xml version="1.0" encoding="utf-8"?>
<ds:datastoreItem xmlns:ds="http://schemas.openxmlformats.org/officeDocument/2006/customXml" ds:itemID="{AFE56508-0E52-4B53-9F3F-1BAB94808F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4652</Words>
  <Characters>34753</Characters>
  <Application>Microsoft Office Word</Application>
  <DocSecurity>4</DocSecurity>
  <Lines>1022</Lines>
  <Paragraphs>406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38999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TAMALIŪNIENĖ Vilija</dc:creator>
  <lastModifiedBy>adlibuser</lastModifiedBy>
  <dcterms:modified xsi:type="dcterms:W3CDTF">2024-05-20T05:05:00Z</dcterms:modified>
  <revision>2</revision>
</coreProperties>
</file>