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6 pr."/>
        <w:tag w:val="part_af66f6af3421451a9884929d7e3f9b98"/>
        <w:lock w:val="sdtLocked"/>
        <w:richText/>
      </w:sdtPr>
      <w:sdtContent>
        <w:p>
          <w:pPr>
            <w:tabs>
              <w:tab w:val="center" w:pos="4680"/>
              <w:tab w:val="right" w:pos="9360"/>
            </w:tabs>
            <w:rPr>
              <w:sz w:val="22"/>
              <w:szCs w:val="22"/>
              <w:lang w:eastAsia="lt-LT"/>
            </w:rPr>
          </w:pPr>
        </w:p>
        <w:p>
          <w:pPr>
            <w:tabs>
              <w:tab w:val="center" w:pos="4680"/>
              <w:tab w:val="right" w:pos="9360"/>
            </w:tabs>
            <w:rPr>
              <w:sz w:val="22"/>
              <w:szCs w:val="22"/>
              <w:lang w:val="en-US" w:eastAsia="lt-LT"/>
            </w:rPr>
          </w:pPr>
        </w:p>
        <w:p>
          <w:pPr>
            <w:ind w:left="10065"/>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pPr>
            <w:ind w:left="10065"/>
            <w:jc w:val="both"/>
            <w:rPr>
              <w:szCs w:val="24"/>
            </w:rPr>
          </w:pPr>
          <w:sdt>
            <w:sdtPr>
              <w:alias w:val="Numeris"/>
              <w:tag w:val="nr_af66f6af3421451a9884929d7e3f9b98"/>
              <w:lock w:val="sdtLocked"/>
              <w:richText/>
            </w:sdtPr>
            <w:sdtContent>
              <w:r>
                <w:rPr>
                  <w:szCs w:val="24"/>
                </w:rPr>
                <w:t>26</w:t>
              </w:r>
            </w:sdtContent>
          </w:sdt>
          <w:r>
            <w:rPr>
              <w:szCs w:val="24"/>
            </w:rPr>
            <w:t xml:space="preserve"> priedas  </w:t>
          </w:r>
        </w:p>
        <w:p>
          <w:pPr>
            <w:jc w:val="center"/>
            <w:rPr>
              <w:i/>
              <w:szCs w:val="24"/>
            </w:rPr>
          </w:pPr>
        </w:p>
        <w:p>
          <w:pPr>
            <w:jc w:val="center"/>
            <w:rPr>
              <w:b/>
              <w:bCs/>
              <w:szCs w:val="24"/>
            </w:rPr>
          </w:pPr>
          <w:sdt>
            <w:sdtPr>
              <w:alias w:val="Pavadinimas"/>
              <w:tag w:val="title_af66f6af3421451a9884929d7e3f9b98"/>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26</w:t>
              </w:r>
            </w:sdtContent>
          </w:sdt>
        </w:p>
        <w:p>
          <w:pPr>
            <w:jc w:val="center"/>
            <w:rPr>
              <w:b/>
              <w:bCs/>
              <w:szCs w:val="24"/>
            </w:rPr>
          </w:pPr>
        </w:p>
        <w:tbl>
          <w:tblPr>
            <w:tblW w:w="1489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76"/>
            <w:gridCol w:w="992"/>
            <w:gridCol w:w="992"/>
            <w:gridCol w:w="992"/>
            <w:gridCol w:w="1134"/>
            <w:gridCol w:w="1134"/>
            <w:gridCol w:w="851"/>
            <w:gridCol w:w="1276"/>
            <w:gridCol w:w="1133"/>
            <w:gridCol w:w="1275"/>
            <w:gridCol w:w="993"/>
            <w:gridCol w:w="1275"/>
            <w:gridCol w:w="11"/>
          </w:tblGrid>
          <w:tr>
            <w:tc>
              <w:tcPr>
                <w:tcW w:w="14894" w:type="dxa"/>
                <w:gridSpan w:val="14"/>
                <w:vAlign w:val="center"/>
              </w:tcPr>
              <w:p>
                <w:pPr>
                  <w:jc w:val="center"/>
                  <w:rPr>
                    <w:b/>
                    <w:sz w:val="22"/>
                    <w:szCs w:val="22"/>
                  </w:rPr>
                </w:pPr>
                <w:r>
                  <w:rPr>
                    <w:b/>
                    <w:sz w:val="22"/>
                    <w:szCs w:val="22"/>
                  </w:rPr>
                  <w:t>VEIKLOS AR POVEIKLĖS, KURIOMS NUSTATOMOS PROJEKTŲ FINANSAVIMO SĄLYGOS</w:t>
                </w:r>
              </w:p>
            </w:tc>
          </w:tr>
          <w:tr>
            <w:trPr>
              <w:gridAfter w:val="1"/>
              <w:wAfter w:w="11" w:type="dxa"/>
            </w:trPr>
            <w:tc>
              <w:tcPr>
                <w:tcW w:w="1560" w:type="dxa"/>
                <w:vAlign w:val="center"/>
              </w:tcPr>
              <w:p>
                <w:pPr>
                  <w:jc w:val="center"/>
                  <w:rPr>
                    <w:b/>
                    <w:sz w:val="20"/>
                    <w:szCs w:val="22"/>
                  </w:rPr>
                </w:pPr>
                <w:r>
                  <w:rPr>
                    <w:b/>
                    <w:sz w:val="20"/>
                    <w:szCs w:val="22"/>
                  </w:rPr>
                  <w:t>Veiklos ar poveiklės pavadinimas</w:t>
                </w:r>
              </w:p>
            </w:tc>
            <w:tc>
              <w:tcPr>
                <w:tcW w:w="1276" w:type="dxa"/>
                <w:vAlign w:val="center"/>
              </w:tcPr>
              <w:p>
                <w:pPr>
                  <w:jc w:val="center"/>
                  <w:rPr>
                    <w:b/>
                    <w:sz w:val="20"/>
                    <w:szCs w:val="22"/>
                  </w:rPr>
                </w:pPr>
                <w:r>
                  <w:rPr>
                    <w:b/>
                    <w:sz w:val="20"/>
                    <w:szCs w:val="22"/>
                  </w:rPr>
                  <w:t>Finan-savimo šaltinis</w:t>
                </w:r>
              </w:p>
            </w:tc>
            <w:tc>
              <w:tcPr>
                <w:tcW w:w="992" w:type="dxa"/>
                <w:vAlign w:val="center"/>
              </w:tcPr>
              <w:p>
                <w:pPr>
                  <w:jc w:val="center"/>
                  <w:rPr>
                    <w:b/>
                    <w:sz w:val="20"/>
                    <w:szCs w:val="22"/>
                  </w:rPr>
                </w:pPr>
                <w:r>
                  <w:rPr>
                    <w:b/>
                    <w:bCs/>
                    <w:sz w:val="20"/>
                    <w:szCs w:val="22"/>
                  </w:rPr>
                  <w:t>Priorite-tas ar kompo-nentas</w:t>
                </w:r>
              </w:p>
            </w:tc>
            <w:tc>
              <w:tcPr>
                <w:tcW w:w="992" w:type="dxa"/>
                <w:vAlign w:val="center"/>
              </w:tcPr>
              <w:p>
                <w:pPr>
                  <w:jc w:val="center"/>
                  <w:rPr>
                    <w:b/>
                    <w:sz w:val="20"/>
                    <w:szCs w:val="22"/>
                  </w:rPr>
                </w:pPr>
                <w:r>
                  <w:rPr>
                    <w:b/>
                    <w:bCs/>
                    <w:sz w:val="20"/>
                    <w:szCs w:val="22"/>
                  </w:rPr>
                  <w:t>Uždavi-nys ar priemo-nė</w:t>
                </w:r>
              </w:p>
            </w:tc>
            <w:tc>
              <w:tcPr>
                <w:tcW w:w="992" w:type="dxa"/>
                <w:vAlign w:val="center"/>
              </w:tcPr>
              <w:p>
                <w:pPr>
                  <w:jc w:val="center"/>
                  <w:rPr>
                    <w:b/>
                    <w:sz w:val="20"/>
                    <w:szCs w:val="22"/>
                  </w:rPr>
                </w:pPr>
                <w:r>
                  <w:rPr>
                    <w:b/>
                    <w:bCs/>
                    <w:sz w:val="20"/>
                    <w:szCs w:val="22"/>
                  </w:rPr>
                  <w:t>Veikla ar paprie-monė</w:t>
                </w:r>
              </w:p>
            </w:tc>
            <w:tc>
              <w:tcPr>
                <w:tcW w:w="1134" w:type="dxa"/>
                <w:vAlign w:val="center"/>
              </w:tcPr>
              <w:p>
                <w:pPr>
                  <w:jc w:val="center"/>
                  <w:rPr>
                    <w:b/>
                    <w:sz w:val="20"/>
                    <w:szCs w:val="22"/>
                  </w:rPr>
                </w:pPr>
                <w:r>
                  <w:rPr>
                    <w:b/>
                    <w:sz w:val="20"/>
                    <w:szCs w:val="22"/>
                  </w:rPr>
                  <w:t>Interven-cinės priemonės kodas</w:t>
                </w:r>
              </w:p>
            </w:tc>
            <w:tc>
              <w:tcPr>
                <w:tcW w:w="1134" w:type="dxa"/>
                <w:vAlign w:val="center"/>
              </w:tcPr>
              <w:p>
                <w:pPr>
                  <w:jc w:val="center"/>
                  <w:rPr>
                    <w:b/>
                    <w:bCs/>
                    <w:sz w:val="20"/>
                    <w:szCs w:val="22"/>
                  </w:rPr>
                </w:pPr>
                <w:r>
                  <w:rPr>
                    <w:b/>
                    <w:sz w:val="20"/>
                  </w:rPr>
                  <w:t>Regionas, kuriam priskiria-ma veikla ar poveiklė</w:t>
                </w:r>
              </w:p>
            </w:tc>
            <w:tc>
              <w:tcPr>
                <w:tcW w:w="851"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3" w:type="dxa"/>
                <w:vAlign w:val="center"/>
              </w:tcPr>
              <w:p>
                <w:pPr>
                  <w:jc w:val="center"/>
                  <w:rPr>
                    <w:b/>
                    <w:sz w:val="20"/>
                    <w:szCs w:val="22"/>
                  </w:rPr>
                </w:pPr>
                <w:r>
                  <w:rPr>
                    <w:b/>
                    <w:bCs/>
                    <w:sz w:val="20"/>
                    <w:szCs w:val="22"/>
                  </w:rPr>
                  <w:t>Ekonomi-nės veiklos kodas (-ai)</w:t>
                </w:r>
              </w:p>
            </w:tc>
            <w:tc>
              <w:tcPr>
                <w:tcW w:w="1275" w:type="dxa"/>
                <w:vAlign w:val="center"/>
              </w:tcPr>
              <w:p>
                <w:pPr>
                  <w:jc w:val="center"/>
                  <w:rPr>
                    <w:b/>
                    <w:bCs/>
                    <w:sz w:val="20"/>
                    <w:szCs w:val="22"/>
                  </w:rPr>
                </w:pPr>
                <w:r>
                  <w:rPr>
                    <w:b/>
                    <w:bCs/>
                    <w:sz w:val="20"/>
                    <w:szCs w:val="22"/>
                  </w:rPr>
                  <w:t>„Europos socialinio fondo +“ (toliau – ESF+) antrinių temų kodai</w:t>
                </w:r>
              </w:p>
            </w:tc>
            <w:tc>
              <w:tcPr>
                <w:tcW w:w="993" w:type="dxa"/>
                <w:vAlign w:val="center"/>
              </w:tcPr>
              <w:p>
                <w:pPr>
                  <w:jc w:val="center"/>
                  <w:rPr>
                    <w:b/>
                    <w:bCs/>
                    <w:sz w:val="20"/>
                    <w:szCs w:val="22"/>
                  </w:rPr>
                </w:pPr>
                <w:r>
                  <w:rPr>
                    <w:b/>
                    <w:bCs/>
                    <w:sz w:val="20"/>
                    <w:szCs w:val="22"/>
                  </w:rPr>
                  <w:t>Lyčių lygybės mat-mens kodas</w:t>
                </w:r>
              </w:p>
            </w:tc>
            <w:tc>
              <w:tcPr>
                <w:tcW w:w="1275" w:type="dxa"/>
              </w:tcPr>
              <w:p>
                <w:pPr>
                  <w:jc w:val="center"/>
                  <w:rPr>
                    <w:b/>
                    <w:bCs/>
                    <w:sz w:val="20"/>
                    <w:szCs w:val="22"/>
                  </w:rPr>
                </w:pPr>
                <w:r>
                  <w:rPr>
                    <w:b/>
                    <w:bCs/>
                    <w:sz w:val="20"/>
                    <w:szCs w:val="22"/>
                  </w:rPr>
                  <w:t>Nepanau-dotos Ekonomi-kos gaivinimo ir atsparumo didinimo priemonės lėšos</w:t>
                </w:r>
              </w:p>
              <w:p>
                <w:pPr>
                  <w:jc w:val="center"/>
                  <w:rPr>
                    <w:b/>
                    <w:bCs/>
                    <w:sz w:val="20"/>
                    <w:szCs w:val="22"/>
                  </w:rPr>
                </w:pPr>
                <w:r>
                  <w:rPr>
                    <w:b/>
                    <w:bCs/>
                    <w:sz w:val="20"/>
                    <w:szCs w:val="22"/>
                  </w:rPr>
                  <w:t>(Taip / Ne)</w:t>
                </w:r>
              </w:p>
            </w:tc>
          </w:tr>
          <w:tr>
            <w:trPr>
              <w:gridAfter w:val="1"/>
              <w:wAfter w:w="11" w:type="dxa"/>
              <w:trHeight w:val="278"/>
            </w:trPr>
            <w:tc>
              <w:tcPr>
                <w:tcW w:w="1560" w:type="dxa"/>
                <w:vMerge w:val="restart"/>
                <w:tcMar>
                  <w:left w:w="28" w:type="dxa"/>
                  <w:right w:w="28" w:type="dxa"/>
                </w:tcMar>
              </w:tcPr>
              <w:p>
                <w:pPr>
                  <w:jc w:val="center"/>
                  <w:rPr>
                    <w:iCs/>
                    <w:sz w:val="20"/>
                  </w:rPr>
                </w:pPr>
                <w:r>
                  <w:rPr>
                    <w:iCs/>
                    <w:sz w:val="20"/>
                  </w:rPr>
                  <w:t>7.1. Ambulatorinių psichikos sveikatos paslaugų ir psichosocialinės reabilitacijos plėtrai reikalingos infrastruktūros įrengimas, Sostinės regionas</w:t>
                </w:r>
              </w:p>
            </w:tc>
            <w:tc>
              <w:tcPr>
                <w:tcW w:w="1276" w:type="dxa"/>
                <w:tcMar>
                  <w:left w:w="28" w:type="dxa"/>
                  <w:right w:w="28" w:type="dxa"/>
                </w:tcMar>
              </w:tcPr>
              <w:p>
                <w:pPr>
                  <w:rPr>
                    <w:sz w:val="8"/>
                    <w:szCs w:val="8"/>
                  </w:rPr>
                </w:pPr>
              </w:p>
              <w:p>
                <w:pPr>
                  <w:rPr>
                    <w:iCs/>
                    <w:sz w:val="20"/>
                  </w:rPr>
                </w:pPr>
                <w:r>
                  <w:rPr>
                    <w:iCs/>
                    <w:sz w:val="20"/>
                  </w:rPr>
                  <w:t>2021–2027 m. Europos Sąjungos fondų lėšos (toliau – ES fondų lėšos)</w:t>
                </w:r>
              </w:p>
              <w:p>
                <w:pPr>
                  <w:rPr>
                    <w:sz w:val="8"/>
                    <w:szCs w:val="8"/>
                  </w:rPr>
                </w:pPr>
              </w:p>
              <w:p>
                <w:pPr>
                  <w:jc w:val="center"/>
                  <w:rPr>
                    <w:iCs/>
                    <w:sz w:val="20"/>
                  </w:rPr>
                </w:pPr>
              </w:p>
            </w:tc>
            <w:tc>
              <w:tcPr>
                <w:tcW w:w="992" w:type="dxa"/>
                <w:vMerge w:val="restart"/>
                <w:tcMar>
                  <w:left w:w="28" w:type="dxa"/>
                  <w:right w:w="28" w:type="dxa"/>
                </w:tcMar>
              </w:tcPr>
              <w:p>
                <w:pPr>
                  <w:jc w:val="center"/>
                  <w:rPr>
                    <w:iCs/>
                    <w:sz w:val="20"/>
                  </w:rPr>
                </w:pPr>
                <w:r>
                  <w:rPr>
                    <w:iCs/>
                    <w:sz w:val="20"/>
                  </w:rPr>
                  <w:t>4</w:t>
                </w:r>
              </w:p>
              <w:p>
                <w:pPr>
                  <w:jc w:val="center"/>
                  <w:rPr>
                    <w:iCs/>
                    <w:sz w:val="20"/>
                  </w:rPr>
                </w:pPr>
              </w:p>
            </w:tc>
            <w:tc>
              <w:tcPr>
                <w:tcW w:w="992" w:type="dxa"/>
                <w:vMerge w:val="restart"/>
                <w:tcMar>
                  <w:left w:w="28" w:type="dxa"/>
                  <w:right w:w="28" w:type="dxa"/>
                </w:tcMar>
              </w:tcPr>
              <w:p>
                <w:pPr>
                  <w:jc w:val="center"/>
                  <w:rPr>
                    <w:iCs/>
                    <w:sz w:val="20"/>
                  </w:rPr>
                </w:pPr>
                <w:r>
                  <w:rPr>
                    <w:iCs/>
                    <w:sz w:val="20"/>
                  </w:rPr>
                  <w:t>4.10</w:t>
                </w:r>
              </w:p>
              <w:p>
                <w:pPr>
                  <w:jc w:val="center"/>
                  <w:rPr>
                    <w:iCs/>
                    <w:sz w:val="20"/>
                  </w:rPr>
                </w:pPr>
              </w:p>
            </w:tc>
            <w:tc>
              <w:tcPr>
                <w:tcW w:w="992" w:type="dxa"/>
                <w:vMerge w:val="restart"/>
                <w:tcMar>
                  <w:left w:w="28" w:type="dxa"/>
                  <w:right w:w="28" w:type="dxa"/>
                </w:tcMar>
              </w:tcPr>
              <w:p>
                <w:pPr>
                  <w:jc w:val="center"/>
                  <w:rPr>
                    <w:iCs/>
                    <w:sz w:val="20"/>
                  </w:rPr>
                </w:pPr>
                <w:r>
                  <w:rPr>
                    <w:iCs/>
                    <w:sz w:val="20"/>
                  </w:rPr>
                  <w:t>4.10.3</w:t>
                </w:r>
              </w:p>
              <w:p>
                <w:pPr>
                  <w:jc w:val="center"/>
                  <w:rPr>
                    <w:iCs/>
                    <w:sz w:val="20"/>
                  </w:rPr>
                </w:pPr>
                <w:r>
                  <w:rPr>
                    <w:rFonts w:eastAsia="Calibri"/>
                    <w:sz w:val="20"/>
                  </w:rPr>
                  <w:t>Gerinti aukštos kokybės speciali-zuotos sveikatos priežiūros prieina-mumą</w:t>
                </w:r>
              </w:p>
            </w:tc>
            <w:tc>
              <w:tcPr>
                <w:tcW w:w="1134" w:type="dxa"/>
                <w:vMerge w:val="restart"/>
                <w:tcMar>
                  <w:left w:w="28" w:type="dxa"/>
                  <w:right w:w="28" w:type="dxa"/>
                </w:tcMar>
              </w:tcPr>
              <w:p>
                <w:pPr>
                  <w:jc w:val="center"/>
                  <w:rPr>
                    <w:bCs/>
                    <w:sz w:val="20"/>
                  </w:rPr>
                </w:pPr>
                <w:r>
                  <w:rPr>
                    <w:bCs/>
                    <w:sz w:val="20"/>
                  </w:rPr>
                  <w:t>128</w:t>
                </w:r>
              </w:p>
              <w:p>
                <w:pPr>
                  <w:jc w:val="center"/>
                  <w:rPr>
                    <w:bCs/>
                    <w:iCs/>
                    <w:sz w:val="20"/>
                  </w:rPr>
                </w:pPr>
                <w:r>
                  <w:rPr>
                    <w:iCs/>
                    <w:sz w:val="20"/>
                  </w:rPr>
                  <w:t>Sveikatos infrastruktū-ra</w:t>
                </w:r>
              </w:p>
            </w:tc>
            <w:tc>
              <w:tcPr>
                <w:tcW w:w="1134" w:type="dxa"/>
                <w:vMerge w:val="restart"/>
                <w:tcMar>
                  <w:left w:w="28" w:type="dxa"/>
                  <w:right w:w="28" w:type="dxa"/>
                </w:tcMar>
              </w:tcPr>
              <w:p>
                <w:pPr>
                  <w:jc w:val="center"/>
                  <w:rPr>
                    <w:iCs/>
                    <w:sz w:val="20"/>
                  </w:rPr>
                </w:pPr>
                <w:r>
                  <w:rPr>
                    <w:iCs/>
                    <w:sz w:val="20"/>
                  </w:rPr>
                  <w:t>Sostinės regionas</w:t>
                </w:r>
              </w:p>
              <w:p>
                <w:pPr>
                  <w:jc w:val="center"/>
                  <w:rPr>
                    <w:iCs/>
                    <w:sz w:val="20"/>
                  </w:rPr>
                </w:pPr>
              </w:p>
              <w:p>
                <w:pPr>
                  <w:rPr>
                    <w:iCs/>
                    <w:sz w:val="18"/>
                    <w:szCs w:val="18"/>
                  </w:rPr>
                </w:pPr>
              </w:p>
            </w:tc>
            <w:tc>
              <w:tcPr>
                <w:tcW w:w="851" w:type="dxa"/>
                <w:vMerge w:val="restart"/>
                <w:tcMar>
                  <w:left w:w="28" w:type="dxa"/>
                  <w:right w:w="28" w:type="dxa"/>
                </w:tcMar>
              </w:tcPr>
              <w:p>
                <w:pPr>
                  <w:jc w:val="center"/>
                  <w:rPr>
                    <w:iCs/>
                    <w:color w:val="000000"/>
                    <w:sz w:val="20"/>
                  </w:rPr>
                </w:pPr>
                <w:r>
                  <w:rPr>
                    <w:iCs/>
                    <w:color w:val="000000"/>
                    <w:sz w:val="20"/>
                  </w:rPr>
                  <w:t>01</w:t>
                </w:r>
              </w:p>
              <w:p>
                <w:pPr>
                  <w:jc w:val="center"/>
                  <w:rPr>
                    <w:iCs/>
                    <w:color w:val="FF0000"/>
                    <w:sz w:val="18"/>
                    <w:szCs w:val="22"/>
                  </w:rPr>
                </w:pPr>
                <w:r>
                  <w:rPr>
                    <w:iCs/>
                    <w:sz w:val="20"/>
                  </w:rPr>
                  <w:t>Dotacija</w:t>
                </w:r>
              </w:p>
            </w:tc>
            <w:tc>
              <w:tcPr>
                <w:tcW w:w="1276" w:type="dxa"/>
                <w:vMerge w:val="restart"/>
                <w:tcMar>
                  <w:left w:w="28" w:type="dxa"/>
                  <w:right w:w="28" w:type="dxa"/>
                </w:tcMar>
              </w:tcPr>
              <w:p>
                <w:pPr>
                  <w:jc w:val="center"/>
                  <w:rPr>
                    <w:iCs/>
                    <w:color w:val="000000"/>
                    <w:sz w:val="20"/>
                  </w:rPr>
                </w:pPr>
                <w:r>
                  <w:rPr>
                    <w:iCs/>
                    <w:color w:val="000000"/>
                    <w:sz w:val="20"/>
                  </w:rPr>
                  <w:t>33</w:t>
                </w:r>
              </w:p>
              <w:p>
                <w:pPr>
                  <w:jc w:val="center"/>
                  <w:rPr>
                    <w:iCs/>
                    <w:color w:val="FF0000"/>
                    <w:sz w:val="18"/>
                    <w:szCs w:val="22"/>
                  </w:rPr>
                </w:pPr>
                <w:r>
                  <w:rPr>
                    <w:iCs/>
                    <w:sz w:val="20"/>
                  </w:rPr>
                  <w:t>Nesiorientuo-jant į teritoriškumą</w:t>
                </w:r>
              </w:p>
            </w:tc>
            <w:tc>
              <w:tcPr>
                <w:tcW w:w="1133" w:type="dxa"/>
                <w:vMerge w:val="restart"/>
                <w:tcMar>
                  <w:left w:w="28" w:type="dxa"/>
                  <w:right w:w="28" w:type="dxa"/>
                </w:tcMar>
              </w:tcPr>
              <w:p>
                <w:pPr>
                  <w:jc w:val="center"/>
                  <w:rPr>
                    <w:iCs/>
                    <w:color w:val="000000"/>
                    <w:sz w:val="20"/>
                  </w:rPr>
                </w:pPr>
                <w:r>
                  <w:rPr>
                    <w:iCs/>
                    <w:color w:val="000000"/>
                    <w:sz w:val="20"/>
                  </w:rPr>
                  <w:t>22</w:t>
                </w:r>
              </w:p>
              <w:p>
                <w:pPr>
                  <w:jc w:val="center"/>
                  <w:rPr>
                    <w:iCs/>
                    <w:color w:val="FF0000"/>
                    <w:sz w:val="18"/>
                  </w:rPr>
                </w:pPr>
                <w:r>
                  <w:rPr>
                    <w:color w:val="000000"/>
                    <w:sz w:val="20"/>
                  </w:rPr>
                  <w:t>Žmonių sveikatos priežiūros veikla</w:t>
                </w:r>
              </w:p>
            </w:tc>
            <w:tc>
              <w:tcPr>
                <w:tcW w:w="1275" w:type="dxa"/>
                <w:vMerge w:val="restart"/>
                <w:tcMar>
                  <w:left w:w="28" w:type="dxa"/>
                  <w:right w:w="28" w:type="dxa"/>
                </w:tcMar>
              </w:tcPr>
              <w:p>
                <w:pPr>
                  <w:jc w:val="center"/>
                  <w:rPr>
                    <w:iCs/>
                    <w:color w:val="FF0000"/>
                    <w:sz w:val="18"/>
                  </w:rPr>
                </w:pPr>
                <w:r>
                  <w:rPr>
                    <w:iCs/>
                    <w:color w:val="000000"/>
                    <w:sz w:val="20"/>
                  </w:rPr>
                  <w:t>-</w:t>
                </w:r>
              </w:p>
            </w:tc>
            <w:tc>
              <w:tcPr>
                <w:tcW w:w="993" w:type="dxa"/>
                <w:vMerge w:val="restart"/>
                <w:tcMar>
                  <w:left w:w="28" w:type="dxa"/>
                  <w:right w:w="28" w:type="dxa"/>
                </w:tcMar>
              </w:tcPr>
              <w:p>
                <w:pPr>
                  <w:jc w:val="center"/>
                  <w:rPr>
                    <w:iCs/>
                    <w:color w:val="000000"/>
                    <w:sz w:val="20"/>
                  </w:rPr>
                </w:pPr>
                <w:r>
                  <w:rPr>
                    <w:iCs/>
                    <w:color w:val="000000"/>
                    <w:sz w:val="20"/>
                  </w:rPr>
                  <w:t>03</w:t>
                </w:r>
              </w:p>
              <w:p>
                <w:pPr>
                  <w:jc w:val="center"/>
                  <w:rPr>
                    <w:iCs/>
                    <w:color w:val="FF0000"/>
                    <w:sz w:val="18"/>
                  </w:rPr>
                </w:pPr>
                <w:r>
                  <w:rPr>
                    <w:iCs/>
                    <w:sz w:val="20"/>
                  </w:rPr>
                  <w:t>Neutralu-mas lyties požiūriu</w:t>
                </w:r>
              </w:p>
            </w:tc>
            <w:tc>
              <w:tcPr>
                <w:tcW w:w="1275" w:type="dxa"/>
                <w:vMerge w:val="restart"/>
              </w:tcPr>
              <w:p>
                <w:pPr>
                  <w:jc w:val="center"/>
                  <w:rPr>
                    <w:iCs/>
                    <w:color w:val="000000"/>
                    <w:sz w:val="20"/>
                  </w:rPr>
                </w:pPr>
                <w:r>
                  <w:rPr>
                    <w:iCs/>
                    <w:color w:val="000000"/>
                    <w:sz w:val="20"/>
                  </w:rPr>
                  <w:t>-</w:t>
                </w:r>
              </w:p>
            </w:tc>
          </w:tr>
          <w:tr>
            <w:trPr>
              <w:gridAfter w:val="1"/>
              <w:wAfter w:w="11" w:type="dxa"/>
              <w:trHeight w:val="278"/>
            </w:trPr>
            <w:tc>
              <w:tcPr>
                <w:tcW w:w="1560" w:type="dxa"/>
                <w:vMerge/>
                <w:tcMar>
                  <w:left w:w="28" w:type="dxa"/>
                  <w:right w:w="28" w:type="dxa"/>
                </w:tcMar>
              </w:tcPr>
              <w:p>
                <w:pPr>
                  <w:jc w:val="center"/>
                  <w:rPr>
                    <w:iCs/>
                    <w:sz w:val="20"/>
                  </w:rPr>
                </w:pPr>
              </w:p>
            </w:tc>
            <w:tc>
              <w:tcPr>
                <w:tcW w:w="1276" w:type="dxa"/>
                <w:tcMar>
                  <w:left w:w="28" w:type="dxa"/>
                  <w:right w:w="28" w:type="dxa"/>
                </w:tcMar>
              </w:tcPr>
              <w:p>
                <w:pPr>
                  <w:rPr>
                    <w:sz w:val="8"/>
                    <w:szCs w:val="8"/>
                  </w:rPr>
                </w:pPr>
              </w:p>
              <w:p>
                <w:pPr>
                  <w:rPr>
                    <w:iCs/>
                    <w:sz w:val="20"/>
                  </w:rPr>
                </w:pPr>
                <w:r>
                  <w:rPr>
                    <w:iCs/>
                    <w:sz w:val="20"/>
                  </w:rPr>
                  <w:t>Bendrojo finansavimo lėšos (toliau – BF lėšos)</w:t>
                </w:r>
              </w:p>
              <w:p>
                <w:pPr>
                  <w:rPr>
                    <w:sz w:val="8"/>
                    <w:szCs w:val="8"/>
                  </w:rPr>
                </w:pPr>
              </w:p>
              <w:p>
                <w:pPr>
                  <w:jc w:val="center"/>
                  <w:rPr>
                    <w:sz w:val="20"/>
                  </w:rPr>
                </w:pPr>
              </w:p>
            </w:tc>
            <w:tc>
              <w:tcPr>
                <w:tcW w:w="992" w:type="dxa"/>
                <w:vMerge/>
                <w:tcMar>
                  <w:left w:w="28" w:type="dxa"/>
                  <w:right w:w="28" w:type="dxa"/>
                </w:tcMar>
              </w:tcPr>
              <w:p>
                <w:pPr>
                  <w:jc w:val="center"/>
                  <w:rPr>
                    <w:iCs/>
                    <w:sz w:val="20"/>
                  </w:rPr>
                </w:pPr>
              </w:p>
            </w:tc>
            <w:tc>
              <w:tcPr>
                <w:tcW w:w="992" w:type="dxa"/>
                <w:vMerge/>
                <w:tcMar>
                  <w:left w:w="28" w:type="dxa"/>
                  <w:right w:w="28" w:type="dxa"/>
                </w:tcMar>
              </w:tcPr>
              <w:p>
                <w:pPr>
                  <w:jc w:val="center"/>
                  <w:rPr>
                    <w:iCs/>
                    <w:sz w:val="20"/>
                  </w:rPr>
                </w:pPr>
              </w:p>
            </w:tc>
            <w:tc>
              <w:tcPr>
                <w:tcW w:w="992" w:type="dxa"/>
                <w:vMerge/>
                <w:tcMar>
                  <w:left w:w="28" w:type="dxa"/>
                  <w:right w:w="28" w:type="dxa"/>
                </w:tcMar>
              </w:tcPr>
              <w:p>
                <w:pPr>
                  <w:jc w:val="center"/>
                  <w:rPr>
                    <w:iCs/>
                    <w:sz w:val="20"/>
                  </w:rPr>
                </w:pPr>
              </w:p>
            </w:tc>
            <w:tc>
              <w:tcPr>
                <w:tcW w:w="1134" w:type="dxa"/>
                <w:vMerge/>
                <w:tcMar>
                  <w:left w:w="28" w:type="dxa"/>
                  <w:right w:w="28" w:type="dxa"/>
                </w:tcMar>
              </w:tcPr>
              <w:p>
                <w:pPr>
                  <w:jc w:val="center"/>
                  <w:rPr>
                    <w:iCs/>
                    <w:sz w:val="18"/>
                  </w:rPr>
                </w:pPr>
              </w:p>
            </w:tc>
            <w:tc>
              <w:tcPr>
                <w:tcW w:w="1134" w:type="dxa"/>
                <w:vMerge/>
                <w:tcMar>
                  <w:left w:w="28" w:type="dxa"/>
                  <w:right w:w="28" w:type="dxa"/>
                </w:tcMar>
              </w:tcPr>
              <w:p>
                <w:pPr>
                  <w:jc w:val="center"/>
                  <w:rPr>
                    <w:iCs/>
                    <w:sz w:val="18"/>
                    <w:szCs w:val="18"/>
                  </w:rPr>
                </w:pPr>
              </w:p>
            </w:tc>
            <w:tc>
              <w:tcPr>
                <w:tcW w:w="851" w:type="dxa"/>
                <w:vMerge/>
                <w:tcMar>
                  <w:left w:w="28" w:type="dxa"/>
                  <w:right w:w="28" w:type="dxa"/>
                </w:tcMar>
              </w:tcPr>
              <w:p>
                <w:pPr>
                  <w:jc w:val="center"/>
                  <w:rPr>
                    <w:iCs/>
                    <w:color w:val="FF0000"/>
                    <w:sz w:val="18"/>
                    <w:szCs w:val="22"/>
                  </w:rPr>
                </w:pPr>
              </w:p>
            </w:tc>
            <w:tc>
              <w:tcPr>
                <w:tcW w:w="1276" w:type="dxa"/>
                <w:vMerge/>
                <w:tcMar>
                  <w:left w:w="28" w:type="dxa"/>
                  <w:right w:w="28" w:type="dxa"/>
                </w:tcMar>
              </w:tcPr>
              <w:p>
                <w:pPr>
                  <w:jc w:val="center"/>
                  <w:rPr>
                    <w:iCs/>
                    <w:color w:val="FF0000"/>
                    <w:sz w:val="18"/>
                    <w:szCs w:val="22"/>
                  </w:rPr>
                </w:pPr>
              </w:p>
            </w:tc>
            <w:tc>
              <w:tcPr>
                <w:tcW w:w="1133" w:type="dxa"/>
                <w:vMerge/>
                <w:tcMar>
                  <w:left w:w="28" w:type="dxa"/>
                  <w:right w:w="28" w:type="dxa"/>
                </w:tcMar>
              </w:tcPr>
              <w:p>
                <w:pPr>
                  <w:jc w:val="center"/>
                  <w:rPr>
                    <w:iCs/>
                    <w:color w:val="FF0000"/>
                    <w:sz w:val="18"/>
                  </w:rPr>
                </w:pPr>
              </w:p>
            </w:tc>
            <w:tc>
              <w:tcPr>
                <w:tcW w:w="1275" w:type="dxa"/>
                <w:vMerge/>
                <w:tcMar>
                  <w:left w:w="28" w:type="dxa"/>
                  <w:right w:w="28" w:type="dxa"/>
                </w:tcMar>
              </w:tcPr>
              <w:p>
                <w:pPr>
                  <w:jc w:val="center"/>
                  <w:rPr>
                    <w:iCs/>
                    <w:color w:val="FF0000"/>
                    <w:sz w:val="18"/>
                  </w:rPr>
                </w:pPr>
              </w:p>
            </w:tc>
            <w:tc>
              <w:tcPr>
                <w:tcW w:w="993" w:type="dxa"/>
                <w:vMerge/>
                <w:tcMar>
                  <w:left w:w="28" w:type="dxa"/>
                  <w:right w:w="28" w:type="dxa"/>
                </w:tcMar>
              </w:tcPr>
              <w:p>
                <w:pPr>
                  <w:jc w:val="center"/>
                  <w:rPr>
                    <w:iCs/>
                    <w:color w:val="FF0000"/>
                    <w:sz w:val="18"/>
                  </w:rPr>
                </w:pPr>
              </w:p>
            </w:tc>
            <w:tc>
              <w:tcPr>
                <w:tcW w:w="1275" w:type="dxa"/>
                <w:vMerge/>
              </w:tcPr>
              <w:p>
                <w:pPr>
                  <w:jc w:val="center"/>
                  <w:rPr>
                    <w:iCs/>
                    <w:color w:val="FF0000"/>
                    <w:sz w:val="18"/>
                  </w:rPr>
                </w:pPr>
              </w:p>
            </w:tc>
          </w:tr>
        </w:tbl>
        <w:p>
          <w:pPr>
            <w:jc w:val="center"/>
            <w:rPr>
              <w:b/>
              <w:bCs/>
              <w:szCs w:val="24"/>
            </w:rPr>
          </w:pPr>
        </w:p>
        <w:p>
          <w:pPr>
            <w:rPr>
              <w:b/>
              <w:bCs/>
              <w:szCs w:val="24"/>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trPr>
              <w:trHeight w:val="405"/>
            </w:trPr>
            <w:tc>
              <w:tcPr>
                <w:tcW w:w="4119" w:type="dxa"/>
                <w:shd w:val="clear" w:color="auto" w:fill="auto"/>
                <w:vAlign w:val="center"/>
              </w:tcPr>
              <w:p>
                <w:pPr>
                  <w:spacing w:line="276" w:lineRule="auto"/>
                  <w:jc w:val="center"/>
                  <w:rPr>
                    <w:szCs w:val="24"/>
                  </w:rPr>
                </w:pPr>
                <w:r>
                  <w:rPr>
                    <w:szCs w:val="24"/>
                  </w:rPr>
                  <w:t>Rodiklio pavadinimas</w:t>
                </w:r>
              </w:p>
            </w:tc>
            <w:tc>
              <w:tcPr>
                <w:tcW w:w="3688" w:type="dxa"/>
                <w:shd w:val="clear" w:color="auto" w:fill="auto"/>
                <w:vAlign w:val="center"/>
              </w:tcPr>
              <w:p>
                <w:pPr>
                  <w:spacing w:line="276" w:lineRule="auto"/>
                  <w:jc w:val="center"/>
                  <w:rPr>
                    <w:szCs w:val="24"/>
                  </w:rPr>
                </w:pPr>
                <w:r>
                  <w:rPr>
                    <w:szCs w:val="24"/>
                  </w:rPr>
                  <w:t>Rodiklio kodas</w:t>
                </w:r>
              </w:p>
            </w:tc>
            <w:tc>
              <w:tcPr>
                <w:tcW w:w="3109" w:type="dxa"/>
                <w:shd w:val="clear" w:color="auto" w:fill="auto"/>
                <w:vAlign w:val="center"/>
              </w:tcPr>
              <w:p>
                <w:pPr>
                  <w:spacing w:line="276" w:lineRule="auto"/>
                  <w:jc w:val="center"/>
                  <w:rPr>
                    <w:szCs w:val="24"/>
                  </w:rPr>
                </w:pPr>
                <w:r>
                  <w:rPr>
                    <w:szCs w:val="24"/>
                  </w:rPr>
                  <w:t>Matavimo vienetai</w:t>
                </w:r>
              </w:p>
            </w:tc>
            <w:tc>
              <w:tcPr>
                <w:tcW w:w="3969" w:type="dxa"/>
              </w:tcPr>
              <w:p>
                <w:pPr>
                  <w:spacing w:line="276" w:lineRule="auto"/>
                  <w:jc w:val="center"/>
                  <w:rPr>
                    <w:szCs w:val="24"/>
                  </w:rPr>
                </w:pPr>
                <w:r>
                  <w:rPr>
                    <w:szCs w:val="24"/>
                  </w:rPr>
                  <w:t>Siektina reikšmė</w:t>
                </w:r>
              </w:p>
            </w:tc>
          </w:tr>
          <w:tr>
            <w:trPr>
              <w:trHeight w:val="725"/>
            </w:trPr>
            <w:tc>
              <w:tcPr>
                <w:tcW w:w="4119" w:type="dxa"/>
              </w:tcPr>
              <w:p>
                <w:pPr>
                  <w:spacing w:line="276" w:lineRule="auto"/>
                  <w:jc w:val="center"/>
                  <w:rPr>
                    <w:i/>
                    <w:iCs/>
                    <w:color w:val="FF0000"/>
                    <w:szCs w:val="24"/>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3688" w:type="dxa"/>
                <w:vAlign w:val="center"/>
              </w:tcPr>
              <w:p>
                <w:pPr>
                  <w:spacing w:line="276" w:lineRule="auto"/>
                  <w:jc w:val="center"/>
                  <w:rPr>
                    <w:color w:val="FF0000"/>
                    <w:szCs w:val="24"/>
                  </w:rPr>
                </w:pPr>
                <w:r>
                  <w:t>P.B.2.2069</w:t>
                </w:r>
              </w:p>
              <w:p>
                <w:pPr>
                  <w:spacing w:line="276" w:lineRule="auto"/>
                  <w:jc w:val="center"/>
                  <w:rPr>
                    <w:color w:val="FF0000"/>
                    <w:szCs w:val="24"/>
                  </w:rPr>
                </w:pPr>
                <w:r>
                  <w:t>P-11-002-02-11-01-31</w:t>
                </w:r>
              </w:p>
            </w:tc>
            <w:tc>
              <w:tcPr>
                <w:tcW w:w="3109" w:type="dxa"/>
                <w:vAlign w:val="center"/>
              </w:tcPr>
              <w:p>
                <w:pPr>
                  <w:spacing w:line="276" w:lineRule="auto"/>
                  <w:jc w:val="center"/>
                  <w:rPr>
                    <w:i/>
                    <w:iCs/>
                    <w:color w:val="FF0000"/>
                    <w:szCs w:val="24"/>
                  </w:rPr>
                </w:pPr>
                <w:r>
                  <w:rPr>
                    <w:i/>
                    <w:iCs/>
                    <w:sz w:val="22"/>
                    <w:szCs w:val="22"/>
                  </w:rPr>
                  <w:t>Asmenys per metus</w:t>
                </w:r>
              </w:p>
            </w:tc>
            <w:tc>
              <w:tcPr>
                <w:tcW w:w="3969" w:type="dxa"/>
              </w:tcPr>
              <w:p>
                <w:pPr>
                  <w:spacing w:line="276" w:lineRule="auto"/>
                  <w:ind w:right="-234"/>
                  <w:jc w:val="center"/>
                  <w:rPr>
                    <w:sz w:val="20"/>
                  </w:rPr>
                </w:pPr>
                <w:r>
                  <w:rPr>
                    <w:sz w:val="20"/>
                  </w:rPr>
                  <w:t xml:space="preserve">420 </w:t>
                </w:r>
              </w:p>
              <w:p>
                <w:pPr>
                  <w:spacing w:line="276" w:lineRule="auto"/>
                  <w:ind w:right="-234"/>
                  <w:jc w:val="center"/>
                  <w:rPr>
                    <w:sz w:val="20"/>
                  </w:rPr>
                </w:pPr>
                <w:r>
                  <w:rPr>
                    <w:sz w:val="20"/>
                  </w:rPr>
                  <w:t>(2029 m.)</w:t>
                </w:r>
              </w:p>
            </w:tc>
          </w:tr>
          <w:tr>
            <w:trPr>
              <w:trHeight w:val="725"/>
            </w:trPr>
            <w:tc>
              <w:tcPr>
                <w:tcW w:w="4119" w:type="dxa"/>
              </w:tcPr>
              <w:p>
                <w:pPr>
                  <w:spacing w:line="276" w:lineRule="auto"/>
                  <w:jc w:val="center"/>
                  <w:rPr>
                    <w:color w:val="FF0000"/>
                    <w:szCs w:val="24"/>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3688" w:type="dxa"/>
                <w:vAlign w:val="center"/>
              </w:tcPr>
              <w:p>
                <w:pPr>
                  <w:spacing w:line="276" w:lineRule="auto"/>
                  <w:jc w:val="center"/>
                </w:pPr>
                <w:r>
                  <w:t>R.B.2.2073</w:t>
                </w:r>
              </w:p>
              <w:p>
                <w:pPr>
                  <w:spacing w:line="276" w:lineRule="auto"/>
                  <w:jc w:val="center"/>
                  <w:rPr>
                    <w:color w:val="FF0000"/>
                    <w:szCs w:val="24"/>
                  </w:rPr>
                </w:pPr>
                <w:r>
                  <w:t>R-11-002-02-11-01-28</w:t>
                </w:r>
              </w:p>
            </w:tc>
            <w:tc>
              <w:tcPr>
                <w:tcW w:w="3109" w:type="dxa"/>
                <w:vAlign w:val="center"/>
              </w:tcPr>
              <w:p>
                <w:pPr>
                  <w:spacing w:line="276" w:lineRule="auto"/>
                  <w:jc w:val="center"/>
                  <w:rPr>
                    <w:color w:val="FF0000"/>
                    <w:szCs w:val="24"/>
                  </w:rPr>
                </w:pPr>
                <w:r>
                  <w:rPr>
                    <w:i/>
                    <w:iCs/>
                    <w:sz w:val="22"/>
                    <w:szCs w:val="22"/>
                  </w:rPr>
                  <w:t>Naudotojai per metus</w:t>
                </w:r>
              </w:p>
            </w:tc>
            <w:tc>
              <w:tcPr>
                <w:tcW w:w="3969" w:type="dxa"/>
              </w:tcPr>
              <w:p>
                <w:pPr>
                  <w:spacing w:line="276" w:lineRule="auto"/>
                  <w:jc w:val="center"/>
                  <w:rPr>
                    <w:sz w:val="20"/>
                  </w:rPr>
                </w:pPr>
                <w:r>
                  <w:rPr>
                    <w:sz w:val="20"/>
                  </w:rPr>
                  <w:t xml:space="preserve">280 </w:t>
                </w:r>
              </w:p>
              <w:p>
                <w:pPr>
                  <w:spacing w:line="276" w:lineRule="auto"/>
                  <w:jc w:val="center"/>
                  <w:rPr>
                    <w:color w:val="FF0000"/>
                    <w:szCs w:val="24"/>
                  </w:rPr>
                </w:pPr>
                <w:r>
                  <w:rPr>
                    <w:sz w:val="20"/>
                  </w:rPr>
                  <w:t>(2029 m.)</w:t>
                </w:r>
              </w:p>
            </w:tc>
          </w:tr>
        </w:tbl>
        <w:p>
          <w:pPr>
            <w:ind w:left="-284" w:right="111"/>
            <w:jc w:val="both"/>
            <w:rPr>
              <w:strike/>
              <w:szCs w:val="24"/>
            </w:rPr>
          </w:pPr>
        </w:p>
        <w:tbl>
          <w:tblPr>
            <w:tblW w:w="1488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trPr>
              <w:trHeight w:val="298"/>
            </w:trPr>
            <w:tc>
              <w:tcPr>
                <w:tcW w:w="14884" w:type="dxa"/>
              </w:tcPr>
              <w:p>
                <w:pPr>
                  <w:jc w:val="both"/>
                  <w:rPr>
                    <w:szCs w:val="24"/>
                  </w:rPr>
                </w:pPr>
                <w:r>
                  <w:rPr>
                    <w:szCs w:val="24"/>
                  </w:rPr>
                  <w:t xml:space="preserve">Lietuvos Respublikos sveikatos apsaugos ministerijos (toliau –  Ministerija) stebėsenos rodiklių aprašymo kortelės</w:t>
                </w:r>
              </w:p>
            </w:tc>
          </w:tr>
          <w:tr>
            <w:trPr>
              <w:trHeight w:val="315"/>
            </w:trPr>
            <w:tc>
              <w:tcPr>
                <w:tcW w:w="14884" w:type="dxa"/>
              </w:tcPr>
              <w:p>
                <w:pPr>
                  <w:ind w:right="37"/>
                  <w:jc w:val="both"/>
                  <w:rPr>
                    <w:szCs w:val="24"/>
                  </w:rPr>
                </w:pPr>
                <w:r>
                  <w:rPr>
                    <w:bCs/>
                    <w:szCs w:val="24"/>
                  </w:rPr>
                  <w:t>Stebėsenos</w:t>
                </w:r>
                <w:r>
                  <w:rPr>
                    <w:szCs w:val="24"/>
                  </w:rPr>
                  <w:t xml:space="preserve"> rodiklio aprašymo kortelės skelbiamos Ministerijos interneto svetainėje </w:t>
                </w:r>
                <w:r>
                  <w:rPr>
                    <w:iCs/>
                    <w:szCs w:val="24"/>
                  </w:rPr>
                  <w:t>https://sam.lrv.lt/lt/administracine-informacija/planavimo-dokumentai/pletros-programos/sveikatos-prieziuros-kokybes-ir-efektyvumo-didinimo-pletros-programa</w:t>
                </w:r>
              </w:p>
            </w:tc>
          </w:tr>
        </w:tbl>
        <w:p>
          <w:pPr>
            <w:ind w:right="111"/>
            <w:jc w:val="both"/>
            <w:rPr>
              <w:strike/>
              <w:szCs w:val="24"/>
              <w:lang w:eastAsia="lt-LT"/>
            </w:rPr>
          </w:pPr>
        </w:p>
        <w:p>
          <w:pPr>
            <w:spacing w:line="276" w:lineRule="auto"/>
            <w:ind w:right="111"/>
            <w:jc w:val="both"/>
            <w:rPr>
              <w:sz w:val="22"/>
              <w:szCs w:val="22"/>
            </w:rPr>
          </w:pPr>
        </w:p>
        <w:tbl>
          <w:tblPr>
            <w:tblW w:w="1504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992"/>
            <w:gridCol w:w="993"/>
            <w:gridCol w:w="1134"/>
            <w:gridCol w:w="992"/>
            <w:gridCol w:w="1458"/>
            <w:gridCol w:w="1344"/>
            <w:gridCol w:w="1080"/>
            <w:gridCol w:w="1362"/>
            <w:gridCol w:w="1052"/>
            <w:gridCol w:w="1132"/>
            <w:gridCol w:w="759"/>
            <w:gridCol w:w="1187"/>
          </w:tblGrid>
          <w:tr>
            <w:tc>
              <w:tcPr>
                <w:tcW w:w="15045" w:type="dxa"/>
                <w:gridSpan w:val="13"/>
              </w:tcPr>
              <w:p>
                <w:pPr>
                  <w:jc w:val="center"/>
                  <w:rPr>
                    <w:b/>
                    <w:sz w:val="22"/>
                    <w:szCs w:val="22"/>
                  </w:rPr>
                </w:pPr>
                <w:r>
                  <w:rPr>
                    <w:b/>
                    <w:sz w:val="22"/>
                    <w:szCs w:val="22"/>
                  </w:rPr>
                  <w:t>VEIKLOS AR POVEIKLĖS, KURIOMS NUSTATOMOS PROJEKTŲ FINANSAVIMO SĄLYGOS</w:t>
                </w:r>
              </w:p>
            </w:tc>
          </w:tr>
          <w:tr>
            <w:tc>
              <w:tcPr>
                <w:tcW w:w="1560" w:type="dxa"/>
                <w:vAlign w:val="center"/>
              </w:tcPr>
              <w:p>
                <w:pPr>
                  <w:jc w:val="center"/>
                  <w:rPr>
                    <w:b/>
                    <w:sz w:val="20"/>
                    <w:szCs w:val="22"/>
                  </w:rPr>
                </w:pPr>
                <w:r>
                  <w:rPr>
                    <w:b/>
                    <w:sz w:val="20"/>
                    <w:szCs w:val="22"/>
                  </w:rPr>
                  <w:t>Veiklos ar poveiklės pavadinimas</w:t>
                </w:r>
              </w:p>
            </w:tc>
            <w:tc>
              <w:tcPr>
                <w:tcW w:w="992" w:type="dxa"/>
                <w:vAlign w:val="center"/>
              </w:tcPr>
              <w:p>
                <w:pPr>
                  <w:jc w:val="center"/>
                  <w:rPr>
                    <w:b/>
                    <w:sz w:val="20"/>
                    <w:szCs w:val="22"/>
                  </w:rPr>
                </w:pPr>
                <w:r>
                  <w:rPr>
                    <w:b/>
                    <w:sz w:val="20"/>
                    <w:szCs w:val="22"/>
                  </w:rPr>
                  <w:t>Finan-</w:t>
                </w:r>
              </w:p>
              <w:p>
                <w:pPr>
                  <w:jc w:val="center"/>
                  <w:rPr>
                    <w:b/>
                    <w:sz w:val="20"/>
                    <w:szCs w:val="22"/>
                  </w:rPr>
                </w:pPr>
                <w:r>
                  <w:rPr>
                    <w:b/>
                    <w:sz w:val="20"/>
                    <w:szCs w:val="22"/>
                  </w:rPr>
                  <w:t>savimo šaltinis</w:t>
                </w:r>
              </w:p>
            </w:tc>
            <w:tc>
              <w:tcPr>
                <w:tcW w:w="993"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992" w:type="dxa"/>
                <w:vAlign w:val="center"/>
              </w:tcPr>
              <w:p>
                <w:pPr>
                  <w:jc w:val="center"/>
                  <w:rPr>
                    <w:b/>
                    <w:sz w:val="20"/>
                    <w:szCs w:val="22"/>
                  </w:rPr>
                </w:pPr>
                <w:r>
                  <w:rPr>
                    <w:b/>
                    <w:bCs/>
                    <w:sz w:val="20"/>
                    <w:szCs w:val="22"/>
                  </w:rPr>
                  <w:t>Veikla ar paprie-monė</w:t>
                </w:r>
              </w:p>
            </w:tc>
            <w:tc>
              <w:tcPr>
                <w:tcW w:w="1458" w:type="dxa"/>
                <w:vAlign w:val="center"/>
              </w:tcPr>
              <w:p>
                <w:pPr>
                  <w:jc w:val="center"/>
                  <w:rPr>
                    <w:b/>
                    <w:sz w:val="20"/>
                    <w:szCs w:val="22"/>
                  </w:rPr>
                </w:pPr>
                <w:r>
                  <w:rPr>
                    <w:b/>
                    <w:sz w:val="20"/>
                    <w:szCs w:val="22"/>
                  </w:rPr>
                  <w:t>Intervencinės priemonės kodas</w:t>
                </w:r>
              </w:p>
            </w:tc>
            <w:tc>
              <w:tcPr>
                <w:tcW w:w="1344" w:type="dxa"/>
                <w:vAlign w:val="center"/>
              </w:tcPr>
              <w:p>
                <w:pPr>
                  <w:jc w:val="center"/>
                  <w:rPr>
                    <w:b/>
                    <w:bCs/>
                    <w:sz w:val="20"/>
                    <w:szCs w:val="22"/>
                  </w:rPr>
                </w:pPr>
                <w:r>
                  <w:rPr>
                    <w:b/>
                    <w:sz w:val="20"/>
                  </w:rPr>
                  <w:t>Regionas, kuriam priskiriama veikla ar poveikė</w:t>
                </w:r>
              </w:p>
            </w:tc>
            <w:tc>
              <w:tcPr>
                <w:tcW w:w="1080" w:type="dxa"/>
                <w:vAlign w:val="center"/>
              </w:tcPr>
              <w:p>
                <w:pPr>
                  <w:jc w:val="center"/>
                  <w:rPr>
                    <w:b/>
                    <w:sz w:val="20"/>
                    <w:szCs w:val="22"/>
                  </w:rPr>
                </w:pPr>
                <w:r>
                  <w:rPr>
                    <w:b/>
                    <w:bCs/>
                    <w:sz w:val="20"/>
                    <w:szCs w:val="22"/>
                  </w:rPr>
                  <w:t>Paramos formos kodas</w:t>
                </w:r>
              </w:p>
            </w:tc>
            <w:tc>
              <w:tcPr>
                <w:tcW w:w="1362" w:type="dxa"/>
                <w:vAlign w:val="center"/>
              </w:tcPr>
              <w:p>
                <w:pPr>
                  <w:jc w:val="center"/>
                  <w:rPr>
                    <w:b/>
                    <w:sz w:val="20"/>
                    <w:szCs w:val="22"/>
                  </w:rPr>
                </w:pPr>
                <w:r>
                  <w:rPr>
                    <w:b/>
                    <w:bCs/>
                    <w:sz w:val="20"/>
                    <w:szCs w:val="22"/>
                  </w:rPr>
                  <w:t>Pagrindinės teritorinės srities kodas (-ai)</w:t>
                </w:r>
              </w:p>
            </w:tc>
            <w:tc>
              <w:tcPr>
                <w:tcW w:w="1052" w:type="dxa"/>
                <w:vAlign w:val="center"/>
              </w:tcPr>
              <w:p>
                <w:pPr>
                  <w:jc w:val="center"/>
                  <w:rPr>
                    <w:b/>
                    <w:sz w:val="20"/>
                    <w:szCs w:val="22"/>
                  </w:rPr>
                </w:pPr>
                <w:r>
                  <w:rPr>
                    <w:b/>
                    <w:bCs/>
                    <w:sz w:val="20"/>
                    <w:szCs w:val="22"/>
                  </w:rPr>
                  <w:t xml:space="preserve">Ekonom-inės veiklos kodas     (-ai)</w:t>
                </w:r>
              </w:p>
            </w:tc>
            <w:tc>
              <w:tcPr>
                <w:tcW w:w="1132" w:type="dxa"/>
                <w:vAlign w:val="center"/>
              </w:tcPr>
              <w:p>
                <w:pPr>
                  <w:jc w:val="center"/>
                  <w:rPr>
                    <w:b/>
                    <w:bCs/>
                    <w:sz w:val="20"/>
                    <w:szCs w:val="22"/>
                  </w:rPr>
                </w:pPr>
                <w:r>
                  <w:rPr>
                    <w:b/>
                    <w:bCs/>
                    <w:sz w:val="20"/>
                    <w:szCs w:val="22"/>
                  </w:rPr>
                  <w:t>„Europos socialinio fondo +“ (toliau – ESF+) antrinių temų kodai</w:t>
                </w:r>
              </w:p>
            </w:tc>
            <w:tc>
              <w:tcPr>
                <w:tcW w:w="759" w:type="dxa"/>
                <w:vAlign w:val="center"/>
              </w:tcPr>
              <w:p>
                <w:pPr>
                  <w:jc w:val="center"/>
                  <w:rPr>
                    <w:b/>
                    <w:bCs/>
                    <w:sz w:val="20"/>
                    <w:szCs w:val="22"/>
                  </w:rPr>
                </w:pPr>
                <w:r>
                  <w:rPr>
                    <w:b/>
                    <w:bCs/>
                    <w:sz w:val="20"/>
                    <w:szCs w:val="22"/>
                  </w:rPr>
                  <w:t>Lyčių lygy-bės mat-mens kodas</w:t>
                </w:r>
              </w:p>
            </w:tc>
            <w:tc>
              <w:tcPr>
                <w:tcW w:w="1187" w:type="dxa"/>
              </w:tcPr>
              <w:p>
                <w:pPr>
                  <w:jc w:val="center"/>
                  <w:rPr>
                    <w:b/>
                    <w:sz w:val="20"/>
                  </w:rPr>
                </w:pPr>
                <w:r>
                  <w:rPr>
                    <w:b/>
                    <w:sz w:val="20"/>
                  </w:rPr>
                  <w:t>Nepanau-dotos Ekonomi-kos gaivinimo ir atsparumo didinimo priemonės lėšos</w:t>
                </w:r>
              </w:p>
              <w:p>
                <w:pPr>
                  <w:jc w:val="center"/>
                  <w:rPr>
                    <w:b/>
                    <w:bCs/>
                    <w:sz w:val="20"/>
                    <w:szCs w:val="22"/>
                    <w:highlight w:val="yellow"/>
                  </w:rPr>
                </w:pPr>
                <w:r>
                  <w:rPr>
                    <w:b/>
                    <w:sz w:val="20"/>
                  </w:rPr>
                  <w:t>(Taip / Ne)</w:t>
                </w:r>
              </w:p>
            </w:tc>
          </w:tr>
          <w:tr>
            <w:trPr>
              <w:trHeight w:val="278"/>
            </w:trPr>
            <w:tc>
              <w:tcPr>
                <w:tcW w:w="1560" w:type="dxa"/>
                <w:vMerge w:val="restart"/>
                <w:tcMar>
                  <w:left w:w="28" w:type="dxa"/>
                  <w:right w:w="28" w:type="dxa"/>
                </w:tcMar>
              </w:tcPr>
              <w:p>
                <w:pPr>
                  <w:jc w:val="center"/>
                  <w:rPr>
                    <w:iCs/>
                    <w:sz w:val="20"/>
                  </w:rPr>
                </w:pPr>
                <w:r>
                  <w:rPr>
                    <w:iCs/>
                    <w:sz w:val="20"/>
                  </w:rPr>
                  <w:t>7.2. Ambulatorinių psichikos sveikatos paslaugų ir psichosocialinės reabilitacijos plėtrai reikalingos infrastruktūros įrengimas, Vidurio ir vakarų Lietuvos regionas</w:t>
                </w:r>
              </w:p>
            </w:tc>
            <w:tc>
              <w:tcPr>
                <w:tcW w:w="992" w:type="dxa"/>
                <w:tcMar>
                  <w:left w:w="28" w:type="dxa"/>
                  <w:right w:w="28" w:type="dxa"/>
                </w:tcMar>
              </w:tcPr>
              <w:p>
                <w:pPr>
                  <w:jc w:val="center"/>
                  <w:rPr>
                    <w:sz w:val="20"/>
                  </w:rPr>
                </w:pPr>
                <w:r>
                  <w:rPr>
                    <w:iCs/>
                    <w:sz w:val="20"/>
                  </w:rPr>
                  <w:t>ES fondų lėšos</w:t>
                </w:r>
              </w:p>
              <w:p>
                <w:pPr>
                  <w:jc w:val="center"/>
                  <w:rPr>
                    <w:iCs/>
                    <w:sz w:val="20"/>
                  </w:rPr>
                </w:pPr>
              </w:p>
            </w:tc>
            <w:tc>
              <w:tcPr>
                <w:tcW w:w="993" w:type="dxa"/>
                <w:vMerge w:val="restart"/>
                <w:tcMar>
                  <w:left w:w="28" w:type="dxa"/>
                  <w:right w:w="28" w:type="dxa"/>
                </w:tcMar>
              </w:tcPr>
              <w:p>
                <w:pPr>
                  <w:jc w:val="center"/>
                  <w:rPr>
                    <w:iCs/>
                    <w:sz w:val="20"/>
                  </w:rPr>
                </w:pPr>
                <w:r>
                  <w:rPr>
                    <w:iCs/>
                    <w:sz w:val="20"/>
                  </w:rPr>
                  <w:t>4</w:t>
                </w:r>
              </w:p>
              <w:p>
                <w:pPr>
                  <w:jc w:val="center"/>
                  <w:rPr>
                    <w:iCs/>
                    <w:sz w:val="20"/>
                  </w:rPr>
                </w:pPr>
              </w:p>
            </w:tc>
            <w:tc>
              <w:tcPr>
                <w:tcW w:w="1134" w:type="dxa"/>
                <w:vMerge w:val="restart"/>
                <w:tcMar>
                  <w:left w:w="28" w:type="dxa"/>
                  <w:right w:w="28" w:type="dxa"/>
                </w:tcMar>
              </w:tcPr>
              <w:p>
                <w:pPr>
                  <w:jc w:val="center"/>
                  <w:rPr>
                    <w:iCs/>
                    <w:sz w:val="20"/>
                  </w:rPr>
                </w:pPr>
                <w:r>
                  <w:rPr>
                    <w:iCs/>
                    <w:sz w:val="20"/>
                  </w:rPr>
                  <w:t>4.10</w:t>
                </w:r>
              </w:p>
              <w:p>
                <w:pPr>
                  <w:jc w:val="center"/>
                  <w:rPr>
                    <w:iCs/>
                    <w:sz w:val="20"/>
                  </w:rPr>
                </w:pPr>
              </w:p>
            </w:tc>
            <w:tc>
              <w:tcPr>
                <w:tcW w:w="992" w:type="dxa"/>
                <w:vMerge w:val="restart"/>
                <w:tcMar>
                  <w:left w:w="28" w:type="dxa"/>
                  <w:right w:w="28" w:type="dxa"/>
                </w:tcMar>
              </w:tcPr>
              <w:p>
                <w:pPr>
                  <w:jc w:val="center"/>
                  <w:rPr>
                    <w:iCs/>
                    <w:sz w:val="20"/>
                  </w:rPr>
                </w:pPr>
                <w:r>
                  <w:rPr>
                    <w:iCs/>
                    <w:sz w:val="20"/>
                  </w:rPr>
                  <w:t>4.10.3</w:t>
                </w:r>
              </w:p>
              <w:p>
                <w:pPr>
                  <w:jc w:val="center"/>
                  <w:rPr>
                    <w:iCs/>
                    <w:sz w:val="20"/>
                  </w:rPr>
                </w:pPr>
                <w:r>
                  <w:rPr>
                    <w:rFonts w:eastAsia="Calibri"/>
                    <w:sz w:val="20"/>
                  </w:rPr>
                  <w:t>Gerinti aukštos kokybės speciali-zuotos sveikatos priežiūros prieina-mumą</w:t>
                </w:r>
              </w:p>
            </w:tc>
            <w:tc>
              <w:tcPr>
                <w:tcW w:w="1458" w:type="dxa"/>
                <w:vMerge w:val="restart"/>
                <w:tcMar>
                  <w:left w:w="28" w:type="dxa"/>
                  <w:right w:w="28" w:type="dxa"/>
                </w:tcMar>
              </w:tcPr>
              <w:p>
                <w:pPr>
                  <w:jc w:val="center"/>
                  <w:rPr>
                    <w:bCs/>
                    <w:sz w:val="20"/>
                  </w:rPr>
                </w:pPr>
                <w:r>
                  <w:rPr>
                    <w:bCs/>
                    <w:sz w:val="20"/>
                  </w:rPr>
                  <w:t>128</w:t>
                </w:r>
              </w:p>
              <w:p>
                <w:pPr>
                  <w:jc w:val="center"/>
                  <w:rPr>
                    <w:bCs/>
                    <w:iCs/>
                    <w:sz w:val="20"/>
                  </w:rPr>
                </w:pPr>
                <w:r>
                  <w:rPr>
                    <w:iCs/>
                    <w:sz w:val="20"/>
                  </w:rPr>
                  <w:t>Sveikatos infrastruktūra</w:t>
                </w:r>
              </w:p>
            </w:tc>
            <w:tc>
              <w:tcPr>
                <w:tcW w:w="1344" w:type="dxa"/>
                <w:vMerge w:val="restart"/>
                <w:tcMar>
                  <w:left w:w="28" w:type="dxa"/>
                  <w:right w:w="28" w:type="dxa"/>
                </w:tcMar>
              </w:tcPr>
              <w:p>
                <w:pPr>
                  <w:jc w:val="center"/>
                  <w:rPr>
                    <w:iCs/>
                    <w:sz w:val="20"/>
                  </w:rPr>
                </w:pPr>
                <w:r>
                  <w:rPr>
                    <w:iCs/>
                    <w:sz w:val="20"/>
                  </w:rPr>
                  <w:t>Vidurio ir vakarų Lietuvos regionas</w:t>
                </w:r>
              </w:p>
              <w:p>
                <w:pPr>
                  <w:jc w:val="center"/>
                  <w:rPr>
                    <w:iCs/>
                    <w:sz w:val="18"/>
                    <w:szCs w:val="18"/>
                  </w:rPr>
                </w:pPr>
              </w:p>
            </w:tc>
            <w:tc>
              <w:tcPr>
                <w:tcW w:w="1080" w:type="dxa"/>
                <w:vMerge w:val="restart"/>
                <w:tcMar>
                  <w:left w:w="28" w:type="dxa"/>
                  <w:right w:w="28" w:type="dxa"/>
                </w:tcMar>
              </w:tcPr>
              <w:p>
                <w:pPr>
                  <w:jc w:val="center"/>
                  <w:rPr>
                    <w:iCs/>
                    <w:color w:val="000000"/>
                    <w:sz w:val="20"/>
                  </w:rPr>
                </w:pPr>
                <w:r>
                  <w:rPr>
                    <w:iCs/>
                    <w:color w:val="000000"/>
                    <w:sz w:val="20"/>
                  </w:rPr>
                  <w:t>01</w:t>
                </w:r>
              </w:p>
              <w:p>
                <w:pPr>
                  <w:jc w:val="center"/>
                  <w:rPr>
                    <w:iCs/>
                    <w:color w:val="000000"/>
                    <w:sz w:val="18"/>
                    <w:szCs w:val="22"/>
                  </w:rPr>
                </w:pPr>
                <w:r>
                  <w:rPr>
                    <w:iCs/>
                    <w:sz w:val="20"/>
                  </w:rPr>
                  <w:t>Dotacija</w:t>
                </w:r>
              </w:p>
            </w:tc>
            <w:tc>
              <w:tcPr>
                <w:tcW w:w="1362" w:type="dxa"/>
                <w:vMerge w:val="restart"/>
                <w:tcMar>
                  <w:left w:w="28" w:type="dxa"/>
                  <w:right w:w="28" w:type="dxa"/>
                </w:tcMar>
              </w:tcPr>
              <w:p>
                <w:pPr>
                  <w:jc w:val="center"/>
                  <w:rPr>
                    <w:iCs/>
                    <w:color w:val="000000"/>
                    <w:sz w:val="20"/>
                  </w:rPr>
                </w:pPr>
                <w:r>
                  <w:rPr>
                    <w:iCs/>
                    <w:color w:val="000000"/>
                    <w:sz w:val="20"/>
                  </w:rPr>
                  <w:t>33</w:t>
                </w:r>
              </w:p>
              <w:p>
                <w:pPr>
                  <w:jc w:val="center"/>
                  <w:rPr>
                    <w:iCs/>
                    <w:color w:val="000000"/>
                    <w:sz w:val="18"/>
                    <w:szCs w:val="22"/>
                  </w:rPr>
                </w:pPr>
                <w:r>
                  <w:rPr>
                    <w:iCs/>
                    <w:sz w:val="20"/>
                  </w:rPr>
                  <w:t>Nesiorientuo-jant į teritoriškumą</w:t>
                </w:r>
              </w:p>
            </w:tc>
            <w:tc>
              <w:tcPr>
                <w:tcW w:w="1052" w:type="dxa"/>
                <w:vMerge w:val="restart"/>
                <w:tcMar>
                  <w:left w:w="28" w:type="dxa"/>
                  <w:right w:w="28" w:type="dxa"/>
                </w:tcMar>
              </w:tcPr>
              <w:p>
                <w:pPr>
                  <w:jc w:val="center"/>
                  <w:rPr>
                    <w:iCs/>
                    <w:color w:val="000000"/>
                    <w:sz w:val="20"/>
                  </w:rPr>
                </w:pPr>
                <w:r>
                  <w:rPr>
                    <w:iCs/>
                    <w:color w:val="000000"/>
                    <w:sz w:val="20"/>
                  </w:rPr>
                  <w:t>22</w:t>
                </w:r>
              </w:p>
              <w:p>
                <w:pPr>
                  <w:jc w:val="center"/>
                  <w:rPr>
                    <w:iCs/>
                    <w:color w:val="FF0000"/>
                    <w:sz w:val="18"/>
                  </w:rPr>
                </w:pPr>
                <w:r>
                  <w:rPr>
                    <w:color w:val="000000"/>
                    <w:sz w:val="20"/>
                  </w:rPr>
                  <w:t>Žmonių sveikatos priežiūros veikla</w:t>
                </w:r>
              </w:p>
            </w:tc>
            <w:tc>
              <w:tcPr>
                <w:tcW w:w="1132" w:type="dxa"/>
                <w:vMerge w:val="restart"/>
                <w:tcMar>
                  <w:left w:w="28" w:type="dxa"/>
                  <w:right w:w="28" w:type="dxa"/>
                </w:tcMar>
              </w:tcPr>
              <w:p>
                <w:pPr>
                  <w:jc w:val="center"/>
                  <w:rPr>
                    <w:iCs/>
                    <w:color w:val="000000"/>
                    <w:sz w:val="18"/>
                  </w:rPr>
                </w:pPr>
                <w:r>
                  <w:rPr>
                    <w:iCs/>
                    <w:color w:val="000000"/>
                    <w:sz w:val="20"/>
                  </w:rPr>
                  <w:t>-</w:t>
                </w:r>
              </w:p>
            </w:tc>
            <w:tc>
              <w:tcPr>
                <w:tcW w:w="759" w:type="dxa"/>
                <w:vMerge w:val="restart"/>
                <w:tcMar>
                  <w:left w:w="28" w:type="dxa"/>
                  <w:right w:w="28" w:type="dxa"/>
                </w:tcMar>
              </w:tcPr>
              <w:p>
                <w:pPr>
                  <w:jc w:val="center"/>
                  <w:rPr>
                    <w:iCs/>
                    <w:color w:val="000000"/>
                    <w:sz w:val="20"/>
                  </w:rPr>
                </w:pPr>
                <w:r>
                  <w:rPr>
                    <w:iCs/>
                    <w:color w:val="000000"/>
                    <w:sz w:val="20"/>
                  </w:rPr>
                  <w:t>03</w:t>
                </w:r>
              </w:p>
              <w:p>
                <w:pPr>
                  <w:jc w:val="center"/>
                  <w:rPr>
                    <w:iCs/>
                    <w:color w:val="000000"/>
                    <w:sz w:val="18"/>
                    <w:lang w:val="en-US"/>
                  </w:rPr>
                </w:pPr>
                <w:r>
                  <w:rPr>
                    <w:iCs/>
                    <w:sz w:val="20"/>
                  </w:rPr>
                  <w:t>Neutra-lumas lyties požiūriu</w:t>
                </w:r>
              </w:p>
            </w:tc>
            <w:tc>
              <w:tcPr>
                <w:tcW w:w="1187" w:type="dxa"/>
                <w:vMerge w:val="restart"/>
              </w:tcPr>
              <w:p>
                <w:pPr>
                  <w:jc w:val="center"/>
                  <w:rPr>
                    <w:iCs/>
                    <w:color w:val="000000"/>
                    <w:sz w:val="20"/>
                  </w:rPr>
                </w:pPr>
                <w:r>
                  <w:rPr>
                    <w:iCs/>
                    <w:color w:val="000000"/>
                    <w:sz w:val="20"/>
                  </w:rPr>
                  <w:t>-</w:t>
                </w:r>
              </w:p>
              <w:p>
                <w:pPr>
                  <w:jc w:val="center"/>
                  <w:rPr>
                    <w:iCs/>
                    <w:color w:val="000000"/>
                    <w:sz w:val="20"/>
                  </w:rPr>
                </w:pPr>
              </w:p>
              <w:p>
                <w:pPr>
                  <w:jc w:val="center"/>
                  <w:rPr>
                    <w:iCs/>
                    <w:color w:val="000000"/>
                    <w:sz w:val="20"/>
                  </w:rPr>
                </w:pPr>
              </w:p>
              <w:p>
                <w:pPr>
                  <w:jc w:val="center"/>
                  <w:rPr>
                    <w:iCs/>
                    <w:color w:val="000000"/>
                    <w:sz w:val="20"/>
                  </w:rPr>
                </w:pPr>
              </w:p>
              <w:p>
                <w:pPr>
                  <w:jc w:val="center"/>
                  <w:rPr>
                    <w:iCs/>
                    <w:color w:val="000000"/>
                    <w:sz w:val="20"/>
                  </w:rPr>
                </w:pPr>
              </w:p>
              <w:p>
                <w:pPr>
                  <w:jc w:val="center"/>
                  <w:rPr>
                    <w:iCs/>
                    <w:color w:val="000000"/>
                    <w:sz w:val="20"/>
                  </w:rPr>
                </w:pPr>
              </w:p>
              <w:p>
                <w:pPr>
                  <w:jc w:val="center"/>
                  <w:rPr>
                    <w:iCs/>
                    <w:color w:val="000000"/>
                    <w:sz w:val="20"/>
                  </w:rPr>
                </w:pPr>
              </w:p>
            </w:tc>
          </w:tr>
          <w:tr>
            <w:trPr>
              <w:trHeight w:val="278"/>
            </w:trPr>
            <w:tc>
              <w:tcPr>
                <w:tcW w:w="1560" w:type="dxa"/>
                <w:vMerge/>
                <w:tcMar>
                  <w:left w:w="28" w:type="dxa"/>
                  <w:right w:w="28" w:type="dxa"/>
                </w:tcMar>
              </w:tcPr>
              <w:p>
                <w:pPr>
                  <w:jc w:val="center"/>
                  <w:rPr>
                    <w:iCs/>
                    <w:sz w:val="20"/>
                  </w:rPr>
                </w:pPr>
              </w:p>
            </w:tc>
            <w:tc>
              <w:tcPr>
                <w:tcW w:w="992" w:type="dxa"/>
                <w:tcMar>
                  <w:left w:w="28" w:type="dxa"/>
                  <w:right w:w="28" w:type="dxa"/>
                </w:tcMar>
              </w:tcPr>
              <w:p>
                <w:pPr>
                  <w:jc w:val="center"/>
                  <w:rPr>
                    <w:sz w:val="20"/>
                  </w:rPr>
                </w:pPr>
                <w:r>
                  <w:rPr>
                    <w:iCs/>
                    <w:sz w:val="20"/>
                  </w:rPr>
                  <w:t>BF lėšos</w:t>
                </w:r>
              </w:p>
            </w:tc>
            <w:tc>
              <w:tcPr>
                <w:tcW w:w="993" w:type="dxa"/>
                <w:vMerge/>
                <w:tcMar>
                  <w:left w:w="28" w:type="dxa"/>
                  <w:right w:w="28" w:type="dxa"/>
                </w:tcMar>
              </w:tcPr>
              <w:p>
                <w:pPr>
                  <w:jc w:val="center"/>
                  <w:rPr>
                    <w:iCs/>
                    <w:sz w:val="20"/>
                  </w:rPr>
                </w:pPr>
              </w:p>
            </w:tc>
            <w:tc>
              <w:tcPr>
                <w:tcW w:w="1134" w:type="dxa"/>
                <w:vMerge/>
                <w:tcMar>
                  <w:left w:w="28" w:type="dxa"/>
                  <w:right w:w="28" w:type="dxa"/>
                </w:tcMar>
              </w:tcPr>
              <w:p>
                <w:pPr>
                  <w:jc w:val="center"/>
                  <w:rPr>
                    <w:iCs/>
                    <w:sz w:val="20"/>
                  </w:rPr>
                </w:pPr>
              </w:p>
            </w:tc>
            <w:tc>
              <w:tcPr>
                <w:tcW w:w="992" w:type="dxa"/>
                <w:vMerge/>
                <w:tcMar>
                  <w:left w:w="28" w:type="dxa"/>
                  <w:right w:w="28" w:type="dxa"/>
                </w:tcMar>
              </w:tcPr>
              <w:p>
                <w:pPr>
                  <w:jc w:val="center"/>
                  <w:rPr>
                    <w:iCs/>
                    <w:sz w:val="20"/>
                  </w:rPr>
                </w:pPr>
              </w:p>
            </w:tc>
            <w:tc>
              <w:tcPr>
                <w:tcW w:w="1458" w:type="dxa"/>
                <w:vMerge/>
                <w:tcMar>
                  <w:left w:w="28" w:type="dxa"/>
                  <w:right w:w="28" w:type="dxa"/>
                </w:tcMar>
              </w:tcPr>
              <w:p>
                <w:pPr>
                  <w:jc w:val="center"/>
                  <w:rPr>
                    <w:iCs/>
                    <w:sz w:val="18"/>
                  </w:rPr>
                </w:pPr>
              </w:p>
            </w:tc>
            <w:tc>
              <w:tcPr>
                <w:tcW w:w="1344" w:type="dxa"/>
                <w:vMerge/>
                <w:tcMar>
                  <w:left w:w="28" w:type="dxa"/>
                  <w:right w:w="28" w:type="dxa"/>
                </w:tcMar>
              </w:tcPr>
              <w:p>
                <w:pPr>
                  <w:jc w:val="center"/>
                  <w:rPr>
                    <w:iCs/>
                    <w:sz w:val="18"/>
                    <w:szCs w:val="18"/>
                  </w:rPr>
                </w:pPr>
              </w:p>
            </w:tc>
            <w:tc>
              <w:tcPr>
                <w:tcW w:w="1080" w:type="dxa"/>
                <w:vMerge/>
                <w:tcMar>
                  <w:left w:w="28" w:type="dxa"/>
                  <w:right w:w="28" w:type="dxa"/>
                </w:tcMar>
              </w:tcPr>
              <w:p>
                <w:pPr>
                  <w:jc w:val="center"/>
                  <w:rPr>
                    <w:iCs/>
                    <w:color w:val="FF0000"/>
                    <w:sz w:val="18"/>
                    <w:szCs w:val="22"/>
                  </w:rPr>
                </w:pPr>
              </w:p>
            </w:tc>
            <w:tc>
              <w:tcPr>
                <w:tcW w:w="1362" w:type="dxa"/>
                <w:vMerge/>
                <w:tcMar>
                  <w:left w:w="28" w:type="dxa"/>
                  <w:right w:w="28" w:type="dxa"/>
                </w:tcMar>
              </w:tcPr>
              <w:p>
                <w:pPr>
                  <w:jc w:val="center"/>
                  <w:rPr>
                    <w:iCs/>
                    <w:color w:val="FF0000"/>
                    <w:sz w:val="18"/>
                    <w:szCs w:val="22"/>
                  </w:rPr>
                </w:pPr>
              </w:p>
            </w:tc>
            <w:tc>
              <w:tcPr>
                <w:tcW w:w="1052" w:type="dxa"/>
                <w:vMerge/>
                <w:tcMar>
                  <w:left w:w="28" w:type="dxa"/>
                  <w:right w:w="28" w:type="dxa"/>
                </w:tcMar>
              </w:tcPr>
              <w:p>
                <w:pPr>
                  <w:rPr>
                    <w:iCs/>
                    <w:color w:val="FF0000"/>
                    <w:sz w:val="18"/>
                  </w:rPr>
                </w:pPr>
              </w:p>
            </w:tc>
            <w:tc>
              <w:tcPr>
                <w:tcW w:w="1132" w:type="dxa"/>
                <w:vMerge/>
                <w:tcMar>
                  <w:left w:w="28" w:type="dxa"/>
                  <w:right w:w="28" w:type="dxa"/>
                </w:tcMar>
              </w:tcPr>
              <w:p>
                <w:pPr>
                  <w:rPr>
                    <w:iCs/>
                    <w:color w:val="FF0000"/>
                    <w:sz w:val="18"/>
                  </w:rPr>
                </w:pPr>
              </w:p>
            </w:tc>
            <w:tc>
              <w:tcPr>
                <w:tcW w:w="759" w:type="dxa"/>
                <w:vMerge/>
                <w:tcMar>
                  <w:left w:w="28" w:type="dxa"/>
                  <w:right w:w="28" w:type="dxa"/>
                </w:tcMar>
              </w:tcPr>
              <w:p>
                <w:pPr>
                  <w:rPr>
                    <w:iCs/>
                    <w:color w:val="FF0000"/>
                    <w:sz w:val="18"/>
                  </w:rPr>
                </w:pPr>
              </w:p>
            </w:tc>
            <w:tc>
              <w:tcPr>
                <w:tcW w:w="1187" w:type="dxa"/>
                <w:vMerge/>
              </w:tcPr>
              <w:p>
                <w:pPr>
                  <w:rPr>
                    <w:iCs/>
                    <w:color w:val="FF0000"/>
                    <w:sz w:val="18"/>
                  </w:rPr>
                </w:pPr>
              </w:p>
            </w:tc>
          </w:tr>
        </w:tbl>
        <w:p>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trPr>
              <w:trHeight w:val="405"/>
            </w:trPr>
            <w:tc>
              <w:tcPr>
                <w:tcW w:w="4119" w:type="dxa"/>
                <w:shd w:val="clear" w:color="auto" w:fill="auto"/>
                <w:vAlign w:val="center"/>
              </w:tcPr>
              <w:p>
                <w:pPr>
                  <w:spacing w:line="276" w:lineRule="auto"/>
                  <w:jc w:val="center"/>
                  <w:rPr>
                    <w:szCs w:val="24"/>
                  </w:rPr>
                </w:pPr>
                <w:r>
                  <w:rPr>
                    <w:szCs w:val="24"/>
                  </w:rPr>
                  <w:t>Rodiklio pavadinimas</w:t>
                </w:r>
              </w:p>
            </w:tc>
            <w:tc>
              <w:tcPr>
                <w:tcW w:w="3688" w:type="dxa"/>
                <w:shd w:val="clear" w:color="auto" w:fill="auto"/>
                <w:vAlign w:val="center"/>
              </w:tcPr>
              <w:p>
                <w:pPr>
                  <w:spacing w:line="276" w:lineRule="auto"/>
                  <w:jc w:val="center"/>
                  <w:rPr>
                    <w:szCs w:val="24"/>
                  </w:rPr>
                </w:pPr>
                <w:r>
                  <w:rPr>
                    <w:szCs w:val="24"/>
                  </w:rPr>
                  <w:t>Rodiklio kodas</w:t>
                </w:r>
              </w:p>
            </w:tc>
            <w:tc>
              <w:tcPr>
                <w:tcW w:w="3109" w:type="dxa"/>
                <w:shd w:val="clear" w:color="auto" w:fill="auto"/>
                <w:vAlign w:val="center"/>
              </w:tcPr>
              <w:p>
                <w:pPr>
                  <w:spacing w:line="276" w:lineRule="auto"/>
                  <w:jc w:val="center"/>
                  <w:rPr>
                    <w:szCs w:val="24"/>
                  </w:rPr>
                </w:pPr>
                <w:r>
                  <w:rPr>
                    <w:szCs w:val="24"/>
                  </w:rPr>
                  <w:t>Matavimo vienetai</w:t>
                </w:r>
              </w:p>
            </w:tc>
            <w:tc>
              <w:tcPr>
                <w:tcW w:w="3969" w:type="dxa"/>
              </w:tcPr>
              <w:p>
                <w:pPr>
                  <w:spacing w:line="276" w:lineRule="auto"/>
                  <w:jc w:val="center"/>
                  <w:rPr>
                    <w:szCs w:val="24"/>
                  </w:rPr>
                </w:pPr>
                <w:r>
                  <w:rPr>
                    <w:szCs w:val="24"/>
                  </w:rPr>
                  <w:t>Siektina reikšmė</w:t>
                </w:r>
              </w:p>
            </w:tc>
          </w:tr>
          <w:tr>
            <w:trPr>
              <w:trHeight w:val="725"/>
            </w:trPr>
            <w:tc>
              <w:tcPr>
                <w:tcW w:w="4119" w:type="dxa"/>
              </w:tcPr>
              <w:p>
                <w:pPr>
                  <w:spacing w:line="276" w:lineRule="auto"/>
                  <w:jc w:val="center"/>
                  <w:rPr>
                    <w:i/>
                    <w:iCs/>
                    <w:color w:val="FF0000"/>
                    <w:szCs w:val="24"/>
                  </w:rPr>
                </w:pPr>
                <w:r>
                  <w:rPr>
                    <w:szCs w:val="24"/>
                  </w:rPr>
                  <w:t xml:space="preserve">P </w:t>
                </w:r>
                <w:r>
                  <w:rPr>
                    <w:color w:val="000000"/>
                    <w:szCs w:val="24"/>
                  </w:rPr>
                  <w:t>–</w:t>
                </w:r>
                <w:r>
                  <w:rPr>
                    <w:szCs w:val="24"/>
                  </w:rPr>
                  <w:t xml:space="preserve"> Naujos arba modernizuotos sveikatos priežiūros infrastruktūros talpumas, asmenys per metus</w:t>
                </w:r>
              </w:p>
            </w:tc>
            <w:tc>
              <w:tcPr>
                <w:tcW w:w="3688" w:type="dxa"/>
                <w:vAlign w:val="center"/>
              </w:tcPr>
              <w:p>
                <w:pPr>
                  <w:spacing w:line="276" w:lineRule="auto"/>
                  <w:jc w:val="center"/>
                  <w:rPr>
                    <w:color w:val="FF0000"/>
                    <w:szCs w:val="24"/>
                  </w:rPr>
                </w:pPr>
                <w:r>
                  <w:t>P.B.2.2069</w:t>
                </w:r>
              </w:p>
              <w:p>
                <w:pPr>
                  <w:spacing w:line="276" w:lineRule="auto"/>
                  <w:jc w:val="center"/>
                  <w:rPr>
                    <w:color w:val="FF0000"/>
                    <w:szCs w:val="24"/>
                  </w:rPr>
                </w:pPr>
                <w:r>
                  <w:t>P-11-002-02-11-01-31</w:t>
                </w:r>
              </w:p>
            </w:tc>
            <w:tc>
              <w:tcPr>
                <w:tcW w:w="3109" w:type="dxa"/>
                <w:vAlign w:val="center"/>
              </w:tcPr>
              <w:p>
                <w:pPr>
                  <w:spacing w:line="276" w:lineRule="auto"/>
                  <w:jc w:val="center"/>
                  <w:rPr>
                    <w:i/>
                    <w:iCs/>
                    <w:color w:val="FF0000"/>
                    <w:szCs w:val="24"/>
                  </w:rPr>
                </w:pPr>
                <w:r>
                  <w:rPr>
                    <w:i/>
                    <w:iCs/>
                    <w:sz w:val="22"/>
                    <w:szCs w:val="22"/>
                  </w:rPr>
                  <w:t>Asmenys per metus</w:t>
                </w:r>
              </w:p>
            </w:tc>
            <w:tc>
              <w:tcPr>
                <w:tcW w:w="3969" w:type="dxa"/>
              </w:tcPr>
              <w:p>
                <w:pPr>
                  <w:spacing w:line="276" w:lineRule="auto"/>
                  <w:ind w:right="-234"/>
                  <w:jc w:val="center"/>
                  <w:rPr>
                    <w:sz w:val="20"/>
                  </w:rPr>
                </w:pPr>
                <w:r>
                  <w:rPr>
                    <w:sz w:val="20"/>
                  </w:rPr>
                  <w:t xml:space="preserve">1680 </w:t>
                </w:r>
              </w:p>
              <w:p>
                <w:pPr>
                  <w:spacing w:line="276" w:lineRule="auto"/>
                  <w:ind w:right="-234"/>
                  <w:jc w:val="center"/>
                  <w:rPr>
                    <w:sz w:val="20"/>
                  </w:rPr>
                </w:pPr>
                <w:r>
                  <w:rPr>
                    <w:sz w:val="20"/>
                  </w:rPr>
                  <w:t>(2029 m.)</w:t>
                </w:r>
              </w:p>
            </w:tc>
          </w:tr>
          <w:tr>
            <w:trPr>
              <w:trHeight w:val="725"/>
            </w:trPr>
            <w:tc>
              <w:tcPr>
                <w:tcW w:w="4119" w:type="dxa"/>
              </w:tcPr>
              <w:p>
                <w:pPr>
                  <w:spacing w:line="276" w:lineRule="auto"/>
                  <w:jc w:val="center"/>
                  <w:rPr>
                    <w:color w:val="FF0000"/>
                    <w:szCs w:val="24"/>
                  </w:rPr>
                </w:pPr>
                <w:r>
                  <w:rPr>
                    <w:szCs w:val="24"/>
                  </w:rPr>
                  <w:t xml:space="preserve">R </w:t>
                </w:r>
                <w:r>
                  <w:rPr>
                    <w:color w:val="000000"/>
                    <w:szCs w:val="24"/>
                  </w:rPr>
                  <w:t>–</w:t>
                </w:r>
                <w:r>
                  <w:rPr>
                    <w:szCs w:val="24"/>
                  </w:rPr>
                  <w:t xml:space="preserve"> Naujos arba modernizuotos sveikatos priežiūros infrastruktūros naudotojų skaičius per metus</w:t>
                </w:r>
              </w:p>
            </w:tc>
            <w:tc>
              <w:tcPr>
                <w:tcW w:w="3688" w:type="dxa"/>
                <w:vAlign w:val="center"/>
              </w:tcPr>
              <w:p>
                <w:pPr>
                  <w:spacing w:line="276" w:lineRule="auto"/>
                  <w:jc w:val="center"/>
                </w:pPr>
                <w:r>
                  <w:t>R.B.2.2073</w:t>
                </w:r>
              </w:p>
              <w:p>
                <w:pPr>
                  <w:spacing w:line="276" w:lineRule="auto"/>
                  <w:jc w:val="center"/>
                  <w:rPr>
                    <w:color w:val="FF0000"/>
                    <w:szCs w:val="24"/>
                  </w:rPr>
                </w:pPr>
                <w:r>
                  <w:t>R-11-002-02-11-01-28</w:t>
                </w:r>
              </w:p>
            </w:tc>
            <w:tc>
              <w:tcPr>
                <w:tcW w:w="3109" w:type="dxa"/>
                <w:vAlign w:val="center"/>
              </w:tcPr>
              <w:p>
                <w:pPr>
                  <w:spacing w:line="276" w:lineRule="auto"/>
                  <w:jc w:val="center"/>
                  <w:rPr>
                    <w:color w:val="FF0000"/>
                    <w:szCs w:val="24"/>
                  </w:rPr>
                </w:pPr>
                <w:r>
                  <w:rPr>
                    <w:i/>
                    <w:iCs/>
                    <w:sz w:val="22"/>
                    <w:szCs w:val="22"/>
                  </w:rPr>
                  <w:t>Naudotojai per metus</w:t>
                </w:r>
              </w:p>
            </w:tc>
            <w:tc>
              <w:tcPr>
                <w:tcW w:w="3969" w:type="dxa"/>
              </w:tcPr>
              <w:p>
                <w:pPr>
                  <w:jc w:val="center"/>
                  <w:rPr>
                    <w:sz w:val="20"/>
                  </w:rPr>
                </w:pPr>
                <w:r>
                  <w:rPr>
                    <w:sz w:val="20"/>
                  </w:rPr>
                  <w:t xml:space="preserve">1120 </w:t>
                </w:r>
              </w:p>
              <w:p>
                <w:pPr>
                  <w:jc w:val="center"/>
                  <w:rPr>
                    <w:sz w:val="20"/>
                  </w:rPr>
                </w:pPr>
                <w:r>
                  <w:rPr>
                    <w:sz w:val="20"/>
                  </w:rPr>
                  <w:t>(2029 m.)</w:t>
                </w:r>
              </w:p>
              <w:p>
                <w:pPr>
                  <w:spacing w:line="276" w:lineRule="auto"/>
                  <w:jc w:val="center"/>
                  <w:rPr>
                    <w:sz w:val="20"/>
                  </w:rPr>
                </w:pPr>
              </w:p>
            </w:tc>
          </w:tr>
        </w:tbl>
        <w:p>
          <w:pPr>
            <w:ind w:right="111"/>
            <w:jc w:val="both"/>
            <w:rPr>
              <w:szCs w:val="24"/>
              <w:lang w:eastAsia="lt-LT"/>
            </w:rPr>
          </w:pPr>
        </w:p>
        <w:tbl>
          <w:tblPr>
            <w:tblW w:w="1488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trPr>
              <w:trHeight w:val="298"/>
            </w:trPr>
            <w:tc>
              <w:tcPr>
                <w:tcW w:w="14884" w:type="dxa"/>
              </w:tcPr>
              <w:p>
                <w:pPr>
                  <w:rPr>
                    <w:szCs w:val="24"/>
                  </w:rPr>
                </w:pPr>
                <w:r>
                  <w:rPr>
                    <w:szCs w:val="24"/>
                  </w:rPr>
                  <w:t>Ministerijos stebėsenos rodiklių aprašymo kortelės</w:t>
                </w:r>
              </w:p>
            </w:tc>
          </w:tr>
          <w:tr>
            <w:trPr>
              <w:trHeight w:val="315"/>
            </w:trPr>
            <w:tc>
              <w:tcPr>
                <w:tcW w:w="14884" w:type="dxa"/>
              </w:tcPr>
              <w:p>
                <w:pPr>
                  <w:rPr>
                    <w:szCs w:val="24"/>
                  </w:rPr>
                </w:pPr>
                <w:r>
                  <w:rPr>
                    <w:bCs/>
                    <w:szCs w:val="24"/>
                  </w:rPr>
                  <w:t>Stebėsenos</w:t>
                </w:r>
                <w:r>
                  <w:rPr>
                    <w:szCs w:val="24"/>
                  </w:rPr>
                  <w:t xml:space="preserve"> rodiklio aprašymo kortelės skelbiamos Ministerijos interneto svetainėje </w:t>
                </w:r>
                <w:r>
                  <w:rPr>
                    <w:iCs/>
                    <w:szCs w:val="24"/>
                  </w:rPr>
                  <w:t>https://sam.lrv.lt/lt/administracine-informacija/planavimo-dokumentai/pletros-programos/sveikatos-prieziuros-kokybes-ir-efektyvumo-didinimo-pletros-programa</w:t>
                </w:r>
              </w:p>
            </w:tc>
          </w:tr>
        </w:tbl>
        <w:p>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tc>
              <w:tcPr>
                <w:tcW w:w="14885" w:type="dxa"/>
              </w:tcPr>
              <w:p>
                <w:pPr>
                  <w:jc w:val="both"/>
                  <w:rPr>
                    <w:b/>
                    <w:szCs w:val="24"/>
                  </w:rPr>
                </w:pPr>
                <w:r>
                  <w:rPr>
                    <w:b/>
                    <w:szCs w:val="24"/>
                  </w:rPr>
                  <w:t>SPECIALIEJI FINANSAVIMO REIKALAVIMAI</w:t>
                </w:r>
              </w:p>
            </w:tc>
          </w:tr>
          <w:tr>
            <w:tc>
              <w:tcPr>
                <w:tcW w:w="14885" w:type="dxa"/>
              </w:tcPr>
              <w:p>
                <w:pPr>
                  <w:jc w:val="both"/>
                  <w:rPr>
                    <w:b/>
                    <w:bCs/>
                    <w:szCs w:val="24"/>
                  </w:rPr>
                </w:pPr>
                <w:r>
                  <w:rPr>
                    <w:b/>
                    <w:bCs/>
                    <w:szCs w:val="24"/>
                  </w:rPr>
                  <w:t>1. Taikomi teisės aktai</w:t>
                </w:r>
              </w:p>
            </w:tc>
          </w:tr>
          <w:tr>
            <w:tc>
              <w:tcPr>
                <w:tcW w:w="14885" w:type="dxa"/>
              </w:tcPr>
              <w:p>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26</w:t>
                </w:r>
                <w:r>
                  <w:rPr>
                    <w:szCs w:val="24"/>
                    <w:lang w:eastAsia="lt-LT"/>
                  </w:rPr>
                  <w:t xml:space="preserve"> (toliau – Aprašas):</w:t>
                </w:r>
              </w:p>
              <w:p>
                <w:pPr>
                  <w:tabs>
                    <w:tab w:val="left" w:pos="600"/>
                  </w:tabs>
                  <w:spacing w:line="276" w:lineRule="auto"/>
                  <w:jc w:val="both"/>
                  <w:rPr>
                    <w:bCs/>
                    <w:color w:val="000000"/>
                    <w:szCs w:val="24"/>
                  </w:rPr>
                </w:pPr>
                <w:r>
                  <w:rPr>
                    <w:b/>
                    <w:szCs w:val="24"/>
                  </w:rPr>
                  <w:t>1.1.</w:t>
                </w:r>
                <w:r>
                  <w:rPr>
                    <w:b/>
                    <w:color w:val="000000"/>
                    <w:szCs w:val="24"/>
                  </w:rPr>
                  <w:t xml:space="preserve"> bendrieji teisės aktai:</w:t>
                </w:r>
              </w:p>
              <w:p>
                <w:pPr>
                  <w:tabs>
                    <w:tab w:val="left" w:pos="600"/>
                  </w:tabs>
                  <w:spacing w:line="277" w:lineRule="auto"/>
                  <w:ind w:left="29"/>
                  <w:jc w:val="both"/>
                  <w:rPr>
                    <w:szCs w:val="24"/>
                  </w:rPr>
                </w:pPr>
                <w:r>
                  <w:rPr>
                    <w:szCs w:val="24"/>
                  </w:rPr>
                  <w:t xml:space="preserve">1.1.1. </w:t>
                </w:r>
                <w:r>
                  <w:rPr>
                    <w:color w:val="000000"/>
                    <w:szCs w:val="24"/>
                  </w:rPr>
                  <w:t xml:space="preserve">2021 m. birželio 24 d. Europos Parlamento ir Tarybos </w:t>
                </w:r>
                <w:r>
                  <w:rPr>
                    <w:szCs w:val="24"/>
                  </w:rPr>
                  <w:t xml:space="preserve">reglamentas </w:t>
                </w:r>
                <w:r>
                  <w:rPr>
                    <w:szCs w:val="24"/>
                  </w:rPr>
                  <w:t>(ES)2021/1060</w:t>
                </w:r>
                <w:r>
                  <w:rPr>
                    <w:szCs w:val="24"/>
                  </w:rPr>
                  <w:t xml:space="preserve">, </w:t>
                </w:r>
                <w:r>
                  <w:rPr>
                    <w:szCs w:val="24"/>
                    <w:shd w:val="clear" w:color="auto" w:fill="FFFFFF"/>
                  </w:rPr>
                  <w:t xml:space="preserve">kuriuo </w:t>
                </w:r>
                <w:r>
                  <w:rPr>
                    <w:color w:val="333333"/>
                    <w:szCs w:val="24"/>
                    <w:shd w:val="clear" w:color="auto" w:fill="FFFFFF"/>
                  </w:rPr>
                  <w:t>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szCs w:val="24"/>
                  </w:rPr>
                  <w:t>;</w:t>
                </w:r>
              </w:p>
              <w:p>
                <w:pPr>
                  <w:tabs>
                    <w:tab w:val="left" w:pos="600"/>
                  </w:tabs>
                  <w:spacing w:line="277" w:lineRule="auto"/>
                  <w:ind w:left="29"/>
                  <w:jc w:val="both"/>
                  <w:rPr>
                    <w:szCs w:val="24"/>
                  </w:rPr>
                </w:pPr>
                <w:r>
                  <w:rPr>
                    <w:szCs w:val="24"/>
                  </w:rPr>
                  <w:t xml:space="preserve">1.1.2. 2022 m. rugpjūčio 3 d. Europos Komisijos sprendimas Nr. C(2022)5742, kuriuo patvirtinta programa „2021–2027 metų Europos Sąjungos fondų investicijų programa“ (toliau –  Investicijų programa);</w:t>
                </w:r>
              </w:p>
              <w:p>
                <w:pPr>
                  <w:jc w:val="both"/>
                </w:pPr>
                <w:r>
                  <w:t>1.1.3. 2020 m. rugsėjo 9 d. Lietuvos Respublikos Vyriausybės nutarimas Nr. 998 „Dėl 2021–2030 m. Nacionalinio pažangos plano patvirtinimo“;</w:t>
                </w:r>
              </w:p>
              <w:p>
                <w:pPr>
                  <w:jc w:val="both"/>
                </w:pPr>
                <w:r>
                  <w:t xml:space="preserve">1.1.4. 2021 m. balandžio 28 d Lietuvos Respublikos Vyriausybės nutarimas Nr. 292 „Dėl </w:t>
                </w:r>
                <w:r>
                  <w:rPr>
                    <w:color w:val="000000"/>
                  </w:rPr>
                  <w:t>Strateginio valdymo metodikos patvirtinimo</w:t>
                </w:r>
                <w:r>
                  <w:t>“;</w:t>
                </w:r>
              </w:p>
              <w:p>
                <w:pPr>
                  <w:spacing w:line="276" w:lineRule="auto"/>
                  <w:jc w:val="both"/>
                  <w:rPr>
                    <w:szCs w:val="24"/>
                  </w:rPr>
                </w:pPr>
                <w:r>
                  <w:rPr>
                    <w:szCs w:val="24"/>
                  </w:rPr>
                  <w:t>1.1.5.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pPr>
                  <w:tabs>
                    <w:tab w:val="left" w:pos="600"/>
                  </w:tabs>
                  <w:spacing w:line="276" w:lineRule="auto"/>
                  <w:jc w:val="both"/>
                  <w:rPr>
                    <w:b/>
                    <w:color w:val="000000"/>
                    <w:szCs w:val="24"/>
                  </w:rPr>
                </w:pPr>
                <w:r>
                  <w:rPr>
                    <w:b/>
                    <w:color w:val="000000"/>
                    <w:szCs w:val="24"/>
                  </w:rPr>
                  <w:t>1.2. specialusis teisės aktas:</w:t>
                </w:r>
              </w:p>
              <w:p>
                <w:pPr>
                  <w:tabs>
                    <w:tab w:val="left" w:pos="600"/>
                  </w:tabs>
                  <w:spacing w:line="276" w:lineRule="auto"/>
                  <w:jc w:val="both"/>
                  <w:rPr>
                    <w:bCs/>
                    <w:color w:val="000000"/>
                    <w:szCs w:val="24"/>
                  </w:rPr>
                </w:pPr>
                <w:r>
                  <w:t>Lietuvos Respublikos sveikatos apsaugos ministro 2023 m. gruodžio 19 d. įsakymas Nr. V-1331 „</w:t>
                </w:r>
                <w:r>
                  <w:rPr>
                    <w:color w:val="000000"/>
                  </w:rPr>
                  <w:t xml:space="preserve">Dėl </w:t>
                </w:r>
                <w:r>
                  <w:t>Psichikos ir elgesio sutrikimų gydymo bendruomenėje komandos paslaugų teikimo ir apmokėjimo Privalomojo sveikatos draudimo fondo lėšomis tvarkos</w:t>
                </w:r>
                <w:r>
                  <w:rPr>
                    <w:color w:val="000000"/>
                  </w:rPr>
                  <w:t xml:space="preserve"> aprašo patvirtinimo</w:t>
                </w:r>
                <w:r>
                  <w:t>“ (toliau – Paslaugų aprašas).</w:t>
                </w:r>
              </w:p>
            </w:tc>
          </w:tr>
          <w:tr>
            <w:tc>
              <w:tcPr>
                <w:tcW w:w="14885" w:type="dxa"/>
              </w:tcPr>
              <w:p>
                <w:pPr>
                  <w:spacing w:line="276" w:lineRule="auto"/>
                  <w:rPr>
                    <w:b/>
                    <w:szCs w:val="24"/>
                  </w:rPr>
                </w:pPr>
                <w:r>
                  <w:rPr>
                    <w:b/>
                    <w:szCs w:val="24"/>
                  </w:rPr>
                  <w:t>2. Reikalavimai projektams</w:t>
                </w:r>
              </w:p>
            </w:tc>
          </w:tr>
          <w:tr>
            <w:tc>
              <w:tcPr>
                <w:tcW w:w="14885" w:type="dxa"/>
              </w:tcPr>
              <w:p>
                <w:pPr>
                  <w:tabs>
                    <w:tab w:val="left" w:pos="454"/>
                  </w:tabs>
                  <w:spacing w:line="276" w:lineRule="auto"/>
                  <w:ind w:firstLine="36"/>
                  <w:jc w:val="both"/>
                  <w:rPr>
                    <w:color w:val="000000"/>
                    <w:szCs w:val="24"/>
                  </w:rPr>
                </w:pPr>
                <w:r>
                  <w:rPr>
                    <w:color w:val="000000"/>
                    <w:szCs w:val="24"/>
                    <w:lang w:eastAsia="lt-LT"/>
                  </w:rPr>
                  <w:t xml:space="preserve">2.1. Įgyvendinant Pažangos priemonę </w:t>
                </w:r>
                <w:r>
                  <w:rPr>
                    <w:color w:val="000000"/>
                    <w:szCs w:val="24"/>
                  </w:rPr>
                  <w:t>investicijos bus skiriamos</w:t>
                </w:r>
                <w:r>
                  <w:rPr>
                    <w:color w:val="000000"/>
                    <w:sz w:val="22"/>
                    <w:szCs w:val="22"/>
                  </w:rPr>
                  <w:t xml:space="preserve"> </w:t>
                </w:r>
                <w:r>
                  <w:rPr>
                    <w:color w:val="000000"/>
                    <w:szCs w:val="24"/>
                  </w:rPr>
                  <w:t>psichikos ir elgesio sutrikimų gydymo bendruomenėje komandos (toliau – GBK) paslaugų kūrimui: statybos ir (ar) rekonstrukcijos, ir (ar) remonto darbams atlikti, baldams, kompiuterinei įrangai, įrangai bei transporto priemonėms (elektromobiliams) įsigyti.</w:t>
                </w:r>
              </w:p>
              <w:p>
                <w:pPr>
                  <w:tabs>
                    <w:tab w:val="left" w:pos="426"/>
                  </w:tabs>
                  <w:spacing w:line="276" w:lineRule="auto"/>
                  <w:ind w:firstLine="38"/>
                  <w:jc w:val="both"/>
                  <w:rPr>
                    <w:color w:val="000000"/>
                    <w:szCs w:val="24"/>
                  </w:rPr>
                </w:pPr>
                <w:r>
                  <w:rPr>
                    <w:color w:val="000000"/>
                    <w:szCs w:val="24"/>
                  </w:rPr>
                  <w:t xml:space="preserve">2.2. </w:t>
                </w:r>
                <w:r>
                  <w:rPr>
                    <w:bCs/>
                    <w:color w:val="000000"/>
                    <w:szCs w:val="24"/>
                  </w:rPr>
                  <w:t xml:space="preserve">Galimi pareiškėjai </w:t>
                </w:r>
                <w:r>
                  <w:rPr>
                    <w:bCs/>
                    <w:color w:val="000000"/>
                    <w:sz w:val="20"/>
                  </w:rPr>
                  <w:t>–</w:t>
                </w:r>
                <w:r>
                  <w:rPr>
                    <w:bCs/>
                    <w:color w:val="000000"/>
                    <w:szCs w:val="24"/>
                  </w:rPr>
                  <w:t xml:space="preserve"> </w:t>
                </w:r>
                <w:r>
                  <w:rPr>
                    <w:color w:val="000000"/>
                    <w:szCs w:val="24"/>
                  </w:rPr>
                  <w:t xml:space="preserve">pagal pasirinktus objektyvius kriterijus atrinktos </w:t>
                </w:r>
                <w:r>
                  <w:rPr>
                    <w:bCs/>
                    <w:color w:val="000000"/>
                    <w:szCs w:val="24"/>
                  </w:rPr>
                  <w:t>asmens sveikatos priežiūros įstaigos (toliau – ASPĮ)</w:t>
                </w:r>
                <w:r>
                  <w:rPr>
                    <w:color w:val="000000"/>
                    <w:szCs w:val="24"/>
                  </w:rPr>
                  <w:t>:</w:t>
                </w:r>
              </w:p>
              <w:tbl>
                <w:tblPr>
                  <w:tblW w:w="12499" w:type="dxa"/>
                  <w:tblLayout w:type="fixed"/>
                  <w:tblLook w:val="04A0" w:firstRow="1" w:lastRow="0" w:firstColumn="1" w:lastColumn="0" w:noHBand="0" w:noVBand="1"/>
                </w:tblPr>
                <w:tblGrid>
                  <w:gridCol w:w="734"/>
                  <w:gridCol w:w="1701"/>
                  <w:gridCol w:w="3552"/>
                  <w:gridCol w:w="3977"/>
                  <w:gridCol w:w="2535"/>
                </w:tblGrid>
                <w:tr>
                  <w:trPr>
                    <w:trHeight w:val="2130"/>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Eil. Nr.</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Apskritis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Pareiškėjo pavadinimas</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GBK dydis (1 – pilnos apimties pagal Paslaugų aprašo 8 punkto reikalavimus arba 0,5–50 proc. mažesnės apimties pagal Paslaugų aprašo 9 punkto reikalavimu</w:t>
                      </w:r>
                      <w:r>
                        <w:rPr>
                          <w:szCs w:val="24"/>
                          <w:lang w:eastAsia="lt-LT"/>
                        </w:rPr>
                        <w:t xml:space="preserve">s) </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Lėšų suma, Eur</w:t>
                      </w:r>
                    </w:p>
                  </w:tc>
                </w:tr>
                <w:tr>
                  <w:trPr>
                    <w:trHeight w:val="630"/>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Vilnius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Centro poliklinika</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w:t>
                      </w:r>
                    </w:p>
                  </w:tc>
                  <w:tc>
                    <w:tcPr>
                      <w:tcW w:w="2535"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260 000</w:t>
                      </w:r>
                    </w:p>
                  </w:tc>
                </w:tr>
                <w:tr>
                  <w:trPr>
                    <w:trHeight w:val="945"/>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Vilnius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Antakalnio poliklinika</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260 000 </w:t>
                      </w:r>
                    </w:p>
                  </w:tc>
                </w:tr>
                <w:tr>
                  <w:trPr>
                    <w:trHeight w:val="630"/>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3.</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Vilnius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Karoliniškių poliklinika</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360 000</w:t>
                      </w:r>
                    </w:p>
                  </w:tc>
                </w:tr>
                <w:tr>
                  <w:trPr>
                    <w:trHeight w:val="1123"/>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Vilnius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bCs/>
                          <w:color w:val="000000"/>
                          <w:szCs w:val="24"/>
                          <w:lang w:eastAsia="lt-LT"/>
                        </w:rPr>
                        <w:t>VšĮ Vilniaus rajono centrinė poliklinika</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0,5</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bCs/>
                          <w:color w:val="000000"/>
                          <w:szCs w:val="24"/>
                          <w:lang w:eastAsia="lt-LT"/>
                        </w:rPr>
                        <w:t>130 000</w:t>
                      </w:r>
                    </w:p>
                  </w:tc>
                </w:tr>
                <w:tr>
                  <w:trPr>
                    <w:trHeight w:val="1260"/>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5.</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Vilnius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Respublikinė Vilniaus psichiatrijos ligoninė</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160 000</w:t>
                      </w:r>
                    </w:p>
                  </w:tc>
                </w:tr>
                <w:tr>
                  <w:trPr>
                    <w:trHeight w:val="1410"/>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6.</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Kaunas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Lietuvos sveikatos mokslų universiteto Kauno ligoninė</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val="en-US" w:eastAsia="lt-LT"/>
                        </w:rPr>
                      </w:pPr>
                      <w:r>
                        <w:rPr>
                          <w:color w:val="000000"/>
                          <w:szCs w:val="24"/>
                          <w:lang w:eastAsia="lt-LT"/>
                        </w:rPr>
                        <w:t>3</w:t>
                      </w:r>
                      <w:r>
                        <w:rPr>
                          <w:color w:val="000000"/>
                          <w:szCs w:val="24"/>
                          <w:lang w:val="en-US" w:eastAsia="lt-LT"/>
                        </w:rPr>
                        <w:t>78 000</w:t>
                      </w:r>
                    </w:p>
                  </w:tc>
                </w:tr>
                <w:tr>
                  <w:trPr>
                    <w:trHeight w:val="1120"/>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000000"/>
                          <w:szCs w:val="24"/>
                          <w:lang w:eastAsia="lt-LT"/>
                        </w:rPr>
                      </w:pPr>
                      <w:r>
                        <w:rPr>
                          <w:color w:val="000000"/>
                          <w:szCs w:val="24"/>
                          <w:lang w:eastAsia="lt-LT"/>
                        </w:rPr>
                        <w:t>7.</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000000"/>
                          <w:szCs w:val="24"/>
                          <w:lang w:eastAsia="lt-LT"/>
                        </w:rPr>
                      </w:pPr>
                      <w:r>
                        <w:rPr>
                          <w:color w:val="000000"/>
                          <w:szCs w:val="24"/>
                          <w:lang w:eastAsia="lt-LT"/>
                        </w:rPr>
                        <w:t>Kaunas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000000"/>
                          <w:szCs w:val="24"/>
                          <w:lang w:eastAsia="lt-LT"/>
                        </w:rPr>
                      </w:pPr>
                      <w:r>
                        <w:rPr>
                          <w:color w:val="000000"/>
                          <w:szCs w:val="24"/>
                          <w:lang w:eastAsia="lt-LT"/>
                        </w:rPr>
                        <w:t>VšĮ Kauno miesto poliklinika</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000000"/>
                          <w:szCs w:val="24"/>
                          <w:lang w:eastAsia="lt-LT"/>
                        </w:rPr>
                      </w:pPr>
                      <w:r>
                        <w:rPr>
                          <w:color w:val="000000"/>
                          <w:szCs w:val="24"/>
                          <w:lang w:eastAsia="lt-LT"/>
                        </w:rPr>
                        <w:t>0,5</w:t>
                      </w:r>
                    </w:p>
                  </w:tc>
                  <w:tc>
                    <w:tcPr>
                      <w:tcW w:w="2535" w:type="dxa"/>
                      <w:tcBorders>
                        <w:top w:val="single" w:sz="4" w:space="0" w:color="auto"/>
                        <w:left w:val="nil"/>
                        <w:bottom w:val="single" w:sz="4" w:space="0" w:color="auto"/>
                        <w:right w:val="single" w:sz="4" w:space="0" w:color="auto"/>
                      </w:tcBorders>
                      <w:shd w:val="clear" w:color="auto" w:fill="auto"/>
                      <w:vAlign w:val="center"/>
                    </w:tcPr>
                    <w:p>
                      <w:pPr>
                        <w:jc w:val="center"/>
                        <w:rPr>
                          <w:color w:val="000000"/>
                          <w:szCs w:val="24"/>
                          <w:lang w:eastAsia="lt-LT"/>
                        </w:rPr>
                      </w:pPr>
                      <w:r>
                        <w:rPr>
                          <w:color w:val="000000"/>
                          <w:szCs w:val="24"/>
                          <w:lang w:eastAsia="lt-LT"/>
                        </w:rPr>
                        <w:t>136 000</w:t>
                      </w:r>
                    </w:p>
                  </w:tc>
                </w:tr>
                <w:tr>
                  <w:trPr>
                    <w:trHeight w:val="630"/>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Kaunas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UAB „InMedica“</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62"/>
                        <w:jc w:val="center"/>
                        <w:rPr>
                          <w:szCs w:val="24"/>
                          <w:lang w:eastAsia="lt-LT"/>
                        </w:rPr>
                      </w:pPr>
                      <w:r>
                        <w:rPr>
                          <w:szCs w:val="24"/>
                          <w:lang w:eastAsia="lt-LT"/>
                        </w:rPr>
                        <w:t>0,5</w:t>
                      </w:r>
                    </w:p>
                  </w:tc>
                  <w:tc>
                    <w:tcPr>
                      <w:tcW w:w="2535"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FF0000"/>
                          <w:szCs w:val="24"/>
                          <w:lang w:eastAsia="lt-LT"/>
                        </w:rPr>
                      </w:pPr>
                      <w:r>
                        <w:rPr>
                          <w:szCs w:val="24"/>
                          <w:lang w:eastAsia="lt-LT"/>
                        </w:rPr>
                        <w:t>83 000</w:t>
                      </w:r>
                    </w:p>
                  </w:tc>
                </w:tr>
                <w:tr>
                  <w:trPr>
                    <w:trHeight w:val="630"/>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9.</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Kaunas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UAB „Medgintras“</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62"/>
                        <w:jc w:val="center"/>
                        <w:rPr>
                          <w:szCs w:val="24"/>
                          <w:lang w:eastAsia="lt-LT"/>
                        </w:rPr>
                      </w:pPr>
                      <w:r>
                        <w:rPr>
                          <w:szCs w:val="24"/>
                          <w:lang w:eastAsia="lt-LT"/>
                        </w:rPr>
                        <w:t>0,5</w:t>
                      </w:r>
                    </w:p>
                  </w:tc>
                  <w:tc>
                    <w:tcPr>
                      <w:tcW w:w="2535"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FF0000"/>
                          <w:szCs w:val="24"/>
                          <w:lang w:eastAsia="lt-LT"/>
                        </w:rPr>
                      </w:pPr>
                      <w:r>
                        <w:rPr>
                          <w:szCs w:val="24"/>
                          <w:lang w:eastAsia="lt-LT"/>
                        </w:rPr>
                        <w:t>136 000 </w:t>
                      </w:r>
                    </w:p>
                  </w:tc>
                </w:tr>
                <w:tr>
                  <w:trPr>
                    <w:trHeight w:val="958"/>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val="en-US" w:eastAsia="lt-LT"/>
                        </w:rPr>
                      </w:pPr>
                      <w:r>
                        <w:rPr>
                          <w:color w:val="000000"/>
                          <w:szCs w:val="24"/>
                          <w:lang w:eastAsia="lt-LT"/>
                        </w:rPr>
                        <w:t>Klaipėda</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Respublikinė Klaipėdos ligoninė</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0,5</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136 000</w:t>
                      </w:r>
                    </w:p>
                  </w:tc>
                </w:tr>
                <w:tr>
                  <w:trPr>
                    <w:trHeight w:val="945"/>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11.</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Klaipėda</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p>
                    <w:p>
                      <w:pPr>
                        <w:jc w:val="center"/>
                        <w:rPr>
                          <w:color w:val="000000"/>
                          <w:szCs w:val="24"/>
                          <w:lang w:eastAsia="lt-LT"/>
                        </w:rPr>
                      </w:pPr>
                      <w:r>
                        <w:rPr>
                          <w:color w:val="000000"/>
                          <w:szCs w:val="24"/>
                          <w:lang w:eastAsia="lt-LT"/>
                        </w:rPr>
                        <w:t>VšĮ Klaipėdos psichikos sveikatos centras</w:t>
                      </w:r>
                    </w:p>
                    <w:p>
                      <w:pPr>
                        <w:rPr>
                          <w:color w:val="000000"/>
                          <w:szCs w:val="24"/>
                          <w:lang w:eastAsia="lt-LT"/>
                        </w:rPr>
                      </w:pP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166 000</w:t>
                      </w:r>
                    </w:p>
                  </w:tc>
                </w:tr>
                <w:tr>
                  <w:trPr>
                    <w:trHeight w:val="315"/>
                  </w:trPr>
                  <w:tc>
                    <w:tcPr>
                      <w:tcW w:w="7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12.</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Telšiai</w:t>
                      </w:r>
                    </w:p>
                  </w:tc>
                  <w:tc>
                    <w:tcPr>
                      <w:tcW w:w="35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UAB Žemaitijos psichikos sveikatos centras</w:t>
                      </w:r>
                    </w:p>
                  </w:tc>
                  <w:tc>
                    <w:tcPr>
                      <w:tcW w:w="39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0,5</w:t>
                      </w:r>
                    </w:p>
                  </w:tc>
                  <w:tc>
                    <w:tcPr>
                      <w:tcW w:w="25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rFonts w:ascii="TimesNewRomanPSMT" w:hAnsi="TimesNewRomanPSMT" w:cs="Calibri"/>
                          <w:color w:val="000000"/>
                          <w:szCs w:val="24"/>
                          <w:lang w:eastAsia="lt-LT"/>
                        </w:rPr>
                      </w:pPr>
                      <w:r>
                        <w:rPr>
                          <w:rFonts w:ascii="TimesNewRomanPSMT" w:hAnsi="TimesNewRomanPSMT" w:cs="Calibri"/>
                          <w:color w:val="000000"/>
                          <w:szCs w:val="24"/>
                          <w:lang w:eastAsia="lt-LT"/>
                        </w:rPr>
                        <w:t>189 000</w:t>
                      </w:r>
                    </w:p>
                  </w:tc>
                </w:tr>
                <w:tr>
                  <w:trPr>
                    <w:trHeight w:val="315"/>
                  </w:trPr>
                  <w:tc>
                    <w:tcPr>
                      <w:tcW w:w="734" w:type="dxa"/>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p>
                  </w:tc>
                  <w:tc>
                    <w:tcPr>
                      <w:tcW w:w="3552" w:type="dxa"/>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p>
                  </w:tc>
                  <w:tc>
                    <w:tcPr>
                      <w:tcW w:w="397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535" w:type="dxa"/>
                      <w:vMerge/>
                      <w:tcBorders>
                        <w:top w:val="single" w:sz="4" w:space="0" w:color="auto"/>
                        <w:left w:val="single" w:sz="4" w:space="0" w:color="auto"/>
                        <w:bottom w:val="single" w:sz="4" w:space="0" w:color="auto"/>
                        <w:right w:val="single" w:sz="4" w:space="0" w:color="auto"/>
                      </w:tcBorders>
                      <w:vAlign w:val="center"/>
                      <w:hideMark/>
                    </w:tcPr>
                    <w:p>
                      <w:pPr>
                        <w:rPr>
                          <w:rFonts w:ascii="TimesNewRomanPSMT" w:hAnsi="TimesNewRomanPSMT" w:cs="Calibri"/>
                          <w:color w:val="000000"/>
                          <w:szCs w:val="24"/>
                          <w:lang w:eastAsia="lt-LT"/>
                        </w:rPr>
                      </w:pPr>
                    </w:p>
                  </w:tc>
                </w:tr>
                <w:tr>
                  <w:trPr>
                    <w:trHeight w:val="630"/>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13.</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Šiauliai</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Respublikinė Šiaulių ligoninė</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0,5</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242424"/>
                          <w:szCs w:val="24"/>
                          <w:lang w:eastAsia="lt-LT"/>
                        </w:rPr>
                      </w:pPr>
                      <w:r>
                        <w:rPr>
                          <w:color w:val="000000"/>
                          <w:szCs w:val="24"/>
                          <w:lang w:eastAsia="lt-LT"/>
                        </w:rPr>
                        <w:t>136 000</w:t>
                      </w:r>
                    </w:p>
                  </w:tc>
                </w:tr>
                <w:tr>
                  <w:trPr>
                    <w:trHeight w:val="945"/>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Šiauliai</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Dainų pirminės sveikatos priežiūros centras</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272 000</w:t>
                      </w:r>
                    </w:p>
                  </w:tc>
                </w:tr>
                <w:tr>
                  <w:trPr>
                    <w:trHeight w:val="1165"/>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15.</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Panevėžys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„Vilniaus psichoterapijos ir psichoanalizės centras“</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1</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166 000</w:t>
                      </w:r>
                    </w:p>
                  </w:tc>
                </w:tr>
                <w:tr>
                  <w:trPr>
                    <w:trHeight w:val="945"/>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16.</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Utena</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Utenos pirminės sveikatos priežiūros centras</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0,5</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83 000</w:t>
                      </w:r>
                    </w:p>
                  </w:tc>
                </w:tr>
                <w:tr>
                  <w:trPr>
                    <w:trHeight w:val="630"/>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val="en-US" w:eastAsia="lt-LT"/>
                        </w:rPr>
                        <w:t>17.</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Alytus</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Alytaus poliklinika</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0,5</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Cs w:val="24"/>
                          <w:lang w:eastAsia="lt-LT"/>
                        </w:rPr>
                      </w:pPr>
                      <w:r>
                        <w:rPr>
                          <w:color w:val="000000"/>
                          <w:szCs w:val="24"/>
                          <w:lang w:eastAsia="lt-LT"/>
                        </w:rPr>
                        <w:t>136 000</w:t>
                      </w:r>
                    </w:p>
                  </w:tc>
                </w:tr>
                <w:tr>
                  <w:trPr>
                    <w:trHeight w:val="1269"/>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val="en-US" w:eastAsia="lt-LT"/>
                        </w:rPr>
                        <w:t>18.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Marijampolė</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Marijampolės pirminės sveikatos priežiūros centras</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0,5</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136 000</w:t>
                      </w:r>
                    </w:p>
                  </w:tc>
                </w:tr>
                <w:tr>
                  <w:trPr>
                    <w:trHeight w:val="1024"/>
                  </w:trPr>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val="en-US" w:eastAsia="lt-LT"/>
                        </w:rPr>
                        <w:t>19.</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Tauragė</w:t>
                      </w:r>
                    </w:p>
                  </w:tc>
                  <w:tc>
                    <w:tcPr>
                      <w:tcW w:w="355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VšĮ Tauragės rajono pirminės sveikatos priežiūros centras</w:t>
                      </w:r>
                    </w:p>
                  </w:tc>
                  <w:tc>
                    <w:tcPr>
                      <w:tcW w:w="397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0,5</w:t>
                      </w:r>
                    </w:p>
                  </w:tc>
                  <w:tc>
                    <w:tcPr>
                      <w:tcW w:w="2535"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83 000</w:t>
                      </w:r>
                    </w:p>
                  </w:tc>
                </w:tr>
              </w:tbl>
              <w:p>
                <w:pPr>
                  <w:tabs>
                    <w:tab w:val="left" w:pos="426"/>
                  </w:tabs>
                  <w:jc w:val="both"/>
                  <w:rPr>
                    <w:color w:val="000000"/>
                    <w:sz w:val="22"/>
                    <w:szCs w:val="22"/>
                  </w:rPr>
                </w:pPr>
                <w:r>
                  <w:rPr>
                    <w:b/>
                    <w:bCs/>
                    <w:color w:val="000000"/>
                    <w:sz w:val="22"/>
                    <w:szCs w:val="22"/>
                  </w:rPr>
                  <w:t>Pastabos:</w:t>
                </w:r>
                <w:r>
                  <w:rPr>
                    <w:color w:val="000000"/>
                    <w:sz w:val="22"/>
                    <w:szCs w:val="22"/>
                  </w:rPr>
                  <w:t xml:space="preserve"> </w:t>
                </w:r>
              </w:p>
              <w:p>
                <w:pPr>
                  <w:tabs>
                    <w:tab w:val="left" w:pos="426"/>
                  </w:tabs>
                  <w:jc w:val="both"/>
                  <w:rPr>
                    <w:color w:val="000000"/>
                    <w:sz w:val="22"/>
                    <w:szCs w:val="22"/>
                  </w:rPr>
                </w:pPr>
                <w:r>
                  <w:rPr>
                    <w:color w:val="000000"/>
                    <w:sz w:val="22"/>
                    <w:szCs w:val="22"/>
                  </w:rPr>
                  <w:t xml:space="preserve">1. GBK </w:t>
                </w:r>
                <w:r>
                  <w:rPr>
                    <w:sz w:val="22"/>
                    <w:szCs w:val="22"/>
                  </w:rPr>
                  <w:t xml:space="preserve">steigiamos prioriteto tvarka apskričių centrų savivaldybėse (steigiant dalyvauja ir žiedinės savivaldybių ASPĮ, jei jų veiklos adresas yra apskrities centro savivaldybėje), atsižvelgiant į apskrities gyventojų skaičių (Valstybinės duomenų agentūros 2023 m. duomenys). Skaičiuojama, kad vienai GBK skiriama 200 000 apskrities gyventojų ir komandų steigimo kvotos pasiskirsto taip: Vilniaus apskrityje – 4,5 komandos, Kauno apskrityje – 2,5 komandos, Klaipėdos ir Šiaulių apskrityse – po 1,5 komandos, Panevėžio apskrityje – 1 komanda, Telšių, Utenos, Alytaus, Marijampolės ir Tauragės apskrityse – po 0,5 komandos. </w:t>
                </w:r>
              </w:p>
              <w:p>
                <w:pPr>
                  <w:jc w:val="both"/>
                  <w:rPr>
                    <w:color w:val="000000"/>
                    <w:sz w:val="22"/>
                    <w:szCs w:val="22"/>
                  </w:rPr>
                </w:pPr>
                <w:r>
                  <w:rPr>
                    <w:sz w:val="22"/>
                    <w:szCs w:val="22"/>
                  </w:rPr>
                  <w:t>Pareiškėjai atrinkti pagal šiuos prioritetus:</w:t>
                </w:r>
              </w:p>
              <w:p>
                <w:pPr>
                  <w:jc w:val="both"/>
                  <w:rPr>
                    <w:sz w:val="22"/>
                    <w:szCs w:val="22"/>
                    <w14:ligatures w14:val="standardContextual"/>
                  </w:rPr>
                </w:pPr>
                <w:r>
                  <w:rPr>
                    <w:sz w:val="22"/>
                    <w:szCs w:val="22"/>
                  </w:rPr>
                  <w:t xml:space="preserve">1.1. Prioritetas teikiamas psichiatrijos stacionarines paslaugas teikiančioms ASPĮ, kurios keičia aktyviojo gydymo psichiatrijos stacionaro paslaugas į ambulatorines psichikos ir elgesio sutrikimų gydymo bendruomenėje paslaugas. GBK steigiamos tuose psichiatrijos stacionaruose, kurie suteikė daugiau kaip 5000 lovadienių bet kurio lovų profilio (psichiatrijos suaugusiųjų, psichiatrijos vaikų, psichosomatinio, narkologijos) aktyviojo psichiatrijos gydymo paslaugų (Higienos instituto 2022 m. duomenys). Steigti GBK negali specialiosios psichiatrijos, teismo psichiatrijos, priklausomybės ligų psichiatrijos paslaugas teikiančios ASPĮ. Psichiatrijos stacionarines paslaugas teikiančios ASPĮ gali steigti ne daugiau kaip pusę tai apskričiai skirto gydymo bendruomenėje komandų GBK skaičiaus. </w:t>
                </w:r>
              </w:p>
              <w:p>
                <w:pPr>
                  <w:jc w:val="both"/>
                  <w:rPr>
                    <w:sz w:val="22"/>
                    <w:szCs w:val="22"/>
                  </w:rPr>
                </w:pPr>
                <w:r>
                  <w:rPr>
                    <w:sz w:val="22"/>
                    <w:szCs w:val="22"/>
                  </w:rPr>
                  <w:t xml:space="preserve">1.2. Antru prioritetu GBK steigiama ASPĮ, kurios teikia pirmines ambulatorines psichikos sveikatos priežiūros paslaugas (psichikos sveikatos centrai). Steigti GBK gali tik tie psichikos sveikatos centrai, kurie turi daugiau kaip 17 000 prirašytų gyventojų (pagal </w:t>
                </w:r>
                <w:r>
                  <w:rPr>
                    <w:rFonts w:eastAsia="Aptos"/>
                    <w:sz w:val="22"/>
                    <w:szCs w:val="22"/>
                    <w14:ligatures w14:val="standardContextual"/>
                  </w:rPr>
                  <w:t xml:space="preserve">Privalomojo sveikatos draudimo informacinės sistemos „Sveidra“ </w:t>
                </w:r>
                <w:r>
                  <w:rPr>
                    <w:sz w:val="22"/>
                    <w:szCs w:val="22"/>
                  </w:rPr>
                  <w:t>2023 m. rugsėjo mėn. duomenis). Jei apskrities savivaldybėje yra keli psichikos sveikatos centrai, norintys steigti GBK, pirmumas teikiamas įstaigoms, turinčioms didesnį prirašytų gyventojų skaičių (pagal Privalomojo sveikatos draudimo informacinės sistemos „Sveidra“ 2023 m. rugsėjo mėn. duomenis).</w:t>
                </w:r>
              </w:p>
              <w:p>
                <w:pPr>
                  <w:tabs>
                    <w:tab w:val="left" w:pos="426"/>
                  </w:tabs>
                  <w:jc w:val="both"/>
                  <w:rPr>
                    <w:sz w:val="22"/>
                    <w:szCs w:val="22"/>
                  </w:rPr>
                </w:pPr>
                <w:r>
                  <w:rPr>
                    <w:sz w:val="22"/>
                    <w:szCs w:val="22"/>
                  </w:rPr>
                  <w:t>2. ASPĮ galima skirti lėšų suma nustatyta pagal Paslaugų apraše ASPĮ teikiančiai GBK paslaugas keliamus reikalavimus ir atsižvelgus į projektuose planuojamų vykdyti rangos darbų pobūdį (statyba ir (ar) rekonstrukcija, ir (ar) remonto darbai) bei ASPĮ planuojamos steigti GBK dydį.</w:t>
                </w:r>
              </w:p>
              <w:p>
                <w:pPr>
                  <w:tabs>
                    <w:tab w:val="left" w:pos="426"/>
                  </w:tabs>
                  <w:jc w:val="both"/>
                  <w:rPr>
                    <w:sz w:val="22"/>
                    <w:szCs w:val="22"/>
                  </w:rPr>
                </w:pPr>
              </w:p>
              <w:p>
                <w:pPr>
                  <w:spacing w:line="276" w:lineRule="auto"/>
                  <w:jc w:val="both"/>
                  <w:rPr>
                    <w:szCs w:val="24"/>
                  </w:rPr>
                </w:pPr>
                <w:r>
                  <w:rPr>
                    <w:color w:val="000000"/>
                    <w:szCs w:val="24"/>
                  </w:rPr>
                  <w:t xml:space="preserve">2.3. Kartu su galutine veiklos ataskaita pareiškėjas turi pateikti galiojančią licenciją </w:t>
                </w:r>
                <w:r>
                  <w:rPr>
                    <w:szCs w:val="24"/>
                  </w:rPr>
                  <w:t>teikti psichikos ir elgesio sutrikimų gydymo bendruomenėje komandos asmens sveikatos priežiūros paslaugas ir turi būti sudaręs sutartį su teritorine ligonių kasa dėl šių paslaugų teikimo. ASPĮ turi turėti vieną iš šių licencijų:</w:t>
                </w:r>
              </w:p>
              <w:p>
                <w:pPr>
                  <w:spacing w:line="276" w:lineRule="auto"/>
                  <w:jc w:val="both"/>
                  <w:rPr>
                    <w:szCs w:val="24"/>
                  </w:rPr>
                </w:pPr>
                <w:r>
                  <w:rPr>
                    <w:szCs w:val="24"/>
                  </w:rPr>
                  <w:t>2.3.1. asmens sveikatos priežiūros veiklos licenciją, suteikiančią teisę teikti aktyviojo gydymo stacionarines psichiatrijos paslaugas;</w:t>
                </w:r>
              </w:p>
              <w:p>
                <w:pPr>
                  <w:spacing w:line="276" w:lineRule="auto"/>
                  <w:jc w:val="both"/>
                  <w:rPr>
                    <w:szCs w:val="24"/>
                  </w:rPr>
                </w:pPr>
                <w:r>
                  <w:rPr>
                    <w:szCs w:val="24"/>
                  </w:rPr>
                  <w:t>2.3.2. asmens sveikatos priežiūros veiklos licenciją, suteikiančią teisę teikti pirminės psichikos sveikatos priežiūros paslaugas.</w:t>
                </w:r>
              </w:p>
              <w:p>
                <w:pPr>
                  <w:spacing w:line="276" w:lineRule="auto"/>
                  <w:jc w:val="both"/>
                  <w:rPr>
                    <w:color w:val="000000"/>
                    <w:szCs w:val="24"/>
                  </w:rPr>
                </w:pPr>
                <w:r>
                  <w:rPr>
                    <w:bCs/>
                    <w:color w:val="000000"/>
                    <w:szCs w:val="24"/>
                  </w:rPr>
                  <w:t>2.4. Partneriai nėra galimi</w:t>
                </w:r>
                <w:r>
                  <w:rPr>
                    <w:color w:val="000000"/>
                    <w:szCs w:val="24"/>
                    <w:lang w:eastAsia="lt-LT"/>
                  </w:rPr>
                  <w:t xml:space="preserve">. </w:t>
                </w:r>
              </w:p>
              <w:p>
                <w:pPr>
                  <w:spacing w:line="276" w:lineRule="auto"/>
                  <w:jc w:val="both"/>
                </w:pPr>
                <w:r>
                  <w:rPr>
                    <w:color w:val="000000"/>
                    <w:szCs w:val="24"/>
                  </w:rPr>
                  <w:t xml:space="preserve">2.5. </w:t>
                </w:r>
                <w:r>
                  <w:rPr>
                    <w:bCs/>
                    <w:iCs/>
                    <w:color w:val="000000"/>
                    <w:szCs w:val="24"/>
                  </w:rPr>
                  <w:t xml:space="preserve">Finansuojamos projekto veiklos turi būti įgyvendintos </w:t>
                </w:r>
                <w:r>
                  <w:rPr>
                    <w:color w:val="000000"/>
                  </w:rPr>
                  <w:t xml:space="preserve">iki </w:t>
                </w:r>
                <w:r>
                  <w:t>2029 m. rugpjūčio 31 d.</w:t>
                </w:r>
              </w:p>
              <w:p>
                <w:pPr>
                  <w:spacing w:line="276" w:lineRule="auto"/>
                  <w:jc w:val="both"/>
                  <w:rPr>
                    <w:bCs/>
                    <w:iCs/>
                    <w:color w:val="000000"/>
                    <w:szCs w:val="24"/>
                  </w:rPr>
                </w:pPr>
                <w:r>
                  <w:rPr>
                    <w:bCs/>
                    <w:iCs/>
                    <w:color w:val="000000"/>
                    <w:szCs w:val="24"/>
                  </w:rPr>
                  <w:t>2.6. Pagal Aprašą finansuojama veikla įgyvendinama valstybės planavimo būdu.</w:t>
                </w:r>
              </w:p>
              <w:p>
                <w:pPr>
                  <w:spacing w:line="276" w:lineRule="auto"/>
                  <w:jc w:val="both"/>
                  <w:rPr>
                    <w:color w:val="000000"/>
                    <w:szCs w:val="24"/>
                  </w:rPr>
                </w:pPr>
                <w:r>
                  <w:rPr>
                    <w:color w:val="000000"/>
                    <w:szCs w:val="24"/>
                  </w:rPr>
                  <w:t xml:space="preserve">2.7. </w:t>
                </w:r>
                <w:r>
                  <w:rPr>
                    <w:rFonts w:eastAsia="Calibri"/>
                    <w:color w:val="000000"/>
                    <w:szCs w:val="24"/>
                  </w:rPr>
                  <w:t xml:space="preserve">Pagal Aprašą finansuojama veikla </w:t>
                </w:r>
                <w:r>
                  <w:rPr>
                    <w:bCs/>
                    <w:iCs/>
                    <w:color w:val="000000"/>
                    <w:szCs w:val="24"/>
                  </w:rPr>
                  <w:t xml:space="preserve">atitinka 2022–2030 metų plėtros programos valdytojos Lietuvos Respublikos sveikatos apsaugos ministerijos sveikatos priežiūros kokybės ir efektyvumo didinimo plėtros programos, patvirtintos Lietuvos Respublikos Vyriausybės </w:t>
                </w:r>
                <w:r>
                  <w:rPr>
                    <w:color w:val="000000"/>
                  </w:rPr>
                  <w:t>2022 m. kovo 30 d. nutarimu Nr. 319</w:t>
                </w:r>
                <w:r>
                  <w:rPr>
                    <w:bCs/>
                    <w:iCs/>
                    <w:color w:val="000000"/>
                    <w:szCs w:val="24"/>
                  </w:rPr>
                  <w:t xml:space="preserve"> „</w:t>
                </w:r>
                <w:r>
                  <w:rPr>
                    <w:color w:val="000000"/>
                    <w:szCs w:val="24"/>
                  </w:rPr>
                  <w:t>Dėl 2022–2030 metų Lietuvos Respublikos sveikatos apsaugos ministerijos sveikatos priežiūros kokybės ir efektyvumo didinimo plėtros programos patvirtinimo</w:t>
                </w:r>
                <w:r>
                  <w:rPr>
                    <w:bCs/>
                    <w:iCs/>
                    <w:color w:val="000000"/>
                    <w:szCs w:val="24"/>
                  </w:rPr>
                  <w:t>“, Pažangos priemonės aprašo III skyriaus „</w:t>
                </w:r>
                <w:r>
                  <w:rPr>
                    <w:bCs/>
                    <w:color w:val="000000"/>
                    <w:szCs w:val="24"/>
                  </w:rPr>
                  <w:t>Plėtros programos pažangos priemonės veiklų suvestinė“</w:t>
                </w:r>
                <w:r>
                  <w:rPr>
                    <w:bCs/>
                    <w:iCs/>
                    <w:color w:val="000000"/>
                    <w:szCs w:val="24"/>
                  </w:rPr>
                  <w:t xml:space="preserve"> 7 veiklą „</w:t>
                </w:r>
                <w:r>
                  <w:rPr>
                    <w:color w:val="000000"/>
                    <w:szCs w:val="24"/>
                  </w:rPr>
                  <w:t xml:space="preserve">Ambulatorinių psichikos sveikatos priežiūros paslaugų plėtra ir kokybės gerinimas“, </w:t>
                </w:r>
                <w:r>
                  <w:rPr>
                    <w:bCs/>
                    <w:iCs/>
                    <w:color w:val="000000"/>
                    <w:szCs w:val="24"/>
                  </w:rPr>
                  <w:t>7.1 poveiklę „Ambulatorinių psichikos sveikatos paslaugų ir psichosocialinės reabilitacijos plėtrai reikalingos infrastruktūros įrengimas, Sostinės regionas“ ir 7.2 poveiklę „Ambulatorinių psichikos sveikatos paslaugų ir psichosocialinės reabilitacijos plėtrai reikalingos infrastruktūros įrengimas, Vidurio ir vakarų Lietuvos regionas“.</w:t>
                </w:r>
              </w:p>
              <w:p>
                <w:pPr>
                  <w:tabs>
                    <w:tab w:val="left" w:pos="462"/>
                  </w:tabs>
                  <w:spacing w:line="276" w:lineRule="auto"/>
                  <w:ind w:left="36" w:hanging="36"/>
                  <w:rPr>
                    <w:color w:val="000000"/>
                    <w:szCs w:val="24"/>
                  </w:rPr>
                </w:pPr>
                <w:r>
                  <w:rPr>
                    <w:color w:val="000000"/>
                    <w:szCs w:val="24"/>
                    <w:lang w:eastAsia="lt-LT"/>
                  </w:rPr>
                  <w:t xml:space="preserve">2.8. </w:t>
                </w:r>
                <w:r>
                  <w:rPr>
                    <w:color w:val="000000"/>
                    <w:szCs w:val="24"/>
                  </w:rPr>
                  <w:t xml:space="preserve">Projekto veiklos turi būti vykdomos Lietuvos Respublikoje. </w:t>
                </w:r>
              </w:p>
              <w:p>
                <w:pPr>
                  <w:tabs>
                    <w:tab w:val="left" w:pos="462"/>
                  </w:tabs>
                  <w:spacing w:line="276" w:lineRule="auto"/>
                  <w:jc w:val="both"/>
                  <w:rPr>
                    <w:color w:val="000000"/>
                    <w:szCs w:val="24"/>
                    <w:lang w:eastAsia="lt-LT"/>
                  </w:rPr>
                </w:pPr>
                <w:r>
                  <w:rPr>
                    <w:rFonts w:eastAsia="Calibri"/>
                    <w:color w:val="000000"/>
                    <w:szCs w:val="24"/>
                  </w:rPr>
                  <w:t>2.9.</w:t>
                </w:r>
                <w:r>
                  <w:rPr>
                    <w:color w:val="000000"/>
                    <w:sz w:val="27"/>
                    <w:szCs w:val="27"/>
                    <w:lang w:eastAsia="lt-LT"/>
                  </w:rPr>
                  <w:t xml:space="preserve"> </w:t>
                </w:r>
                <w:r>
                  <w:rPr>
                    <w:color w:val="000000"/>
                    <w:szCs w:val="24"/>
                    <w:lang w:eastAsia="lt-LT"/>
                  </w:rPr>
                  <w:t xml:space="preserve">Aprašo poveiklėms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5839"/>
                  <w:gridCol w:w="1558"/>
                  <w:gridCol w:w="1844"/>
                  <w:gridCol w:w="1558"/>
                  <w:gridCol w:w="1846"/>
                </w:tblGrid>
                <w:tr>
                  <w:tc>
                    <w:tcPr>
                      <w:tcW w:w="1559" w:type="dxa"/>
                    </w:tcPr>
                    <w:p>
                      <w:pPr>
                        <w:rPr>
                          <w:color w:val="000000"/>
                        </w:rPr>
                      </w:pPr>
                      <w:r>
                        <w:rPr>
                          <w:color w:val="000000"/>
                        </w:rPr>
                        <w:t>Poveiklė</w:t>
                      </w:r>
                    </w:p>
                  </w:tc>
                  <w:tc>
                    <w:tcPr>
                      <w:tcW w:w="5839" w:type="dxa"/>
                    </w:tcPr>
                    <w:p>
                      <w:pPr>
                        <w:rPr>
                          <w:color w:val="000000"/>
                        </w:rPr>
                      </w:pPr>
                      <w:r>
                        <w:rPr>
                          <w:color w:val="000000"/>
                        </w:rPr>
                        <w:t>Poveiklės pavadinimas</w:t>
                      </w:r>
                    </w:p>
                  </w:tc>
                  <w:tc>
                    <w:tcPr>
                      <w:tcW w:w="1558" w:type="dxa"/>
                    </w:tcPr>
                    <w:p>
                      <w:pPr>
                        <w:rPr>
                          <w:color w:val="000000"/>
                        </w:rPr>
                      </w:pPr>
                      <w:r>
                        <w:rPr>
                          <w:color w:val="000000"/>
                        </w:rPr>
                        <w:t>Regionas</w:t>
                      </w:r>
                    </w:p>
                  </w:tc>
                  <w:tc>
                    <w:tcPr>
                      <w:tcW w:w="1844" w:type="dxa"/>
                    </w:tcPr>
                    <w:p>
                      <w:pPr>
                        <w:rPr>
                          <w:color w:val="000000"/>
                        </w:rPr>
                      </w:pPr>
                      <w:r>
                        <w:rPr>
                          <w:color w:val="000000"/>
                        </w:rPr>
                        <w:t>ES fondų lėšos, eurai</w:t>
                      </w:r>
                    </w:p>
                  </w:tc>
                  <w:tc>
                    <w:tcPr>
                      <w:tcW w:w="1558" w:type="dxa"/>
                    </w:tcPr>
                    <w:p>
                      <w:pPr>
                        <w:rPr>
                          <w:color w:val="000000"/>
                        </w:rPr>
                      </w:pPr>
                      <w:r>
                        <w:rPr>
                          <w:color w:val="000000"/>
                        </w:rPr>
                        <w:t>BF lėšos, eurai</w:t>
                      </w:r>
                    </w:p>
                  </w:tc>
                  <w:tc>
                    <w:tcPr>
                      <w:tcW w:w="1846" w:type="dxa"/>
                    </w:tcPr>
                    <w:p>
                      <w:pPr>
                        <w:rPr>
                          <w:color w:val="000000"/>
                        </w:rPr>
                      </w:pPr>
                      <w:r>
                        <w:rPr>
                          <w:color w:val="000000"/>
                        </w:rPr>
                        <w:t>Bendra suma, eurai</w:t>
                      </w:r>
                    </w:p>
                  </w:tc>
                </w:tr>
                <w:tr>
                  <w:tc>
                    <w:tcPr>
                      <w:tcW w:w="1559" w:type="dxa"/>
                    </w:tcPr>
                    <w:p>
                      <w:pPr>
                        <w:rPr>
                          <w:color w:val="000000"/>
                        </w:rPr>
                      </w:pPr>
                      <w:r>
                        <w:rPr>
                          <w:color w:val="000000"/>
                        </w:rPr>
                        <w:t>7.1.</w:t>
                      </w:r>
                    </w:p>
                  </w:tc>
                  <w:tc>
                    <w:tcPr>
                      <w:tcW w:w="5839" w:type="dxa"/>
                    </w:tcPr>
                    <w:p>
                      <w:pPr>
                        <w:rPr>
                          <w:color w:val="000000"/>
                        </w:rPr>
                      </w:pPr>
                      <w:r>
                        <w:rPr>
                          <w:bCs/>
                          <w:iCs/>
                          <w:color w:val="000000"/>
                          <w:szCs w:val="24"/>
                        </w:rPr>
                        <w:t>Ambulatorinių psichikos sveikatos paslaugų ir psichosocialinės reabilitacijos plėtrai reikalingos infrastruktūros įrengimas, Sostinės regionas</w:t>
                      </w:r>
                    </w:p>
                  </w:tc>
                  <w:tc>
                    <w:tcPr>
                      <w:tcW w:w="1558" w:type="dxa"/>
                    </w:tcPr>
                    <w:p>
                      <w:pPr>
                        <w:rPr>
                          <w:color w:val="000000"/>
                        </w:rPr>
                      </w:pPr>
                      <w:r>
                        <w:rPr>
                          <w:color w:val="000000"/>
                        </w:rPr>
                        <w:t>Sostinės</w:t>
                      </w:r>
                    </w:p>
                  </w:tc>
                  <w:tc>
                    <w:tcPr>
                      <w:tcW w:w="1844" w:type="dxa"/>
                    </w:tcPr>
                    <w:p>
                      <w:pPr>
                        <w:rPr>
                          <w:color w:val="000000"/>
                        </w:rPr>
                      </w:pPr>
                      <w:r>
                        <w:rPr>
                          <w:color w:val="000000"/>
                        </w:rPr>
                        <w:t>5</w:t>
                      </w:r>
                      <w:r>
                        <w:rPr>
                          <w:color w:val="000000"/>
                          <w:lang w:val="en-US"/>
                        </w:rPr>
                        <w:t>85</w:t>
                      </w:r>
                      <w:r>
                        <w:rPr>
                          <w:color w:val="000000"/>
                        </w:rPr>
                        <w:t xml:space="preserve"> 000,00</w:t>
                      </w:r>
                    </w:p>
                  </w:tc>
                  <w:tc>
                    <w:tcPr>
                      <w:tcW w:w="1558" w:type="dxa"/>
                    </w:tcPr>
                    <w:p>
                      <w:pPr>
                        <w:rPr>
                          <w:color w:val="000000"/>
                        </w:rPr>
                      </w:pPr>
                      <w:r>
                        <w:rPr>
                          <w:color w:val="000000"/>
                        </w:rPr>
                        <w:t>585 000,00</w:t>
                      </w:r>
                    </w:p>
                  </w:tc>
                  <w:tc>
                    <w:tcPr>
                      <w:tcW w:w="1846" w:type="dxa"/>
                    </w:tcPr>
                    <w:p>
                      <w:pPr>
                        <w:rPr>
                          <w:color w:val="000000"/>
                        </w:rPr>
                      </w:pPr>
                      <w:r>
                        <w:rPr>
                          <w:color w:val="000000"/>
                        </w:rPr>
                        <w:t>1 170 000,00</w:t>
                      </w:r>
                    </w:p>
                  </w:tc>
                </w:tr>
                <w:tr>
                  <w:tc>
                    <w:tcPr>
                      <w:tcW w:w="1559" w:type="dxa"/>
                    </w:tcPr>
                    <w:p>
                      <w:pPr>
                        <w:rPr>
                          <w:color w:val="000000"/>
                        </w:rPr>
                      </w:pPr>
                      <w:r>
                        <w:rPr>
                          <w:color w:val="000000"/>
                        </w:rPr>
                        <w:t>7.2.</w:t>
                      </w:r>
                    </w:p>
                  </w:tc>
                  <w:tc>
                    <w:tcPr>
                      <w:tcW w:w="5839" w:type="dxa"/>
                    </w:tcPr>
                    <w:p>
                      <w:pPr>
                        <w:rPr>
                          <w:color w:val="000000"/>
                          <w:szCs w:val="24"/>
                        </w:rPr>
                      </w:pPr>
                      <w:r>
                        <w:rPr>
                          <w:iCs/>
                          <w:color w:val="000000"/>
                          <w:szCs w:val="24"/>
                        </w:rPr>
                        <w:t>Ambulatorinių psichikos sveikatos paslaugų ir psichosocialinės reabilitacijos plėtrai reikalingos infrastruktūros įrengimas, Vidurio ir vakarų Lietuvos regionas</w:t>
                      </w:r>
                    </w:p>
                  </w:tc>
                  <w:tc>
                    <w:tcPr>
                      <w:tcW w:w="1558" w:type="dxa"/>
                    </w:tcPr>
                    <w:p>
                      <w:pPr>
                        <w:rPr>
                          <w:color w:val="000000"/>
                        </w:rPr>
                      </w:pPr>
                      <w:r>
                        <w:rPr>
                          <w:iCs/>
                          <w:color w:val="000000"/>
                        </w:rPr>
                        <w:t xml:space="preserve">Vidurio ir vakarų Lietuvos </w:t>
                      </w:r>
                    </w:p>
                  </w:tc>
                  <w:tc>
                    <w:tcPr>
                      <w:tcW w:w="1844" w:type="dxa"/>
                    </w:tcPr>
                    <w:p>
                      <w:pPr>
                        <w:rPr>
                          <w:color w:val="000000"/>
                        </w:rPr>
                      </w:pPr>
                      <w:r>
                        <w:rPr>
                          <w:color w:val="000000"/>
                        </w:rPr>
                        <w:t>1 900 600,00</w:t>
                      </w:r>
                    </w:p>
                  </w:tc>
                  <w:tc>
                    <w:tcPr>
                      <w:tcW w:w="1558" w:type="dxa"/>
                    </w:tcPr>
                    <w:p>
                      <w:pPr>
                        <w:rPr>
                          <w:color w:val="000000"/>
                        </w:rPr>
                      </w:pPr>
                      <w:r>
                        <w:rPr>
                          <w:color w:val="000000"/>
                        </w:rPr>
                        <w:t>335 400,00</w:t>
                      </w:r>
                    </w:p>
                  </w:tc>
                  <w:tc>
                    <w:tcPr>
                      <w:tcW w:w="1846" w:type="dxa"/>
                    </w:tcPr>
                    <w:p>
                      <w:pPr>
                        <w:rPr>
                          <w:color w:val="000000"/>
                        </w:rPr>
                      </w:pPr>
                      <w:r>
                        <w:rPr>
                          <w:color w:val="000000"/>
                        </w:rPr>
                        <w:t xml:space="preserve">2 236 000,00 </w:t>
                      </w:r>
                    </w:p>
                    <w:p>
                      <w:pPr>
                        <w:rPr>
                          <w:strike/>
                          <w:color w:val="000000"/>
                        </w:rPr>
                      </w:pPr>
                    </w:p>
                  </w:tc>
                </w:tr>
                <w:tr>
                  <w:tc>
                    <w:tcPr>
                      <w:tcW w:w="1559" w:type="dxa"/>
                    </w:tcPr>
                    <w:p>
                      <w:pPr>
                        <w:rPr>
                          <w:color w:val="000000"/>
                        </w:rPr>
                      </w:pPr>
                    </w:p>
                  </w:tc>
                  <w:tc>
                    <w:tcPr>
                      <w:tcW w:w="5839" w:type="dxa"/>
                    </w:tcPr>
                    <w:p>
                      <w:pPr>
                        <w:rPr>
                          <w:color w:val="000000"/>
                        </w:rPr>
                      </w:pPr>
                    </w:p>
                  </w:tc>
                  <w:tc>
                    <w:tcPr>
                      <w:tcW w:w="1558" w:type="dxa"/>
                    </w:tcPr>
                    <w:p>
                      <w:pPr>
                        <w:rPr>
                          <w:color w:val="000000"/>
                        </w:rPr>
                      </w:pPr>
                      <w:r>
                        <w:rPr>
                          <w:rFonts w:eastAsia="Calibri"/>
                          <w:color w:val="000000"/>
                        </w:rPr>
                        <w:t>Iš viso:</w:t>
                      </w:r>
                    </w:p>
                  </w:tc>
                  <w:tc>
                    <w:tcPr>
                      <w:tcW w:w="1844" w:type="dxa"/>
                    </w:tcPr>
                    <w:p>
                      <w:pPr>
                        <w:rPr>
                          <w:iCs/>
                          <w:color w:val="000000"/>
                        </w:rPr>
                      </w:pPr>
                      <w:r>
                        <w:rPr>
                          <w:iCs/>
                          <w:color w:val="000000"/>
                        </w:rPr>
                        <w:t>2 485 600,00</w:t>
                      </w:r>
                    </w:p>
                  </w:tc>
                  <w:tc>
                    <w:tcPr>
                      <w:tcW w:w="1558" w:type="dxa"/>
                    </w:tcPr>
                    <w:p>
                      <w:pPr>
                        <w:rPr>
                          <w:iCs/>
                          <w:color w:val="000000"/>
                        </w:rPr>
                      </w:pPr>
                      <w:r>
                        <w:rPr>
                          <w:iCs/>
                          <w:color w:val="000000"/>
                        </w:rPr>
                        <w:t>920 400,00</w:t>
                      </w:r>
                    </w:p>
                  </w:tc>
                  <w:tc>
                    <w:tcPr>
                      <w:tcW w:w="1846" w:type="dxa"/>
                    </w:tcPr>
                    <w:p>
                      <w:pPr>
                        <w:rPr>
                          <w:iCs/>
                          <w:color w:val="000000"/>
                        </w:rPr>
                      </w:pPr>
                      <w:r>
                        <w:rPr>
                          <w:iCs/>
                          <w:color w:val="000000"/>
                        </w:rPr>
                        <w:t>3 406 000,00</w:t>
                      </w:r>
                    </w:p>
                  </w:tc>
                </w:tr>
              </w:tbl>
              <w:p>
                <w:pPr>
                  <w:tabs>
                    <w:tab w:val="left" w:pos="462"/>
                  </w:tabs>
                  <w:spacing w:line="276" w:lineRule="auto"/>
                  <w:jc w:val="both"/>
                  <w:rPr>
                    <w:color w:val="000000"/>
                  </w:rPr>
                </w:pPr>
                <w:r>
                  <w:rPr>
                    <w:color w:val="000000"/>
                  </w:rPr>
                  <w:t xml:space="preserve">2.10. Projektams taikomos matomumo ir informavimo priemonės nurodytos PAFT VIII skyriaus „Kiti projektų reikalavimai“ pirmame skirsnyje „Informavimas apie projektą ir komunikacija“. Kiti reikalavimai dėl matomumo ir informavimo nurodyti Aprašo 12 punkte. </w:t>
                </w:r>
              </w:p>
              <w:p>
                <w:pPr>
                  <w:tabs>
                    <w:tab w:val="left" w:pos="604"/>
                    <w:tab w:val="left" w:pos="1450"/>
                  </w:tabs>
                  <w:spacing w:line="276" w:lineRule="auto"/>
                  <w:ind w:left="480" w:hanging="480"/>
                  <w:jc w:val="both"/>
                  <w:rPr>
                    <w:color w:val="000000"/>
                    <w:szCs w:val="24"/>
                  </w:rPr>
                </w:pPr>
                <w:r>
                  <w:rPr>
                    <w:color w:val="000000"/>
                    <w:szCs w:val="24"/>
                  </w:rPr>
                  <w:t>2.11.</w:t>
                  <w:tab/>
                </w:r>
                <w:r>
                  <w:rPr>
                    <w:color w:val="000000"/>
                    <w:szCs w:val="24"/>
                    <w:lang w:eastAsia="lt-LT"/>
                  </w:rPr>
                  <w:t>Kartu su PĮP (</w:t>
                </w:r>
                <w:r>
                  <w:rPr>
                    <w:color w:val="000000"/>
                    <w:szCs w:val="24"/>
                  </w:rPr>
                  <w:t>PAFT 1 priedas „P</w:t>
                </w:r>
                <w:r>
                  <w:rPr>
                    <w:color w:val="000000"/>
                  </w:rPr>
                  <w:t>rojekto įgyvendinimo plano forma“</w:t>
                </w:r>
                <w:r>
                  <w:rPr>
                    <w:color w:val="000000"/>
                    <w:szCs w:val="24"/>
                    <w:lang w:eastAsia="lt-LT"/>
                  </w:rPr>
                  <w:t>) administruojančiajai institucijai turi būti pateikti šie dokumentai (informacija):</w:t>
                </w:r>
              </w:p>
              <w:p>
                <w:pPr>
                  <w:tabs>
                    <w:tab w:val="left" w:pos="604"/>
                  </w:tabs>
                  <w:spacing w:line="276" w:lineRule="auto"/>
                  <w:jc w:val="both"/>
                  <w:rPr>
                    <w:color w:val="000000"/>
                    <w:szCs w:val="24"/>
                  </w:rPr>
                </w:pPr>
                <w:r>
                  <w:rPr>
                    <w:color w:val="000000"/>
                    <w:szCs w:val="24"/>
                  </w:rPr>
                  <w:t>2.11.1. į</w:t>
                </w:r>
                <w:r>
                  <w:rPr>
                    <w:color w:val="000000"/>
                    <w:szCs w:val="24"/>
                    <w:lang w:eastAsia="lt-LT"/>
                  </w:rPr>
                  <w:t>galiojimas pasirašyti PĮP, jei jį pasirašo ne pareiškėjo įstaigos vadovas;</w:t>
                </w:r>
              </w:p>
              <w:p>
                <w:pPr>
                  <w:tabs>
                    <w:tab w:val="left" w:pos="680"/>
                    <w:tab w:val="decimal" w:pos="743"/>
                  </w:tabs>
                  <w:spacing w:line="276" w:lineRule="auto"/>
                  <w:jc w:val="both"/>
                  <w:rPr>
                    <w:color w:val="000000"/>
                    <w:szCs w:val="24"/>
                  </w:rPr>
                </w:pPr>
                <w:r>
                  <w:rPr>
                    <w:color w:val="000000"/>
                    <w:szCs w:val="24"/>
                  </w:rPr>
                  <w:t>2.11.2. i</w:t>
                </w:r>
                <w:r>
                  <w:rPr>
                    <w:color w:val="000000"/>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pPr>
                  <w:tabs>
                    <w:tab w:val="left" w:pos="680"/>
                  </w:tabs>
                  <w:spacing w:line="276" w:lineRule="auto"/>
                  <w:jc w:val="both"/>
                  <w:rPr>
                    <w:color w:val="000000"/>
                    <w:szCs w:val="24"/>
                  </w:rPr>
                </w:pPr>
                <w:r>
                  <w:rPr>
                    <w:color w:val="000000"/>
                    <w:szCs w:val="24"/>
                  </w:rPr>
                  <w:t>2.11.3. d</w:t>
                </w:r>
                <w:r>
                  <w:rPr>
                    <w:color w:val="000000"/>
                    <w:szCs w:val="24"/>
                    <w:lang w:eastAsia="lt-LT"/>
                  </w:rPr>
                  <w:t xml:space="preserve">okumentai, pagrindžiantys projekto išlaidų pagrįstumą (sudarytos sutartys, komerciniai pasiūlymai, nuorodos į rinkoje esančias kainas (pvz.,  Centrinėje viešųjų pirkimų informacinėje sistemoje) ir kt.);</w:t>
                </w:r>
              </w:p>
              <w:p>
                <w:pPr>
                  <w:tabs>
                    <w:tab w:val="left" w:pos="680"/>
                  </w:tabs>
                  <w:spacing w:line="276" w:lineRule="auto"/>
                  <w:jc w:val="both"/>
                  <w:rPr>
                    <w:color w:val="000000"/>
                    <w:szCs w:val="24"/>
                    <w:lang w:eastAsia="lt-LT"/>
                  </w:rPr>
                </w:pPr>
                <w:r>
                  <w:rPr>
                    <w:color w:val="000000"/>
                    <w:szCs w:val="24"/>
                  </w:rPr>
                  <w:t>2.11.4. d</w:t>
                </w:r>
                <w:r>
                  <w:rPr>
                    <w:color w:val="000000"/>
                    <w:szCs w:val="24"/>
                    <w:lang w:eastAsia="lt-LT"/>
                  </w:rPr>
                  <w:t>okumentų, patvirtinančių daiktines pareiškėjo teises į žemės sklypą arba kitą nekilnojamąjį turtą, valdymo ar naudojimo teisę, kopijos, įregistruotos nekilnojamojo turto kadastro ir registre (jei taikoma);</w:t>
                </w:r>
              </w:p>
              <w:p>
                <w:pPr>
                  <w:tabs>
                    <w:tab w:val="left" w:pos="680"/>
                  </w:tabs>
                  <w:spacing w:line="276" w:lineRule="auto"/>
                  <w:jc w:val="both"/>
                  <w:rPr>
                    <w:color w:val="000000"/>
                    <w:szCs w:val="24"/>
                    <w:lang w:eastAsia="lt-LT"/>
                  </w:rPr>
                </w:pPr>
                <w:r>
                  <w:rPr>
                    <w:color w:val="000000"/>
                    <w:szCs w:val="24"/>
                    <w:lang w:eastAsia="lt-LT"/>
                  </w:rPr>
                  <w:t xml:space="preserve">2.11.5. jei statinys ar sklypas, kuriame numatoma atlikti statybos darbus, pareiškėjui priklauso ne nuosavybės teise, pateikiama turto valdymo / naudojimo sutarties kopija ir turto valdytojo raštiškas sutikimas vykdyti projekto veiklas (jei toks sutikimas nėra išreikštas turto perdavimo valdyti / naudotis sutartyje); </w:t>
                </w:r>
              </w:p>
              <w:p>
                <w:pPr>
                  <w:tabs>
                    <w:tab w:val="left" w:pos="680"/>
                  </w:tabs>
                  <w:spacing w:line="276" w:lineRule="auto"/>
                  <w:jc w:val="both"/>
                  <w:rPr>
                    <w:color w:val="000000"/>
                    <w:szCs w:val="24"/>
                  </w:rPr>
                </w:pPr>
                <w:r>
                  <w:rPr>
                    <w:color w:val="000000"/>
                    <w:szCs w:val="24"/>
                    <w:lang w:eastAsia="lt-LT"/>
                  </w:rPr>
                  <w:t>2.11.6. jei nurodytos daiktinės teisės galioja trumpiau nei penkerius metus nuo projekto finansavimo pabaigos, turi būti pateikiamas įsipareigojimas užtikrinti šį reikalavimą;</w:t>
                </w:r>
              </w:p>
              <w:p>
                <w:pPr>
                  <w:tabs>
                    <w:tab w:val="left" w:pos="680"/>
                  </w:tabs>
                  <w:spacing w:line="276" w:lineRule="auto"/>
                  <w:jc w:val="both"/>
                  <w:rPr>
                    <w:color w:val="000000"/>
                    <w:szCs w:val="24"/>
                  </w:rPr>
                </w:pPr>
                <w:r>
                  <w:rPr>
                    <w:color w:val="000000"/>
                    <w:szCs w:val="24"/>
                  </w:rPr>
                  <w:t>2.11.7. j</w:t>
                </w:r>
                <w:r>
                  <w:rPr>
                    <w:color w:val="000000"/>
                    <w:szCs w:val="24"/>
                    <w:lang w:eastAsia="lt-LT"/>
                  </w:rPr>
                  <w:t>ei statinys, kuriame numatoma atlikti rangos darbus, turi bendraturčių, statinio bendraturčių sutikimo vykdyti statybos darbus kopija;</w:t>
                </w:r>
              </w:p>
              <w:p>
                <w:pPr>
                  <w:tabs>
                    <w:tab w:val="left" w:pos="743"/>
                  </w:tabs>
                  <w:spacing w:line="276" w:lineRule="auto"/>
                  <w:jc w:val="both"/>
                  <w:rPr>
                    <w:lang w:eastAsia="lt-LT"/>
                  </w:rPr>
                </w:pPr>
                <w:r>
                  <w:rPr>
                    <w:color w:val="000000"/>
                    <w:szCs w:val="24"/>
                  </w:rPr>
                  <w:t xml:space="preserve">2.11.8. </w:t>
                </w:r>
                <w:r>
                  <w:rPr>
                    <w:lang w:eastAsia="lt-LT"/>
                  </w:rPr>
                  <w:t>statinio projekto,</w:t>
                </w:r>
                <w:r>
                  <w:rPr>
                    <w:color w:val="000000"/>
                    <w:szCs w:val="24"/>
                  </w:rPr>
                  <w:t xml:space="preserve"> </w:t>
                </w:r>
                <w:r>
                  <w:t>j</w:t>
                </w:r>
                <w:r>
                  <w:rPr>
                    <w:lang w:eastAsia="lt-LT"/>
                  </w:rPr>
                  <w:t>ei projekte numatomi statybos darbai ir yra parengtas pagal Lietuvos Respublikos statybos įstatymą privalomas statinio projektas, kopija;</w:t>
                </w:r>
              </w:p>
              <w:p>
                <w:pPr>
                  <w:tabs>
                    <w:tab w:val="left" w:pos="743"/>
                  </w:tabs>
                  <w:spacing w:line="276" w:lineRule="auto"/>
                  <w:jc w:val="both"/>
                  <w:rPr>
                    <w:lang w:eastAsia="lt-LT"/>
                  </w:rPr>
                </w:pPr>
                <w:r>
                  <w:rPr>
                    <w:lang w:eastAsia="lt-LT"/>
                  </w:rPr>
                  <w:t>2.11.9. statybą leidžiančio dokumento, jei toks yra gautas, kopija;</w:t>
                </w:r>
              </w:p>
              <w:p>
                <w:pPr>
                  <w:tabs>
                    <w:tab w:val="left" w:pos="743"/>
                  </w:tabs>
                  <w:spacing w:line="276" w:lineRule="auto"/>
                  <w:jc w:val="both"/>
                  <w:rPr>
                    <w:color w:val="000000"/>
                    <w:szCs w:val="24"/>
                  </w:rPr>
                </w:pPr>
                <w:r>
                  <w:rPr>
                    <w:color w:val="000000"/>
                    <w:szCs w:val="24"/>
                  </w:rPr>
                  <w:t>2.11.10. j</w:t>
                </w:r>
                <w:r>
                  <w:rPr>
                    <w:color w:val="000000"/>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pPr>
                  <w:tabs>
                    <w:tab w:val="left" w:pos="743"/>
                  </w:tabs>
                  <w:spacing w:line="276" w:lineRule="auto"/>
                  <w:ind w:firstLine="36"/>
                  <w:jc w:val="both"/>
                  <w:rPr>
                    <w:color w:val="000000"/>
                    <w:szCs w:val="24"/>
                  </w:rPr>
                </w:pPr>
                <w:r>
                  <w:rPr>
                    <w:color w:val="000000"/>
                    <w:szCs w:val="24"/>
                  </w:rPr>
                  <w:t>2.11.11. j</w:t>
                </w:r>
                <w:r>
                  <w:rPr>
                    <w:color w:val="000000"/>
                    <w:szCs w:val="24"/>
                    <w:lang w:eastAsia="lt-LT"/>
                  </w:rPr>
                  <w:t xml:space="preserve">ei projekte numatomi statybos darbai ir statinio projektą rengti privaloma, tačiau jis dar nėra parengtas ir patvirtintas, teikiama patvirtintos statinio projektavimo užduoties kopija; </w:t>
                </w:r>
              </w:p>
              <w:p>
                <w:pPr>
                  <w:tabs>
                    <w:tab w:val="left" w:pos="743"/>
                  </w:tabs>
                  <w:spacing w:line="276" w:lineRule="auto"/>
                  <w:ind w:firstLine="36"/>
                  <w:jc w:val="both"/>
                  <w:rPr>
                    <w:color w:val="000000"/>
                    <w:szCs w:val="24"/>
                  </w:rPr>
                </w:pPr>
                <w:r>
                  <w:rPr>
                    <w:color w:val="000000"/>
                    <w:szCs w:val="24"/>
                  </w:rPr>
                  <w:t>2.11.12. j</w:t>
                </w:r>
                <w:r>
                  <w:rPr>
                    <w:color w:val="000000"/>
                    <w:szCs w:val="24"/>
                    <w:lang w:eastAsia="lt-LT"/>
                  </w:rPr>
                  <w:t>ei projekte numatomi statybos darbai ir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pPr>
                  <w:tabs>
                    <w:tab w:val="left" w:pos="743"/>
                  </w:tabs>
                  <w:spacing w:line="276" w:lineRule="auto"/>
                  <w:ind w:firstLine="36"/>
                  <w:jc w:val="both"/>
                  <w:rPr>
                    <w:highlight w:val="yellow"/>
                    <w:lang w:eastAsia="lt-LT"/>
                  </w:rPr>
                </w:pPr>
                <w:r>
                  <w:rPr>
                    <w:color w:val="000000"/>
                    <w:szCs w:val="24"/>
                  </w:rPr>
                  <w:t>2.11.13. p</w:t>
                </w:r>
                <w:r>
                  <w:rPr>
                    <w:color w:val="000000"/>
                    <w:szCs w:val="24"/>
                    <w:lang w:eastAsia="lt-LT"/>
                  </w:rPr>
                  <w:t xml:space="preserve">areiškėjo įsipareigojimo padengti netinkamas finansuoti, tačiau šiam projektui įgyvendinti būtinas išlaidas, ir tinkamas išlaidas, kurių nepadengia projekto finansavimas, pagrindimo dokumentas (įstaigos finansinės ataskaitos, teritorinei ligonių kasai teikta Lietuvos nacionalinės sveikatos sistemos ASPĮ finansinės veiklos ataskaita, </w:t>
                </w:r>
                <w:r>
                  <w:rPr>
                    <w:bCs/>
                    <w:iCs/>
                    <w:color w:val="000000"/>
                    <w:szCs w:val="24"/>
                    <w:lang w:eastAsia="lt-LT"/>
                  </w:rPr>
                  <w:t>savivaldybės tarybos sprendimas</w:t>
                </w:r>
                <w:r>
                  <w:rPr>
                    <w:color w:val="000000"/>
                    <w:szCs w:val="24"/>
                    <w:lang w:eastAsia="lt-LT"/>
                  </w:rPr>
                  <w:t>, banko sąskaitos išrašas ar kt. dokumentai).</w:t>
                </w:r>
                <w:r>
                  <w:rPr>
                    <w:highlight w:val="yellow"/>
                    <w:lang w:eastAsia="lt-LT"/>
                  </w:rPr>
                  <w:t xml:space="preserve"> </w:t>
                </w:r>
              </w:p>
              <w:p>
                <w:pPr>
                  <w:tabs>
                    <w:tab w:val="left" w:pos="743"/>
                  </w:tabs>
                  <w:spacing w:line="276" w:lineRule="auto"/>
                  <w:ind w:firstLine="36"/>
                  <w:jc w:val="both"/>
                  <w:rPr>
                    <w:lang w:eastAsia="lt-LT"/>
                  </w:rPr>
                </w:pPr>
                <w:r>
                  <w:rPr>
                    <w:lang w:eastAsia="lt-LT"/>
                  </w:rPr>
                  <w:t xml:space="preserve">2.12. Jei projekte numatomi statybos darbai, teikiama visos sudėties statinio techninio projekto elektroninė versija PDF formatu arba tokiu formatu, kad būtų galima peržiūrėti naudojantis </w:t>
                </w:r>
                <w:r>
                  <w:rPr>
                    <w:i/>
                    <w:iCs/>
                    <w:lang w:eastAsia="lt-LT"/>
                  </w:rPr>
                  <w:t>Microsoft Office</w:t>
                </w:r>
                <w:r>
                  <w:rPr>
                    <w:lang w:eastAsia="lt-LT"/>
                  </w:rPr>
                  <w:t xml:space="preserve"> programine įranga. Jei yra gautas statybą leidžiantis dokumentas, kartu pateikiama jo kopija.</w:t>
                </w:r>
              </w:p>
              <w:p>
                <w:pPr>
                  <w:spacing w:line="276" w:lineRule="auto"/>
                  <w:jc w:val="both"/>
                  <w:rPr>
                    <w:rFonts w:ascii="Calibri" w:hAnsi="Calibri" w:cs="Calibri"/>
                  </w:rPr>
                </w:pPr>
                <w:r>
                  <w:t>2.13. Tais atvejais, kai pareiškėjas yra ne valstybės ar savivaldybės ASPĮ, pareiškėjas turi užtikrinti, kad projekto metu sukurta infrastruktūra bei įsigytas turtas bus naudojamas tik Privalomojo sveikatos draudimo fondo lėšomis pagal sutartis su teritorine ligonių kasa finansuojamoms GBK paslaugoms teikti ir nebus naudojamas įstaigos kitai ekonominei veiklai vykdyti. Toks pareiškėjo įsipareigojimas turi būti pateiktas raštu, pasirašytas pareiškėjo įstaigos vadovo ar jo įgalioto asmens kartu su PĮP.</w:t>
                </w:r>
              </w:p>
            </w:tc>
          </w:tr>
          <w:tr>
            <w:tc>
              <w:tcPr>
                <w:tcW w:w="14885" w:type="dxa"/>
              </w:tcPr>
              <w:p>
                <w:pPr>
                  <w:spacing w:line="276" w:lineRule="auto"/>
                  <w:jc w:val="both"/>
                  <w:rPr>
                    <w:iCs/>
                    <w:szCs w:val="24"/>
                  </w:rPr>
                </w:pPr>
                <w:r>
                  <w:rPr>
                    <w:b/>
                    <w:szCs w:val="24"/>
                  </w:rPr>
                  <w:t>3. Reikalavimai jungtinio projekto projektams</w:t>
                </w:r>
              </w:p>
            </w:tc>
          </w:tr>
          <w:tr>
            <w:trPr>
              <w:trHeight w:val="443"/>
            </w:trPr>
            <w:tc>
              <w:tcPr>
                <w:tcW w:w="14885" w:type="dxa"/>
              </w:tcPr>
              <w:p>
                <w:pPr>
                  <w:spacing w:line="276" w:lineRule="auto"/>
                  <w:jc w:val="both"/>
                  <w:rPr>
                    <w:szCs w:val="24"/>
                  </w:rPr>
                </w:pPr>
                <w:r>
                  <w:rPr>
                    <w:szCs w:val="24"/>
                  </w:rPr>
                  <w:t>Netaikoma.</w:t>
                </w:r>
              </w:p>
            </w:tc>
          </w:tr>
          <w:tr>
            <w:trPr>
              <w:trHeight w:val="443"/>
            </w:trPr>
            <w:tc>
              <w:tcPr>
                <w:tcW w:w="14885" w:type="dxa"/>
              </w:tcPr>
              <w:p>
                <w:pPr>
                  <w:spacing w:line="276" w:lineRule="auto"/>
                  <w:jc w:val="both"/>
                  <w:rPr>
                    <w:szCs w:val="24"/>
                  </w:rPr>
                </w:pPr>
                <w:r>
                  <w:rPr>
                    <w:b/>
                    <w:szCs w:val="24"/>
                  </w:rPr>
                  <w:t>4. Projekto tikslinės grupės</w:t>
                </w:r>
              </w:p>
            </w:tc>
          </w:tr>
          <w:tr>
            <w:trPr>
              <w:trHeight w:val="443"/>
            </w:trPr>
            <w:tc>
              <w:tcPr>
                <w:tcW w:w="14885" w:type="dxa"/>
              </w:tcPr>
              <w:p>
                <w:pPr>
                  <w:spacing w:line="276" w:lineRule="auto"/>
                  <w:jc w:val="both"/>
                  <w:rPr>
                    <w:szCs w:val="24"/>
                  </w:rPr>
                </w:pPr>
                <w:r>
                  <w:rPr>
                    <w:szCs w:val="24"/>
                  </w:rPr>
                  <w:t>Socialiai pažeidžiami, socialinę riziką (atskirtį) patiriantys asmenys, neįgalūs asmenys, senyvo amžiaus asmenys.</w:t>
                </w:r>
              </w:p>
            </w:tc>
          </w:tr>
          <w:tr>
            <w:trPr>
              <w:trHeight w:val="353"/>
            </w:trPr>
            <w:tc>
              <w:tcPr>
                <w:tcW w:w="14885" w:type="dxa"/>
              </w:tcPr>
              <w:p>
                <w:pPr>
                  <w:spacing w:line="276" w:lineRule="auto"/>
                  <w:rPr>
                    <w:sz w:val="22"/>
                    <w:szCs w:val="22"/>
                  </w:rPr>
                </w:pPr>
                <w:r>
                  <w:rPr>
                    <w:b/>
                    <w:szCs w:val="24"/>
                  </w:rPr>
                  <w:t>5. Horizontaliųjų principų (toliau – HP) reikalavimai</w:t>
                </w:r>
              </w:p>
            </w:tc>
          </w:tr>
          <w:tr>
            <w:trPr>
              <w:trHeight w:val="556"/>
            </w:trPr>
            <w:tc>
              <w:tcPr>
                <w:tcW w:w="14885" w:type="dxa"/>
              </w:tcPr>
              <w:p>
                <w:pPr>
                  <w:spacing w:line="276" w:lineRule="auto"/>
                  <w:jc w:val="both"/>
                  <w:rPr>
                    <w:szCs w:val="24"/>
                    <w:shd w:val="clear" w:color="auto" w:fill="FFFFFF"/>
                    <w:lang w:eastAsia="lt-LT"/>
                  </w:rPr>
                </w:pPr>
                <w:r>
                  <w:rPr>
                    <w:szCs w:val="24"/>
                  </w:rPr>
                  <w:t>5.1.</w:t>
                </w:r>
                <w:r>
                  <w:rPr>
                    <w:color w:val="FF0000"/>
                    <w:szCs w:val="24"/>
                  </w:rPr>
                  <w:t xml:space="preserve"> </w:t>
                </w: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(vykdomi inovatyvūs viešieji pirkimai, taikomos naujos technologijos, kuriami ar diegiami inovatyvūs sprendimai ir pan.) bei atsižvelgiama į Jungtinių Tautų neįgaliųjų teisių konvencijos nuostatas. Neturi būti numatyta projekto įgyvendinimo veiksmų, kurie turėtų neigiamą poveikį laikantis HP.</w:t>
                </w:r>
              </w:p>
              <w:p>
                <w:pPr>
                  <w:jc w:val="both"/>
                </w:pPr>
                <w:r>
                  <w:t xml:space="preserve">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r>
                  <w:t>(ES) 2020/852</w:t>
                </w:r>
                <w:r>
                  <w:t xml:space="preserve"> dėl sistemos tvariam investavimui palengvinti sukūrimo, kuriuo iš dalies keičiamas Reglamentas </w:t>
                </w:r>
                <w:r>
                  <w:t>(ES) 2019/2088</w:t>
                </w:r>
                <w:r>
                  <w:t>, 17 straipsnyje. Projekto atitikties reikšmingos žalos nedarymo HP vertinimo reikalavimai pateikiami Aprašo priede „Projekto atitikties reikšmingos žalos nedarymo horizontaliajam principui vertinimo reikalavimų aprašas“.</w:t>
                </w:r>
              </w:p>
              <w:p>
                <w:pPr>
                  <w:jc w:val="both"/>
                </w:pPr>
                <w:r>
                  <w:t>5.2. Projekto įgyvendinimo metu taikomi reikalavimai:</w:t>
                </w:r>
              </w:p>
              <w:p>
                <w:pPr>
                  <w:tabs>
                    <w:tab w:val="left" w:pos="41"/>
                  </w:tabs>
                  <w:jc w:val="both"/>
                </w:pPr>
                <w:r>
                  <w:t>5.2.1. įsigyjamos elektromobilio padangos privalo atitikti aukščiausios klasės padangoms taikomus išorinio riedėjimo triukšmo reikalavimus ir dviejų aukščiausių klasių padangoms taikomą riedėjimo varžos koeficientą (darantį įtaką energijos vartojimo efektyvumui), nustatytą 2020 m. gegužės 25 d. Europos Parlamento ir Tarybos reglamentas (ES) 2020/740 dėl padangų ženklinimo pagal degalų naudojimo efektyvumą ir kitus parametrus, kuriuo iš dalies keičiamas Reglamentas (ES) 2017/1369 ir panaikinamas Reglamentas (EB) Nr. 1222/2009;</w:t>
                </w:r>
              </w:p>
              <w:p>
                <w:pPr>
                  <w:tabs>
                    <w:tab w:val="left" w:pos="41"/>
                  </w:tabs>
                  <w:jc w:val="both"/>
                </w:pPr>
                <w:r>
                  <w:t xml:space="preserve">5.2.2. vykdant statybos rangos darbus turi būti vadovaujamasi Lietuvos Respublikos statybos įstatymu ir (ar) statybos techniniu reglamentu </w:t>
                </w:r>
                <w:r>
                  <w:rPr>
                    <w:rFonts w:eastAsia="Calibri"/>
                    <w:bCs/>
                    <w:iCs/>
                    <w:szCs w:val="24"/>
                  </w:rPr>
                  <w:t>STR 2.01.02:2016 „Pastatų energinio naudingumo projektavimas ir sertifikavimas“, patvirtintu Lietuvos Respublikos aplinkos ministro 2016 m. lapkričio 11 d įsakymu Nr. D1-754 „Dėl statybos techninio reglamento STR 2.01.02:2016 „Pastatų energinio naudingumo projektavimas ir sertifikavimas“ patvirtinimo“.</w:t>
                </w:r>
              </w:p>
            </w:tc>
          </w:tr>
          <w:tr>
            <w:tc>
              <w:tcPr>
                <w:tcW w:w="14885" w:type="dxa"/>
              </w:tcPr>
              <w:p>
                <w:pPr>
                  <w:spacing w:line="276" w:lineRule="auto"/>
                  <w:rPr>
                    <w:b/>
                    <w:sz w:val="22"/>
                    <w:szCs w:val="22"/>
                  </w:rPr>
                </w:pPr>
                <w:r>
                  <w:rPr>
                    <w:b/>
                    <w:iCs/>
                    <w:szCs w:val="24"/>
                  </w:rPr>
                  <w:t>6. Europos Sąjungos pagrindinių teisių chartijos (toliau – Chartija) reikalavimai</w:t>
                </w:r>
              </w:p>
            </w:tc>
          </w:tr>
          <w:tr>
            <w:tc>
              <w:tcPr>
                <w:tcW w:w="14885" w:type="dxa"/>
              </w:tcPr>
              <w:p>
                <w:pPr>
                  <w:spacing w:line="276" w:lineRule="auto"/>
                  <w:jc w:val="both"/>
                  <w:rPr>
                    <w:szCs w:val="24"/>
                  </w:rPr>
                </w:pPr>
                <w:r>
                  <w:rPr>
                    <w:szCs w:val="24"/>
                  </w:rPr>
                  <w:t xml:space="preserve">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 </w:t>
                </w:r>
              </w:p>
            </w:tc>
          </w:tr>
          <w:tr>
            <w:tc>
              <w:tcPr>
                <w:tcW w:w="14885" w:type="dxa"/>
              </w:tcPr>
              <w:p>
                <w:pPr>
                  <w:spacing w:line="276" w:lineRule="auto"/>
                  <w:rPr>
                    <w:b/>
                    <w:szCs w:val="24"/>
                  </w:rPr>
                </w:pPr>
                <w:r>
                  <w:rPr>
                    <w:b/>
                    <w:szCs w:val="24"/>
                  </w:rPr>
                  <w:t>7. Apskritis, kurioje gali būti įgyvendinami projektai</w:t>
                </w:r>
              </w:p>
            </w:tc>
          </w:tr>
          <w:tr>
            <w:tc>
              <w:tcPr>
                <w:tcW w:w="14885" w:type="dxa"/>
              </w:tcPr>
              <w:p>
                <w:pPr>
                  <w:spacing w:line="276" w:lineRule="auto"/>
                  <w:jc w:val="both"/>
                  <w:rPr>
                    <w:iCs/>
                    <w:szCs w:val="24"/>
                  </w:rPr>
                </w:pPr>
                <w:r>
                  <w:rPr>
                    <w:iCs/>
                    <w:szCs w:val="24"/>
                  </w:rPr>
                  <w:t>Netaikoma.</w:t>
                </w:r>
              </w:p>
            </w:tc>
          </w:tr>
          <w:tr>
            <w:tc>
              <w:tcPr>
                <w:tcW w:w="14885" w:type="dxa"/>
              </w:tcPr>
              <w:p>
                <w:pPr>
                  <w:spacing w:line="276" w:lineRule="auto"/>
                  <w:jc w:val="both"/>
                  <w:rPr>
                    <w:b/>
                    <w:szCs w:val="24"/>
                  </w:rPr>
                </w:pPr>
                <w:r>
                  <w:rPr>
                    <w:b/>
                    <w:szCs w:val="24"/>
                  </w:rPr>
                  <w:t>8.</w:t>
                </w:r>
                <w:r>
                  <w:rPr>
                    <w:szCs w:val="24"/>
                  </w:rPr>
                  <w:t xml:space="preserve"> </w:t>
                </w:r>
                <w:r>
                  <w:rPr>
                    <w:b/>
                    <w:szCs w:val="24"/>
                  </w:rPr>
                  <w:t>Reikalavimai valstybės pagalbai (kurie nėra nurodyti kituose Aprašo punktuose)</w:t>
                </w:r>
              </w:p>
            </w:tc>
          </w:tr>
          <w:tr>
            <w:tc>
              <w:tcPr>
                <w:tcW w:w="14885" w:type="dxa"/>
              </w:tcPr>
              <w:p>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szCs w:val="24"/>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tc>
              <w:tcPr>
                <w:tcW w:w="14885" w:type="dxa"/>
              </w:tcPr>
              <w:p>
                <w:pPr>
                  <w:spacing w:line="276" w:lineRule="auto"/>
                  <w:ind w:left="426" w:hanging="426"/>
                  <w:jc w:val="both"/>
                  <w:rPr>
                    <w:b/>
                    <w:szCs w:val="24"/>
                  </w:rPr>
                </w:pPr>
                <w:r>
                  <w:rPr>
                    <w:b/>
                    <w:szCs w:val="24"/>
                  </w:rPr>
                  <w:t>9. Projektų atrankos kriterijai</w:t>
                </w:r>
              </w:p>
              <w:p>
                <w:pPr>
                  <w:spacing w:line="276" w:lineRule="auto"/>
                  <w:ind w:left="426" w:hanging="426"/>
                  <w:jc w:val="both"/>
                  <w:rPr>
                    <w:i/>
                    <w:szCs w:val="24"/>
                  </w:rPr>
                </w:pPr>
                <w:r>
                  <w:t xml:space="preserve">(Kiekvienas projektas turi atitikti </w:t>
                </w:r>
                <w:r>
                  <w:rPr>
                    <w:iCs/>
                    <w:color w:val="000000"/>
                  </w:rPr>
                  <w:t>PAFT 2 priede nustatytus projektų bendruosius atrankos kriterijus.)</w:t>
                </w:r>
              </w:p>
            </w:tc>
          </w:tr>
          <w:tr>
            <w:tc>
              <w:tcPr>
                <w:tcW w:w="14885" w:type="dxa"/>
              </w:tcPr>
              <w:p>
                <w:pPr>
                  <w:spacing w:line="276" w:lineRule="auto"/>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tc>
              <w:tcPr>
                <w:tcW w:w="14885" w:type="dxa"/>
              </w:tcPr>
              <w:p>
                <w:pPr>
                  <w:spacing w:line="276" w:lineRule="auto"/>
                  <w:rPr>
                    <w:bCs/>
                    <w:szCs w:val="24"/>
                  </w:rPr>
                </w:pPr>
                <w:r>
                  <w:rPr>
                    <w:bCs/>
                    <w:szCs w:val="24"/>
                  </w:rPr>
                  <w:t>Netaikoma.</w:t>
                </w:r>
              </w:p>
            </w:tc>
          </w:tr>
          <w:tr>
            <w:tc>
              <w:tcPr>
                <w:tcW w:w="14885" w:type="dxa"/>
              </w:tcPr>
              <w:p>
                <w:pPr>
                  <w:spacing w:line="276" w:lineRule="auto"/>
                  <w:rPr>
                    <w:b/>
                    <w:szCs w:val="24"/>
                  </w:rPr>
                </w:pPr>
                <w:r>
                  <w:rPr>
                    <w:b/>
                    <w:szCs w:val="24"/>
                  </w:rPr>
                  <w:t xml:space="preserve">11. Reikalavimai įgyvendinus projektų veiklas </w:t>
                </w:r>
              </w:p>
            </w:tc>
          </w:tr>
          <w:tr>
            <w:tc>
              <w:tcPr>
                <w:tcW w:w="14885" w:type="dxa"/>
              </w:tcPr>
              <w:p>
                <w:pPr>
                  <w:jc w:val="both"/>
                </w:pPr>
                <w:r>
                  <w:t xml:space="preserve">VšĮ Respublikinė Vilniaus psichiatrijos ligoninė, Lietuvos sveikatos mokslų universiteto Kauno ligoninė, VšĮ Respublikinė Klaipėdos ligoninė ir VšĮ Respublikinė Šiaulių ligoninė, įgyvendinusios projektus pagal šį Aprašą, turės sumažinti aktyviojo gydymo stacionarinių suaugusiųjų psichiatrijos paslaugų apimtis (2022 m. Higienos instituto duomenys): ne mažiau nei 2760 lovadienių per metus už įsteigtą pilnos apimties GBK arba 1380 lovadienių už įsteigtą 50 proc. mažesnės apimties GBK. </w:t>
                </w:r>
              </w:p>
              <w:p>
                <w:pPr>
                  <w:jc w:val="both"/>
                </w:pPr>
                <w:r>
                  <w:t xml:space="preserve">VšĮ Respublikinei Vilniaus psichiatrijos ligoninei, Lietuvos sveikatos mokslų universiteto Kauno ligoninei, VšĮ Respublikinei Klaipėdos ligoninei šis reikalavimas yra atskiras ir nedubliuoja dienos stacionarų paslaugų plėtros projektų reikalavimo mažinti paslaugų apimtis. </w:t>
                </w:r>
              </w:p>
              <w:p>
                <w:pPr>
                  <w:jc w:val="both"/>
                </w:pPr>
                <w:r>
                  <w:t>VšĮ Respublikinė Vilniaus psichiatrijos ligoninė, Lietuvos sveikatos mokslų universiteto Kauno ligoninė, VšĮ Respublikinė Klaipėdos ligoninė ir VšĮ Respublikinė Šiaulių ligoninė administruojančiajai institucijai su ketvirta ataskaita po projekto finansavimo pabaigos pateikia informaciją, gautą iš Higienos instituto, apie stacionarinio suaugusiųjų psichiatrijos aktyviojo gydymo lovadienių skaičiaus pokytį per praėjusius kalendorinius metus.</w:t>
                </w:r>
              </w:p>
            </w:tc>
          </w:tr>
          <w:tr>
            <w:tc>
              <w:tcPr>
                <w:tcW w:w="14885" w:type="dxa"/>
              </w:tcPr>
              <w:p>
                <w:pPr>
                  <w:spacing w:line="276" w:lineRule="auto"/>
                  <w:rPr>
                    <w:sz w:val="22"/>
                    <w:szCs w:val="22"/>
                  </w:rPr>
                </w:pPr>
                <w:r>
                  <w:rPr>
                    <w:b/>
                    <w:sz w:val="22"/>
                    <w:szCs w:val="22"/>
                  </w:rPr>
                  <w:t>12. Kiti reikalavimai</w:t>
                </w:r>
              </w:p>
            </w:tc>
          </w:tr>
          <w:tr>
            <w:tc>
              <w:tcPr>
                <w:tcW w:w="14885" w:type="dxa"/>
              </w:tcPr>
              <w:p>
                <w:pPr>
                  <w:tabs>
                    <w:tab w:val="left" w:pos="458"/>
                  </w:tabs>
                  <w:jc w:val="both"/>
                  <w:rPr>
                    <w:bCs/>
                    <w:szCs w:val="24"/>
                  </w:rPr>
                </w:pPr>
                <w:r>
                  <w:rPr>
                    <w:bCs/>
                    <w:szCs w:val="24"/>
                  </w:rPr>
                  <w:t xml:space="preserve">Vadovaudamasi Administravimo taisyklių 99.4 papunkčiu, projektą administruojanti institucija gali priimti PĮP, pateiktą po kvietime teikti projekto įgyvendinimo planus nustatyto PĮP pateikimo termino pabaigos, gavusi ir įvertinusi pareiškėjo argumentus. </w:t>
                </w:r>
              </w:p>
              <w:p>
                <w:pPr>
                  <w:tabs>
                    <w:tab w:val="left" w:pos="458"/>
                  </w:tabs>
                  <w:jc w:val="both"/>
                  <w:rPr>
                    <w:bCs/>
                    <w:szCs w:val="24"/>
                  </w:rPr>
                </w:pPr>
                <w:r>
                  <w:rPr>
                    <w:bCs/>
                    <w:szCs w:val="24"/>
                  </w:rPr>
                  <w:t xml:space="preserve">Projekto lėšomis įsigytos transporto priemonės nuo jų įsigijimo ir ne trumpiau kaip 5 metus po projekto finansavimo pabaigos turi būti pažymėtos lipduku (-ais) ar kita lygiaverte priemone pagal Investicijų programos viešinimo reikalavimus, kurie paskelbti https://esinvesticijos.lt/igyvendinimas-1/viesinimas.   </w:t>
                </w:r>
              </w:p>
            </w:tc>
          </w:tr>
          <w:tr>
            <w:tc>
              <w:tcPr>
                <w:tcW w:w="14885" w:type="dxa"/>
              </w:tcPr>
              <w:p>
                <w:pPr>
                  <w:spacing w:line="276" w:lineRule="auto"/>
                  <w:jc w:val="both"/>
                  <w:rPr>
                    <w:b/>
                    <w:szCs w:val="24"/>
                  </w:rPr>
                </w:pPr>
                <w:r>
                  <w:rPr>
                    <w:b/>
                    <w:szCs w:val="24"/>
                  </w:rPr>
                  <w:t>IŠLAIDŲ TINKAMUMO FINANSUOTI REIKALAVIMAI</w:t>
                </w:r>
              </w:p>
            </w:tc>
          </w:tr>
          <w:tr>
            <w:trPr>
              <w:trHeight w:val="403"/>
            </w:trPr>
            <w:tc>
              <w:tcPr>
                <w:tcW w:w="14885" w:type="dxa"/>
              </w:tcPr>
              <w:p>
                <w:pPr>
                  <w:spacing w:line="276" w:lineRule="auto"/>
                  <w:jc w:val="both"/>
                  <w:rPr>
                    <w:b/>
                    <w:szCs w:val="24"/>
                  </w:rPr>
                </w:pPr>
                <w:r>
                  <w:rPr>
                    <w:b/>
                    <w:szCs w:val="24"/>
                  </w:rPr>
                  <w:t>13. Išlaidų tinkamumo finansuoti reikalavimai</w:t>
                </w:r>
              </w:p>
            </w:tc>
          </w:tr>
          <w:tr>
            <w:trPr>
              <w:trHeight w:val="403"/>
            </w:trPr>
            <w:tc>
              <w:tcPr>
                <w:tcW w:w="14885" w:type="dxa"/>
              </w:tcPr>
              <w:p>
                <w:pPr>
                  <w:spacing w:line="259" w:lineRule="auto"/>
                  <w:jc w:val="both"/>
                  <w:rPr>
                    <w:bCs/>
                    <w:szCs w:val="24"/>
                  </w:rPr>
                </w:pPr>
                <w:r>
                  <w:rPr>
                    <w:bCs/>
                    <w:szCs w:val="24"/>
                  </w:rPr>
                  <w:t>13.1. Išlaidų tinkamumo finansuoti reikalavimai nustatyti PAFT VII skyriuje „Projektų išlaidų reikalavimai“.</w:t>
                </w:r>
                <w:r>
                  <w:rPr>
                    <w:rFonts w:ascii="Poppins" w:hAnsi="Poppins" w:cs="Poppins"/>
                    <w:color w:val="2E2D51"/>
                    <w:shd w:val="clear" w:color="auto" w:fill="FFFFFF"/>
                  </w:rPr>
                  <w:t xml:space="preserve"> </w:t>
                </w:r>
                <w:r>
                  <w:rPr>
                    <w:rFonts w:eastAsia="Aptos"/>
                    <w:kern w:val="2"/>
                    <w:szCs w:val="24"/>
                    <w14:ligatures w14:val="standardContextual"/>
                  </w:rPr>
                  <w:t xml:space="preserve">Rekomendacijos dėl projektų išlaidų atitikties Europos Sąjungos fondų reikalavimams, patvirtintos </w:t>
                </w:r>
                <w:r>
                  <w:rPr>
                    <w:bCs/>
                    <w:szCs w:val="24"/>
                  </w:rPr>
                  <w:t>Centrinės projektų valdymo agentūros direktoriaus 2023 m. birželio 22 d. įsakymu Nr. 2023/8-246, skelbiamos http://www.esinvesticijos.lt skiltyje „Dokumentai“.</w:t>
                </w:r>
              </w:p>
              <w:p>
                <w:pPr>
                  <w:spacing w:line="259" w:lineRule="auto"/>
                  <w:jc w:val="both"/>
                  <w:rPr>
                    <w:rFonts w:eastAsia="Aptos"/>
                    <w:kern w:val="2"/>
                    <w:szCs w:val="24"/>
                    <w14:ligatures w14:val="standardContextual"/>
                  </w:rPr>
                </w:pPr>
                <w:r>
                  <w:rPr>
                    <w:bCs/>
                    <w:szCs w:val="24"/>
                  </w:rPr>
                  <w:t>13.2. Didžiausia galima projektų finansuojamoji dalis sudaro 100 proc. visų tinkamų finansuoti projekto išlaidų. Pareiškėjas savo iniciatyva ir savo ir (arba) kitų šaltinių lėšomis gali prisidėti prie projekto įgyvendinimo.</w:t>
                </w:r>
              </w:p>
              <w:p>
                <w:pPr>
                  <w:spacing w:line="276" w:lineRule="auto"/>
                  <w:jc w:val="both"/>
                  <w:rPr>
                    <w:bCs/>
                    <w:szCs w:val="24"/>
                  </w:rPr>
                </w:pPr>
                <w:r>
                  <w:rPr>
                    <w:bCs/>
                    <w:szCs w:val="24"/>
                  </w:rPr>
                  <w:t>13.3. Projekto tinkamų finansuoti išlaidų dalis, kurios nepadengia projektui skiriamo finansavimo lėšos, turi būti finansuojama iš projekto vykdytojo lėšų.</w:t>
                </w:r>
              </w:p>
              <w:p>
                <w:pPr>
                  <w:jc w:val="both"/>
                  <w:rPr>
                    <w:color w:val="000000"/>
                    <w:szCs w:val="24"/>
                    <w:lang w:eastAsia="lt-LT"/>
                  </w:rPr>
                </w:pPr>
                <w:r>
                  <w:rPr>
                    <w:color w:val="000000"/>
                    <w:szCs w:val="24"/>
                    <w:lang w:eastAsia="lt-LT"/>
                  </w:rPr>
                  <w:t xml:space="preserve">13.4. Projekto lėšomis </w:t>
                </w:r>
                <w:r>
                  <w:rPr>
                    <w:bCs/>
                    <w:color w:val="000000"/>
                    <w:szCs w:val="24"/>
                    <w:lang w:eastAsia="lt-LT"/>
                  </w:rPr>
                  <w:t>n</w:t>
                </w:r>
                <w:r>
                  <w:rPr>
                    <w:color w:val="000000"/>
                    <w:szCs w:val="24"/>
                    <w:lang w:eastAsia="lt-LT"/>
                  </w:rPr>
                  <w:t>etinkamos finansuoti išlaidos nustatytos PAFT VII skyriaus „Projektų išlaidų reikalavimai“ 3 skirsnyje, taip pat vadovaujantis Rekomendacijų dėl projektų išlaidų atitikties Europos Sąjungos fondų reikalavimams 4 skyriaus nuostatomis;</w:t>
                </w:r>
              </w:p>
              <w:p>
                <w:pPr>
                  <w:spacing w:line="276" w:lineRule="auto"/>
                  <w:jc w:val="both"/>
                  <w:rPr>
                    <w:szCs w:val="24"/>
                  </w:rPr>
                </w:pPr>
                <w:r>
                  <w:rPr>
                    <w:szCs w:val="24"/>
                  </w:rPr>
                  <w:t>13.5. Projekto vykdytojui, vadovaujantis PAFT numatytomis sąlygomis, gali būti mokamas avansas.</w:t>
                </w:r>
              </w:p>
              <w:p>
                <w:pPr>
                  <w:spacing w:line="276" w:lineRule="auto"/>
                  <w:jc w:val="both"/>
                  <w:rPr>
                    <w:szCs w:val="24"/>
                  </w:rPr>
                </w:pPr>
                <w:r>
                  <w:rPr>
                    <w:szCs w:val="24"/>
                  </w:rPr>
                  <w:t>13.6. Projekto išlaidos projekto įgyvendinimo metu apmokamos išlaidų kompensavimo būdu projekto vykdytojui deklaruojant patirtas ir apmokėtas išlaidas, supaprastintai apmokamas išlaidas arba kartu derinant šias abi apmokėjimo formas.</w:t>
                </w:r>
              </w:p>
              <w:p>
                <w:pPr>
                  <w:spacing w:line="276" w:lineRule="auto"/>
                  <w:jc w:val="both"/>
                  <w:rPr>
                    <w:bCs/>
                    <w:szCs w:val="24"/>
                  </w:rPr>
                </w:pPr>
                <w:r>
                  <w:rPr>
                    <w:szCs w:val="24"/>
                  </w:rPr>
                  <w:t xml:space="preserve">13.7. Projektams taikomi supaprastinti išlaidų dydžiai, kurie </w:t>
                </w:r>
                <w:r>
                  <w:rPr>
                    <w:bCs/>
                    <w:szCs w:val="24"/>
                  </w:rPr>
                  <w:t xml:space="preserve">nurodyti Aprašo 14 punkte „Projektų veiklų ir jungtinio projekto projektų įgyvendinimui taikomi supaprastintai apmokamų išlaidų dydžiai“. </w:t>
                </w:r>
              </w:p>
              <w:p>
                <w:pPr>
                  <w:spacing w:line="276" w:lineRule="auto"/>
                  <w:jc w:val="both"/>
                  <w:rPr>
                    <w:bCs/>
                    <w:szCs w:val="24"/>
                  </w:rPr>
                </w:pPr>
                <w:r>
                  <w:rPr>
                    <w:bCs/>
                    <w:szCs w:val="24"/>
                  </w:rPr>
                  <w:t>13.8. Kryžminis finansavimas netaikomas.</w:t>
                </w:r>
              </w:p>
              <w:p>
                <w:pPr>
                  <w:spacing w:line="276" w:lineRule="auto"/>
                  <w:jc w:val="both"/>
                  <w:rPr>
                    <w:bCs/>
                    <w:strike/>
                    <w:szCs w:val="24"/>
                  </w:rPr>
                </w:pPr>
                <w:r>
                  <w:rPr>
                    <w:bCs/>
                    <w:szCs w:val="24"/>
                  </w:rPr>
                  <w:t>13.9. Pagal Aprašą tinkamos ir netinkamos finansuoti išlaidos yra šios:</w:t>
                </w:r>
              </w:p>
              <w:tbl>
                <w:tblPr>
                  <w:tblW w:w="14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2694"/>
                  <w:gridCol w:w="11931"/>
                </w:tblGrid>
                <w:tr>
                  <w:tc>
                    <w:tcPr>
                      <w:tcW w:w="2694" w:type="dxa"/>
                      <w:shd w:val="clear" w:color="auto" w:fill="FFFFFF" w:themeFill="background1"/>
                      <w:tcMar>
                        <w:top w:w="0" w:type="dxa"/>
                        <w:left w:w="108" w:type="dxa"/>
                        <w:bottom w:w="0" w:type="dxa"/>
                        <w:right w:w="108" w:type="dxa"/>
                      </w:tcMar>
                      <w:vAlign w:val="center"/>
                      <w:hideMark/>
                    </w:tcPr>
                    <w:p>
                      <w:pPr>
                        <w:jc w:val="center"/>
                        <w:rPr>
                          <w:rFonts w:ascii="Aptos" w:hAnsi="Aptos" w:cs="Aptos"/>
                          <w:sz w:val="22"/>
                          <w:szCs w:val="22"/>
                          <w:lang w:eastAsia="lt-LT"/>
                        </w:rPr>
                      </w:pPr>
                      <w:r>
                        <w:rPr>
                          <w:b/>
                          <w:bCs/>
                          <w:color w:val="000000"/>
                          <w:szCs w:val="24"/>
                          <w:lang w:eastAsia="lt-LT"/>
                        </w:rPr>
                        <w:t>Išlaidų tipas</w:t>
                      </w:r>
                    </w:p>
                  </w:tc>
                  <w:tc>
                    <w:tcPr>
                      <w:tcW w:w="11931" w:type="dxa"/>
                      <w:shd w:val="clear" w:color="auto" w:fill="FFFFFF" w:themeFill="background1"/>
                      <w:tcMar>
                        <w:top w:w="0" w:type="dxa"/>
                        <w:left w:w="108" w:type="dxa"/>
                        <w:bottom w:w="0" w:type="dxa"/>
                        <w:right w:w="108" w:type="dxa"/>
                      </w:tcMar>
                      <w:vAlign w:val="center"/>
                      <w:hideMark/>
                    </w:tcPr>
                    <w:p>
                      <w:pPr>
                        <w:jc w:val="center"/>
                        <w:rPr>
                          <w:rFonts w:ascii="Aptos" w:hAnsi="Aptos" w:cs="Aptos"/>
                          <w:sz w:val="22"/>
                          <w:szCs w:val="22"/>
                          <w:lang w:eastAsia="lt-LT"/>
                        </w:rPr>
                      </w:pPr>
                      <w:r>
                        <w:rPr>
                          <w:b/>
                          <w:bCs/>
                          <w:color w:val="000000"/>
                          <w:szCs w:val="24"/>
                          <w:lang w:eastAsia="lt-LT"/>
                        </w:rPr>
                        <w:t>Reikalavimai ir paaiškinimai</w:t>
                      </w:r>
                    </w:p>
                  </w:tc>
                </w:tr>
                <w:tr>
                  <w:tc>
                    <w:tcPr>
                      <w:tcW w:w="2694" w:type="dxa"/>
                      <w:shd w:val="clear" w:color="auto" w:fill="FFFFFF" w:themeFill="background1"/>
                      <w:tcMar>
                        <w:top w:w="0" w:type="dxa"/>
                        <w:left w:w="108" w:type="dxa"/>
                        <w:bottom w:w="0" w:type="dxa"/>
                        <w:right w:w="108" w:type="dxa"/>
                      </w:tcMar>
                      <w:vAlign w:val="center"/>
                      <w:hideMark/>
                    </w:tcPr>
                    <w:p>
                      <w:pPr>
                        <w:jc w:val="both"/>
                        <w:rPr>
                          <w:rFonts w:ascii="Aptos" w:hAnsi="Aptos" w:cs="Aptos"/>
                          <w:sz w:val="22"/>
                          <w:szCs w:val="22"/>
                          <w:lang w:eastAsia="lt-LT"/>
                        </w:rPr>
                      </w:pPr>
                      <w:r>
                        <w:rPr>
                          <w:color w:val="000000"/>
                          <w:szCs w:val="24"/>
                          <w:lang w:eastAsia="lt-LT"/>
                        </w:rPr>
                        <w:t>Žemė</w:t>
                      </w:r>
                    </w:p>
                  </w:tc>
                  <w:tc>
                    <w:tcPr>
                      <w:tcW w:w="11931" w:type="dxa"/>
                      <w:shd w:val="clear" w:color="auto" w:fill="FFFFFF" w:themeFill="background1"/>
                      <w:tcMar>
                        <w:top w:w="0" w:type="dxa"/>
                        <w:left w:w="108" w:type="dxa"/>
                        <w:bottom w:w="0" w:type="dxa"/>
                        <w:right w:w="108" w:type="dxa"/>
                      </w:tcMar>
                      <w:vAlign w:val="center"/>
                      <w:hideMark/>
                    </w:tcPr>
                    <w:p>
                      <w:pPr>
                        <w:jc w:val="both"/>
                        <w:rPr>
                          <w:rFonts w:ascii="Aptos" w:hAnsi="Aptos" w:cs="Aptos"/>
                          <w:sz w:val="22"/>
                          <w:szCs w:val="22"/>
                          <w:lang w:eastAsia="lt-LT"/>
                        </w:rPr>
                      </w:pPr>
                      <w:r>
                        <w:rPr>
                          <w:color w:val="000000"/>
                          <w:szCs w:val="24"/>
                          <w:lang w:eastAsia="lt-LT"/>
                        </w:rPr>
                        <w:t>Netinkama finansuoti.</w:t>
                      </w:r>
                    </w:p>
                  </w:tc>
                </w:tr>
                <w:tr>
                  <w:tc>
                    <w:tcPr>
                      <w:tcW w:w="2694" w:type="dxa"/>
                      <w:shd w:val="clear" w:color="auto" w:fill="FFFFFF" w:themeFill="background1"/>
                      <w:tcMar>
                        <w:top w:w="0" w:type="dxa"/>
                        <w:left w:w="108" w:type="dxa"/>
                        <w:bottom w:w="0" w:type="dxa"/>
                        <w:right w:w="108" w:type="dxa"/>
                      </w:tcMar>
                      <w:vAlign w:val="center"/>
                      <w:hideMark/>
                    </w:tcPr>
                    <w:p>
                      <w:pPr>
                        <w:jc w:val="both"/>
                        <w:rPr>
                          <w:rFonts w:ascii="Aptos" w:hAnsi="Aptos" w:cs="Aptos"/>
                          <w:sz w:val="22"/>
                          <w:szCs w:val="22"/>
                          <w:lang w:eastAsia="lt-LT"/>
                        </w:rPr>
                      </w:pPr>
                      <w:r>
                        <w:rPr>
                          <w:color w:val="000000"/>
                          <w:szCs w:val="24"/>
                          <w:lang w:eastAsia="lt-LT"/>
                        </w:rPr>
                        <w:t>Nekilnojamasis turtas</w:t>
                      </w:r>
                    </w:p>
                  </w:tc>
                  <w:tc>
                    <w:tcPr>
                      <w:tcW w:w="11931" w:type="dxa"/>
                      <w:shd w:val="clear" w:color="auto" w:fill="FFFFFF" w:themeFill="background1"/>
                      <w:tcMar>
                        <w:top w:w="0" w:type="dxa"/>
                        <w:left w:w="108" w:type="dxa"/>
                        <w:bottom w:w="0" w:type="dxa"/>
                        <w:right w:w="108" w:type="dxa"/>
                      </w:tcMar>
                      <w:vAlign w:val="center"/>
                      <w:hideMark/>
                    </w:tcPr>
                    <w:p>
                      <w:pPr>
                        <w:jc w:val="both"/>
                        <w:rPr>
                          <w:rFonts w:ascii="Aptos" w:hAnsi="Aptos" w:cs="Aptos"/>
                          <w:sz w:val="22"/>
                          <w:szCs w:val="22"/>
                          <w:lang w:eastAsia="lt-LT"/>
                        </w:rPr>
                      </w:pPr>
                      <w:r>
                        <w:rPr>
                          <w:color w:val="000000"/>
                          <w:szCs w:val="24"/>
                          <w:lang w:eastAsia="lt-LT"/>
                        </w:rPr>
                        <w:t>Netinkama finansuoti.</w:t>
                      </w:r>
                    </w:p>
                  </w:tc>
                </w:tr>
                <w:tr>
                  <w:tc>
                    <w:tcPr>
                      <w:tcW w:w="2694" w:type="dxa"/>
                      <w:shd w:val="clear" w:color="auto" w:fill="FFFFFF" w:themeFill="background1"/>
                      <w:tcMar>
                        <w:top w:w="0" w:type="dxa"/>
                        <w:left w:w="108" w:type="dxa"/>
                        <w:bottom w:w="0" w:type="dxa"/>
                        <w:right w:w="108" w:type="dxa"/>
                      </w:tcMar>
                      <w:vAlign w:val="center"/>
                      <w:hideMark/>
                    </w:tcPr>
                    <w:p>
                      <w:pPr>
                        <w:rPr>
                          <w:rFonts w:ascii="Aptos" w:hAnsi="Aptos" w:cs="Aptos"/>
                          <w:sz w:val="22"/>
                          <w:szCs w:val="22"/>
                          <w:lang w:eastAsia="lt-LT"/>
                        </w:rPr>
                      </w:pPr>
                      <w:r>
                        <w:rPr>
                          <w:color w:val="000000"/>
                          <w:szCs w:val="24"/>
                          <w:lang w:eastAsia="lt-LT"/>
                        </w:rPr>
                        <w:t>Statyba, rekonstravimas, remontas ir kiti darbai</w:t>
                      </w:r>
                    </w:p>
                  </w:tc>
                  <w:tc>
                    <w:tcPr>
                      <w:tcW w:w="11931" w:type="dxa"/>
                      <w:shd w:val="clear" w:color="auto" w:fill="FFFFFF" w:themeFill="background1"/>
                      <w:tcMar>
                        <w:top w:w="0" w:type="dxa"/>
                        <w:left w:w="108" w:type="dxa"/>
                        <w:bottom w:w="0" w:type="dxa"/>
                        <w:right w:w="108" w:type="dxa"/>
                      </w:tcMar>
                      <w:vAlign w:val="center"/>
                      <w:hideMark/>
                    </w:tcPr>
                    <w:p>
                      <w:pPr>
                        <w:jc w:val="both"/>
                        <w:rPr>
                          <w:bCs/>
                          <w:szCs w:val="24"/>
                          <w:lang w:eastAsia="lt-LT"/>
                        </w:rPr>
                      </w:pPr>
                      <w:r>
                        <w:rPr>
                          <w:color w:val="000000"/>
                          <w:szCs w:val="24"/>
                          <w:lang w:eastAsia="lt-LT"/>
                        </w:rPr>
                        <w:t xml:space="preserve">Statyba, rekonstravimas, remontas ir kiti darbai (įskaitant pagal teisės aktus privalomas inžinerines paslaugas). Išlaidos tinkamos </w:t>
                      </w:r>
                      <w:r>
                        <w:rPr>
                          <w:bCs/>
                          <w:szCs w:val="24"/>
                        </w:rPr>
                        <w:t>GBK paslaugų teikimu</w:t>
                      </w:r>
                      <w:r>
                        <w:rPr>
                          <w:color w:val="000000"/>
                          <w:szCs w:val="24"/>
                          <w:lang w:eastAsia="lt-LT"/>
                        </w:rPr>
                        <w:t>i</w:t>
                      </w:r>
                      <w:r>
                        <w:rPr>
                          <w:bCs/>
                          <w:szCs w:val="24"/>
                        </w:rPr>
                        <w:t xml:space="preserve"> reikalingų patalpų, nurodytų </w:t>
                      </w:r>
                      <w:r>
                        <w:rPr>
                          <w:bCs/>
                          <w:szCs w:val="24"/>
                          <w:lang w:eastAsia="lt-LT"/>
                        </w:rPr>
                        <w:t>Paslaugų aprašo 6 ir 7 punktuose,</w:t>
                      </w:r>
                      <w:r>
                        <w:rPr>
                          <w:bCs/>
                          <w:szCs w:val="24"/>
                        </w:rPr>
                        <w:t xml:space="preserve"> įrengimui</w:t>
                      </w:r>
                      <w:r>
                        <w:rPr>
                          <w:bCs/>
                          <w:szCs w:val="24"/>
                          <w:lang w:eastAsia="lt-LT"/>
                        </w:rPr>
                        <w:t xml:space="preserve">. </w:t>
                      </w:r>
                    </w:p>
                    <w:p>
                      <w:pPr>
                        <w:jc w:val="both"/>
                        <w:rPr>
                          <w:bCs/>
                          <w:szCs w:val="24"/>
                          <w:lang w:eastAsia="lt-LT"/>
                        </w:rPr>
                      </w:pPr>
                      <w:r>
                        <w:rPr>
                          <w:bCs/>
                          <w:szCs w:val="24"/>
                          <w:lang w:eastAsia="lt-LT"/>
                        </w:rPr>
                        <w:t>Netinkamos finansuoti išlaidos, susijusios tik su pastatų šildymo (modernizavimo) darbų išlaidomis, siekiant padidinti pastato energetinio efektyvumo klasę.</w:t>
                      </w:r>
                    </w:p>
                  </w:tc>
                </w:tr>
                <w:tr>
                  <w:tc>
                    <w:tcPr>
                      <w:tcW w:w="2694" w:type="dxa"/>
                      <w:vMerge w:val="restart"/>
                      <w:shd w:val="clear" w:color="auto" w:fill="FFFFFF" w:themeFill="background1"/>
                      <w:tcMar>
                        <w:top w:w="0" w:type="dxa"/>
                        <w:left w:w="108" w:type="dxa"/>
                        <w:bottom w:w="0" w:type="dxa"/>
                        <w:right w:w="108" w:type="dxa"/>
                      </w:tcMar>
                      <w:vAlign w:val="center"/>
                    </w:tcPr>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r>
                        <w:rPr>
                          <w:color w:val="000000"/>
                          <w:szCs w:val="24"/>
                          <w:lang w:eastAsia="lt-LT"/>
                        </w:rPr>
                        <w:t>Įranga, įrenginiai ir kitas turtas</w:t>
                      </w:r>
                    </w:p>
                  </w:tc>
                  <w:tc>
                    <w:tcPr>
                      <w:tcW w:w="11931" w:type="dxa"/>
                      <w:shd w:val="clear" w:color="auto" w:fill="FFFFFF" w:themeFill="background1"/>
                      <w:tcMar>
                        <w:top w:w="0" w:type="dxa"/>
                        <w:left w:w="108" w:type="dxa"/>
                        <w:bottom w:w="0" w:type="dxa"/>
                        <w:right w:w="108" w:type="dxa"/>
                      </w:tcMar>
                      <w:vAlign w:val="center"/>
                    </w:tcPr>
                    <w:p>
                      <w:pPr>
                        <w:jc w:val="both"/>
                        <w:rPr>
                          <w:color w:val="000000"/>
                          <w:szCs w:val="24"/>
                          <w:lang w:eastAsia="lt-LT"/>
                        </w:rPr>
                      </w:pPr>
                      <w:r>
                        <w:rPr>
                          <w:color w:val="000000"/>
                          <w:szCs w:val="24"/>
                          <w:lang w:eastAsia="lt-LT"/>
                        </w:rPr>
                        <w:t>1. Vykdant pagal šį Aprašą veiklas, tinkamos finansuoti išlaidos:</w:t>
                      </w:r>
                    </w:p>
                    <w:p>
                      <w:pPr>
                        <w:jc w:val="both"/>
                        <w:rPr>
                          <w:color w:val="000000"/>
                          <w:szCs w:val="24"/>
                          <w:lang w:eastAsia="lt-LT"/>
                        </w:rPr>
                      </w:pPr>
                      <w:r>
                        <w:rPr>
                          <w:color w:val="000000"/>
                          <w:szCs w:val="24"/>
                          <w:lang w:eastAsia="lt-LT"/>
                        </w:rPr>
                        <w:t xml:space="preserve">1.1. baldai, būtini </w:t>
                      </w:r>
                      <w:r>
                        <w:rPr>
                          <w:szCs w:val="24"/>
                          <w:lang w:eastAsia="lt-LT"/>
                        </w:rPr>
                        <w:t>laukiamajam, individualių bei grupinių konsultacijų patalpoms</w:t>
                      </w:r>
                      <w:r>
                        <w:rPr>
                          <w:color w:val="000000"/>
                          <w:szCs w:val="24"/>
                          <w:lang w:eastAsia="lt-LT"/>
                        </w:rPr>
                        <w:t xml:space="preserve">, savarankiško gyvenimo įgūdžiams lavinti skirtoms patalpoms, dušo ir skalbimo patalpoms, procedūriniam kabinetui </w:t>
                      </w:r>
                      <w:r>
                        <w:rPr>
                          <w:szCs w:val="24"/>
                          <w:lang w:eastAsia="lt-LT"/>
                        </w:rPr>
                        <w:t>(vaistų spinta, lentyna-vėžimėlis, bendrosios paciento apžiūros kušetė ir pan.);</w:t>
                      </w:r>
                    </w:p>
                    <w:p>
                      <w:pPr>
                        <w:rPr>
                          <w:color w:val="ED0000"/>
                          <w:szCs w:val="24"/>
                          <w:lang w:eastAsia="lt-LT"/>
                        </w:rPr>
                      </w:pPr>
                      <w:r>
                        <w:rPr>
                          <w:color w:val="000000"/>
                          <w:szCs w:val="24"/>
                          <w:lang w:eastAsia="lt-LT"/>
                        </w:rPr>
                        <w:t>1.2. buitinė įranga, būtina savarankiško gyvenimo įgūdžiams lavinti</w:t>
                      </w:r>
                      <w:r>
                        <w:rPr>
                          <w:szCs w:val="24"/>
                          <w:lang w:eastAsia="lt-LT"/>
                        </w:rPr>
                        <w:t>;</w:t>
                      </w:r>
                    </w:p>
                    <w:p>
                      <w:pPr>
                        <w:jc w:val="both"/>
                        <w:rPr>
                          <w:bCs/>
                          <w:color w:val="000000"/>
                          <w:szCs w:val="24"/>
                          <w:lang w:eastAsia="lt-LT"/>
                        </w:rPr>
                      </w:pPr>
                      <w:r>
                        <w:rPr>
                          <w:color w:val="000000"/>
                          <w:szCs w:val="24"/>
                          <w:lang w:eastAsia="lt-LT"/>
                        </w:rPr>
                        <w:t>1.3. kompiuterinė ir biuro įranga (kompiuteriai, spausdintuvai, mobilieji telefonai, projektorius, skaitmeninė rašymo lenta ir pan.)</w:t>
                      </w:r>
                      <w:r>
                        <w:rPr>
                          <w:bCs/>
                          <w:color w:val="000000"/>
                          <w:szCs w:val="24"/>
                          <w:lang w:eastAsia="lt-LT"/>
                        </w:rPr>
                        <w:t>;</w:t>
                      </w:r>
                    </w:p>
                    <w:p>
                      <w:pPr>
                        <w:rPr>
                          <w:color w:val="000000"/>
                          <w:szCs w:val="24"/>
                          <w:lang w:eastAsia="lt-LT"/>
                        </w:rPr>
                      </w:pPr>
                      <w:r>
                        <w:rPr>
                          <w:color w:val="000000"/>
                          <w:szCs w:val="24"/>
                          <w:lang w:eastAsia="lt-LT"/>
                        </w:rPr>
                        <w:t>1.4. programinė įranga pacientų apskaitai;</w:t>
                      </w:r>
                    </w:p>
                    <w:p>
                      <w:pPr>
                        <w:jc w:val="both"/>
                        <w:rPr>
                          <w:color w:val="000000"/>
                          <w:szCs w:val="24"/>
                          <w:lang w:eastAsia="lt-LT"/>
                        </w:rPr>
                      </w:pPr>
                      <w:r>
                        <w:rPr>
                          <w:color w:val="000000"/>
                          <w:szCs w:val="24"/>
                          <w:lang w:eastAsia="lt-LT"/>
                        </w:rPr>
                        <w:t>1.6. elektromobilis (lengvasis automobilis, M</w:t>
                      </w:r>
                      <w:r>
                        <w:rPr>
                          <w:color w:val="000000"/>
                          <w:szCs w:val="24"/>
                          <w:vertAlign w:val="subscript"/>
                          <w:lang w:eastAsia="lt-LT"/>
                        </w:rPr>
                        <w:t>1</w:t>
                      </w:r>
                      <w:r>
                        <w:rPr>
                          <w:color w:val="000000"/>
                          <w:szCs w:val="24"/>
                          <w:lang w:eastAsia="lt-LT"/>
                        </w:rPr>
                        <w:t> klasė) ir jo įkrovimo stotelė (jei yra poreikis). Pilnos apimties GBK gali įsigyti iki 2 vnt., mažesnės 50 proc. sudėties GBK gali įsigyti 1 vnt. (jei yra poreikis).</w:t>
                      </w:r>
                    </w:p>
                    <w:p>
                      <w:pPr>
                        <w:jc w:val="both"/>
                        <w:rPr>
                          <w:color w:val="000000"/>
                          <w:szCs w:val="24"/>
                          <w:lang w:eastAsia="lt-LT"/>
                        </w:rPr>
                      </w:pPr>
                      <w:r>
                        <w:rPr>
                          <w:color w:val="000000"/>
                          <w:szCs w:val="24"/>
                          <w:lang w:eastAsia="lt-LT"/>
                        </w:rPr>
                        <w:t>Įsigyjamo elektromobilio su įkrovimo stotele (ar be jos vertė) negali viršyti 50 000,00 Eur su pridėtinės vertės mokesčiu (toliau – PVM).</w:t>
                      </w:r>
                    </w:p>
                  </w:tc>
                </w:tr>
                <w:tr>
                  <w:tc>
                    <w:tcPr>
                      <w:tcW w:w="2694" w:type="dxa"/>
                      <w:vMerge/>
                      <w:tcMar>
                        <w:top w:w="0" w:type="dxa"/>
                        <w:left w:w="108" w:type="dxa"/>
                        <w:bottom w:w="0" w:type="dxa"/>
                        <w:right w:w="108" w:type="dxa"/>
                      </w:tcMar>
                      <w:vAlign w:val="center"/>
                    </w:tcPr>
                    <w:p>
                      <w:pPr>
                        <w:rPr>
                          <w:color w:val="000000"/>
                          <w:szCs w:val="24"/>
                          <w:lang w:eastAsia="lt-LT"/>
                        </w:rPr>
                      </w:pPr>
                    </w:p>
                  </w:tc>
                  <w:tc>
                    <w:tcPr>
                      <w:tcW w:w="11931" w:type="dxa"/>
                      <w:shd w:val="clear" w:color="auto" w:fill="FFFFFF" w:themeFill="background1"/>
                      <w:tcMar>
                        <w:top w:w="0" w:type="dxa"/>
                        <w:left w:w="108" w:type="dxa"/>
                        <w:bottom w:w="0" w:type="dxa"/>
                        <w:right w:w="108" w:type="dxa"/>
                      </w:tcMar>
                      <w:vAlign w:val="center"/>
                    </w:tcPr>
                    <w:p>
                      <w:pPr>
                        <w:rPr>
                          <w:color w:val="000000"/>
                          <w:szCs w:val="24"/>
                          <w:lang w:eastAsia="lt-LT"/>
                        </w:rPr>
                      </w:pPr>
                      <w:r>
                        <w:rPr>
                          <w:color w:val="000000"/>
                          <w:szCs w:val="24"/>
                          <w:lang w:eastAsia="lt-LT"/>
                        </w:rPr>
                        <w:t>2. Vykdant pagal šį Aprašą veiklas, netinkamos finansuoti išlaidos:</w:t>
                      </w:r>
                    </w:p>
                    <w:p>
                      <w:pPr>
                        <w:jc w:val="both"/>
                        <w:rPr>
                          <w:color w:val="000000"/>
                          <w:szCs w:val="24"/>
                          <w:lang w:eastAsia="lt-LT"/>
                        </w:rPr>
                      </w:pPr>
                      <w:r>
                        <w:rPr>
                          <w:bCs/>
                          <w:color w:val="000000"/>
                          <w:szCs w:val="24"/>
                          <w:lang w:eastAsia="lt-LT"/>
                        </w:rPr>
                        <w:t xml:space="preserve">2.1. </w:t>
                      </w:r>
                      <w:r>
                        <w:rPr>
                          <w:color w:val="000000"/>
                          <w:szCs w:val="24"/>
                          <w:lang w:eastAsia="lt-LT"/>
                        </w:rPr>
                        <w:t>medicininės įrangos įsigijimo išlaidos;</w:t>
                      </w:r>
                    </w:p>
                    <w:p>
                      <w:pPr>
                        <w:rPr>
                          <w:color w:val="000000"/>
                          <w:szCs w:val="24"/>
                          <w:lang w:eastAsia="lt-LT"/>
                        </w:rPr>
                      </w:pPr>
                      <w:r>
                        <w:rPr>
                          <w:color w:val="000000"/>
                          <w:szCs w:val="24"/>
                          <w:lang w:eastAsia="lt-LT"/>
                        </w:rPr>
                        <w:t>2.2. naudojamo ilgalaikio turto nusidėvėjimo (amortizacijos) sąnaudos;</w:t>
                      </w:r>
                    </w:p>
                    <w:p>
                      <w:pPr>
                        <w:rPr>
                          <w:color w:val="000000"/>
                          <w:szCs w:val="24"/>
                          <w:lang w:eastAsia="lt-LT"/>
                        </w:rPr>
                      </w:pPr>
                      <w:r>
                        <w:rPr>
                          <w:color w:val="000000"/>
                          <w:szCs w:val="24"/>
                          <w:lang w:eastAsia="lt-LT"/>
                        </w:rPr>
                        <w:t>2.3. vienkartinės, kanceliarinės priemonės, higienos prekės ir kitos panašios paslaugoms teikti reikalingos priemonės;</w:t>
                      </w:r>
                    </w:p>
                    <w:p>
                      <w:pPr>
                        <w:jc w:val="both"/>
                        <w:rPr>
                          <w:color w:val="000000"/>
                          <w:szCs w:val="24"/>
                          <w:lang w:eastAsia="lt-LT"/>
                        </w:rPr>
                      </w:pPr>
                      <w:r>
                        <w:rPr>
                          <w:color w:val="000000"/>
                          <w:szCs w:val="24"/>
                          <w:lang w:eastAsia="lt-LT"/>
                        </w:rPr>
                        <w:t>2.4. transporto priemonių lizingo (finansinės nuomos), transporto priemonės eksploatavimo ir susijusios išlaidos.</w:t>
                      </w:r>
                    </w:p>
                  </w:tc>
                </w:tr>
                <w:tr>
                  <w:tc>
                    <w:tcPr>
                      <w:tcW w:w="2694" w:type="dxa"/>
                      <w:shd w:val="clear" w:color="auto" w:fill="FFFFFF" w:themeFill="background1"/>
                      <w:tcMar>
                        <w:top w:w="0" w:type="dxa"/>
                        <w:left w:w="108" w:type="dxa"/>
                        <w:bottom w:w="0" w:type="dxa"/>
                        <w:right w:w="108" w:type="dxa"/>
                      </w:tcMar>
                      <w:vAlign w:val="center"/>
                    </w:tcPr>
                    <w:p>
                      <w:pPr>
                        <w:rPr>
                          <w:color w:val="000000"/>
                          <w:szCs w:val="24"/>
                          <w:lang w:eastAsia="lt-LT"/>
                        </w:rPr>
                      </w:pPr>
                      <w:r>
                        <w:rPr>
                          <w:color w:val="000000"/>
                          <w:szCs w:val="24"/>
                          <w:lang w:eastAsia="lt-LT"/>
                        </w:rPr>
                        <w:t>Projekto vykdymas</w:t>
                      </w:r>
                    </w:p>
                  </w:tc>
                  <w:tc>
                    <w:tcPr>
                      <w:tcW w:w="11931" w:type="dxa"/>
                      <w:shd w:val="clear" w:color="auto" w:fill="FFFFFF" w:themeFill="background1"/>
                      <w:tcMar>
                        <w:top w:w="0" w:type="dxa"/>
                        <w:left w:w="108" w:type="dxa"/>
                        <w:bottom w:w="0" w:type="dxa"/>
                        <w:right w:w="108" w:type="dxa"/>
                      </w:tcMar>
                      <w:vAlign w:val="center"/>
                    </w:tcPr>
                    <w:p>
                      <w:pPr>
                        <w:jc w:val="both"/>
                        <w:rPr>
                          <w:color w:val="000000"/>
                          <w:szCs w:val="24"/>
                          <w:lang w:eastAsia="lt-LT"/>
                        </w:rPr>
                      </w:pPr>
                      <w:r>
                        <w:rPr>
                          <w:color w:val="000000"/>
                          <w:szCs w:val="24"/>
                          <w:lang w:eastAsia="lt-LT"/>
                        </w:rPr>
                        <w:t>Investicijų projekto rengimo išlaidos.</w:t>
                      </w:r>
                    </w:p>
                  </w:tc>
                </w:tr>
                <w:tr>
                  <w:tc>
                    <w:tcPr>
                      <w:tcW w:w="2694" w:type="dxa"/>
                      <w:shd w:val="clear" w:color="auto" w:fill="FFFFFF" w:themeFill="background1"/>
                      <w:tcMar>
                        <w:top w:w="0" w:type="dxa"/>
                        <w:left w:w="108" w:type="dxa"/>
                        <w:bottom w:w="0" w:type="dxa"/>
                        <w:right w:w="108" w:type="dxa"/>
                      </w:tcMar>
                      <w:vAlign w:val="center"/>
                    </w:tcPr>
                    <w:p>
                      <w:pPr>
                        <w:rPr>
                          <w:color w:val="000000"/>
                          <w:szCs w:val="24"/>
                          <w:lang w:eastAsia="lt-LT"/>
                        </w:rPr>
                      </w:pPr>
                      <w:r>
                        <w:rPr>
                          <w:color w:val="000000"/>
                          <w:szCs w:val="24"/>
                          <w:lang w:eastAsia="lt-LT"/>
                        </w:rPr>
                        <w:t>Informavimas apie projektą</w:t>
                      </w:r>
                    </w:p>
                  </w:tc>
                  <w:tc>
                    <w:tcPr>
                      <w:tcW w:w="11931" w:type="dxa"/>
                      <w:shd w:val="clear" w:color="auto" w:fill="FFFFFF" w:themeFill="background1"/>
                      <w:tcMar>
                        <w:top w:w="0" w:type="dxa"/>
                        <w:left w:w="108" w:type="dxa"/>
                        <w:bottom w:w="0" w:type="dxa"/>
                        <w:right w:w="108" w:type="dxa"/>
                      </w:tcMar>
                      <w:vAlign w:val="center"/>
                    </w:tcPr>
                    <w:p>
                      <w:pPr>
                        <w:ind w:left="33" w:right="294"/>
                        <w:jc w:val="both"/>
                        <w:rPr>
                          <w:color w:val="000000"/>
                          <w:szCs w:val="24"/>
                          <w:lang w:eastAsia="lt-LT"/>
                        </w:rPr>
                      </w:pPr>
                      <w:r>
                        <w:rPr>
                          <w:color w:val="000000"/>
                          <w:szCs w:val="24"/>
                          <w:lang w:eastAsia="lt-LT"/>
                        </w:rPr>
                        <w:t>Privalomoms matomumo ir informavimo apie projektus priemonėms taikomi supaprastintai apmokamų išlaidų dydžiai.</w:t>
                      </w:r>
                    </w:p>
                    <w:p>
                      <w:pPr>
                        <w:jc w:val="both"/>
                        <w:rPr>
                          <w:color w:val="000000"/>
                          <w:szCs w:val="24"/>
                          <w:lang w:eastAsia="lt-LT"/>
                        </w:rPr>
                      </w:pPr>
                      <w:r>
                        <w:rPr>
                          <w:color w:val="000000"/>
                          <w:szCs w:val="24"/>
                          <w:lang w:eastAsia="lt-LT"/>
                        </w:rPr>
                        <w:t>Pagal Aprašą tinkamos finansuoti privalomos matomumo ir informavimo apie projektą priemonės bei priemonės, nurodytos Aprašo 12 papunktyje.</w:t>
                      </w:r>
                    </w:p>
                  </w:tc>
                </w:tr>
                <w:tr>
                  <w:tc>
                    <w:tcPr>
                      <w:tcW w:w="2694" w:type="dxa"/>
                      <w:shd w:val="clear" w:color="auto" w:fill="FFFFFF" w:themeFill="background1"/>
                      <w:tcMar>
                        <w:top w:w="0" w:type="dxa"/>
                        <w:left w:w="108" w:type="dxa"/>
                        <w:bottom w:w="0" w:type="dxa"/>
                        <w:right w:w="108" w:type="dxa"/>
                      </w:tcMar>
                      <w:vAlign w:val="center"/>
                    </w:tcPr>
                    <w:p>
                      <w:pPr>
                        <w:rPr>
                          <w:color w:val="000000"/>
                          <w:szCs w:val="24"/>
                          <w:lang w:eastAsia="lt-LT"/>
                        </w:rPr>
                      </w:pPr>
                      <w:r>
                        <w:rPr>
                          <w:color w:val="000000"/>
                          <w:szCs w:val="24"/>
                          <w:lang w:eastAsia="lt-LT"/>
                        </w:rPr>
                        <w:t>Netiesioginės išlaidos ir kitos išlaidos pagal fiksuotąją projekto išlaidų normą</w:t>
                      </w:r>
                    </w:p>
                  </w:tc>
                  <w:tc>
                    <w:tcPr>
                      <w:tcW w:w="11931" w:type="dxa"/>
                      <w:shd w:val="clear" w:color="auto" w:fill="FFFFFF" w:themeFill="background1"/>
                      <w:tcMar>
                        <w:top w:w="0" w:type="dxa"/>
                        <w:left w:w="108" w:type="dxa"/>
                        <w:bottom w:w="0" w:type="dxa"/>
                        <w:right w:w="108" w:type="dxa"/>
                      </w:tcMar>
                      <w:vAlign w:val="center"/>
                    </w:tcPr>
                    <w:p>
                      <w:pPr>
                        <w:jc w:val="both"/>
                        <w:rPr>
                          <w:color w:val="000000"/>
                          <w:szCs w:val="24"/>
                          <w:lang w:eastAsia="lt-LT"/>
                        </w:rPr>
                      </w:pPr>
                      <w:r>
                        <w:rPr>
                          <w:color w:val="000000"/>
                          <w:szCs w:val="24"/>
                          <w:lang w:eastAsia="lt-LT"/>
                        </w:rPr>
                        <w:t>Projektui galima taikyti fiksuotoji projekto išlaidų norma – 7 proc.</w:t>
                      </w:r>
                    </w:p>
                  </w:tc>
                </w:tr>
              </w:tbl>
              <w:p>
                <w:pPr>
                  <w:spacing w:line="276" w:lineRule="auto"/>
                  <w:jc w:val="both"/>
                  <w:rPr>
                    <w:b/>
                    <w:sz w:val="22"/>
                    <w:szCs w:val="22"/>
                  </w:rPr>
                </w:pPr>
              </w:p>
            </w:tc>
          </w:tr>
          <w:tr>
            <w:trPr>
              <w:trHeight w:val="349"/>
            </w:trPr>
            <w:tc>
              <w:tcPr>
                <w:tcW w:w="14885" w:type="dxa"/>
              </w:tcPr>
              <w:p>
                <w:pPr>
                  <w:spacing w:line="276" w:lineRule="auto"/>
                  <w:jc w:val="both"/>
                  <w:rPr>
                    <w:sz w:val="22"/>
                    <w:szCs w:val="22"/>
                  </w:rPr>
                </w:pPr>
                <w:r>
                  <w:rPr>
                    <w:b/>
                    <w:szCs w:val="24"/>
                  </w:rPr>
                  <w:t>14. Projektų veiklų ir jungtinio projekto projektų įgyvendinimui taikomi supaprastintai apmokamų išlaidų dydžiai</w:t>
                </w:r>
              </w:p>
            </w:tc>
          </w:tr>
          <w:tr>
            <w:tc>
              <w:tcPr>
                <w:tcW w:w="14885" w:type="dxa"/>
              </w:tcPr>
              <w:tbl>
                <w:tblPr>
                  <w:tblW w:w="144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098"/>
                  <w:gridCol w:w="2126"/>
                  <w:gridCol w:w="3685"/>
                  <w:gridCol w:w="3686"/>
                </w:tblGrid>
                <w:tr>
                  <w:tc>
                    <w:tcPr>
                      <w:tcW w:w="14484" w:type="dxa"/>
                      <w:gridSpan w:val="5"/>
                    </w:tcPr>
                    <w:p>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pPr>
                        <w:spacing w:line="276" w:lineRule="auto"/>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tc>
                    <w:tcPr>
                      <w:tcW w:w="2889" w:type="dxa"/>
                      <w:vAlign w:val="center"/>
                    </w:tcPr>
                    <w:p>
                      <w:pPr>
                        <w:spacing w:line="276" w:lineRule="auto"/>
                        <w:jc w:val="center"/>
                        <w:rPr>
                          <w:b/>
                          <w:bCs/>
                          <w:szCs w:val="24"/>
                        </w:rPr>
                      </w:pPr>
                      <w:r>
                        <w:rPr>
                          <w:b/>
                          <w:bCs/>
                          <w:szCs w:val="24"/>
                        </w:rPr>
                        <w:t>Veiklos ir (ar) išlaidos, kurioms taikomi supaprastintai apmokamų išlaidų dydžiai</w:t>
                      </w:r>
                    </w:p>
                  </w:tc>
                  <w:tc>
                    <w:tcPr>
                      <w:tcW w:w="2098" w:type="dxa"/>
                      <w:vAlign w:val="center"/>
                    </w:tcPr>
                    <w:p>
                      <w:pPr>
                        <w:spacing w:line="276" w:lineRule="auto"/>
                        <w:jc w:val="center"/>
                        <w:rPr>
                          <w:b/>
                          <w:bCs/>
                          <w:szCs w:val="24"/>
                        </w:rPr>
                      </w:pPr>
                      <w:r>
                        <w:rPr>
                          <w:b/>
                          <w:bCs/>
                          <w:szCs w:val="24"/>
                        </w:rPr>
                        <w:t>Supaprastintai apmokamų išlaidų dydžio kodas</w:t>
                      </w:r>
                    </w:p>
                  </w:tc>
                  <w:tc>
                    <w:tcPr>
                      <w:tcW w:w="2126" w:type="dxa"/>
                      <w:vAlign w:val="center"/>
                    </w:tcPr>
                    <w:p>
                      <w:pPr>
                        <w:spacing w:line="276" w:lineRule="auto"/>
                        <w:jc w:val="center"/>
                        <w:rPr>
                          <w:b/>
                          <w:bCs/>
                          <w:i/>
                          <w:iCs/>
                          <w:color w:val="808080"/>
                          <w:szCs w:val="24"/>
                        </w:rPr>
                      </w:pPr>
                      <w:r>
                        <w:rPr>
                          <w:b/>
                          <w:bCs/>
                          <w:szCs w:val="24"/>
                        </w:rPr>
                        <w:t>Supaprastintai apmokamų išlaidų dydžio versija</w:t>
                      </w:r>
                    </w:p>
                  </w:tc>
                  <w:tc>
                    <w:tcPr>
                      <w:tcW w:w="3685" w:type="dxa"/>
                      <w:vAlign w:val="center"/>
                    </w:tcPr>
                    <w:p>
                      <w:pPr>
                        <w:spacing w:line="276" w:lineRule="auto"/>
                        <w:jc w:val="center"/>
                        <w:rPr>
                          <w:b/>
                          <w:bCs/>
                          <w:szCs w:val="24"/>
                        </w:rPr>
                      </w:pPr>
                      <w:r>
                        <w:rPr>
                          <w:b/>
                          <w:bCs/>
                          <w:szCs w:val="24"/>
                        </w:rPr>
                        <w:t>Supaprastintai apmokamų išlaidų dydžio pavadinimas</w:t>
                      </w:r>
                    </w:p>
                  </w:tc>
                  <w:tc>
                    <w:tcPr>
                      <w:tcW w:w="3686" w:type="dxa"/>
                      <w:vAlign w:val="center"/>
                    </w:tcPr>
                    <w:p>
                      <w:pPr>
                        <w:spacing w:line="276" w:lineRule="auto"/>
                        <w:jc w:val="center"/>
                        <w:rPr>
                          <w:b/>
                          <w:bCs/>
                          <w:szCs w:val="24"/>
                        </w:rPr>
                      </w:pPr>
                      <w:r>
                        <w:rPr>
                          <w:b/>
                          <w:bCs/>
                          <w:szCs w:val="24"/>
                        </w:rPr>
                        <w:t>Papildoma informacija</w:t>
                      </w:r>
                    </w:p>
                  </w:tc>
                </w:tr>
                <w:tr>
                  <w:trPr>
                    <w:trHeight w:val="1016"/>
                  </w:trPr>
                  <w:tc>
                    <w:tcPr>
                      <w:tcW w:w="2889" w:type="dxa"/>
                    </w:tcPr>
                    <w:p>
                      <w:pPr>
                        <w:spacing w:line="276" w:lineRule="auto"/>
                        <w:jc w:val="center"/>
                        <w:rPr>
                          <w:szCs w:val="24"/>
                        </w:rPr>
                      </w:pPr>
                      <w:r>
                        <w:rPr>
                          <w:color w:val="000000"/>
                          <w:szCs w:val="24"/>
                        </w:rPr>
                        <w:t>Privalomos projektų matomumo ir informavimo apie projektus priemonės</w:t>
                      </w:r>
                    </w:p>
                  </w:tc>
                  <w:tc>
                    <w:tcPr>
                      <w:tcW w:w="2098" w:type="dxa"/>
                    </w:tcPr>
                    <w:p>
                      <w:pPr>
                        <w:spacing w:line="276" w:lineRule="auto"/>
                        <w:jc w:val="center"/>
                        <w:rPr>
                          <w:szCs w:val="24"/>
                        </w:rPr>
                      </w:pPr>
                      <w:r>
                        <w:rPr>
                          <w:szCs w:val="24"/>
                        </w:rPr>
                        <w:t>FS-01-01</w:t>
                      </w:r>
                    </w:p>
                  </w:tc>
                  <w:tc>
                    <w:tcPr>
                      <w:tcW w:w="2126" w:type="dxa"/>
                    </w:tcPr>
                    <w:p>
                      <w:pPr>
                        <w:spacing w:line="276" w:lineRule="auto"/>
                        <w:jc w:val="center"/>
                        <w:rPr>
                          <w:szCs w:val="24"/>
                          <w:lang w:val="en-US"/>
                        </w:rPr>
                      </w:pPr>
                      <w:r>
                        <w:rPr>
                          <w:szCs w:val="24"/>
                        </w:rPr>
                        <w:t>0</w:t>
                      </w:r>
                      <w:r>
                        <w:rPr>
                          <w:szCs w:val="24"/>
                          <w:lang w:val="en-US"/>
                        </w:rPr>
                        <w:t>3</w:t>
                      </w:r>
                    </w:p>
                  </w:tc>
                  <w:tc>
                    <w:tcPr>
                      <w:tcW w:w="3685" w:type="dxa"/>
                    </w:tcPr>
                    <w:p>
                      <w:pPr>
                        <w:jc w:val="center"/>
                        <w:rPr>
                          <w:szCs w:val="24"/>
                        </w:rPr>
                      </w:pPr>
                      <w:r>
                        <w:rPr>
                          <w:szCs w:val="24"/>
                        </w:rPr>
                        <w:t>Įgyvendintų privalomų matomumo ir informavimo priemonių apie ES fondų investicijų veiklas fiksuotoji suma (toliau – FS), pirmojo rinkinio FS be PVM</w:t>
                      </w:r>
                    </w:p>
                  </w:tc>
                  <w:tc>
                    <w:tcPr>
                      <w:tcW w:w="3686" w:type="dxa"/>
                    </w:tcPr>
                    <w:p>
                      <w:pPr>
                        <w:spacing w:line="276" w:lineRule="auto"/>
                        <w:jc w:val="center"/>
                        <w:rPr>
                          <w:szCs w:val="24"/>
                        </w:rPr>
                      </w:pPr>
                      <w:r>
                        <w:t>Supaprastintai apmokamų išlaidų dydžių registras yra paskelbtas Europos Sąjungos investicijų interneto svetainėje adresu https://2021.esinvesticijos.lt/dokumentai/supaprastintai-apmokamu-islaidu-dydziu-registras</w:t>
                      </w:r>
                    </w:p>
                  </w:tc>
                </w:tr>
                <w:tr>
                  <w:trPr>
                    <w:trHeight w:val="852"/>
                  </w:trPr>
                  <w:tc>
                    <w:tcPr>
                      <w:tcW w:w="2889" w:type="dxa"/>
                    </w:tcPr>
                    <w:p>
                      <w:pPr>
                        <w:spacing w:line="276" w:lineRule="auto"/>
                        <w:jc w:val="center"/>
                        <w:rPr>
                          <w:szCs w:val="24"/>
                        </w:rPr>
                      </w:pPr>
                      <w:r>
                        <w:rPr>
                          <w:szCs w:val="24"/>
                        </w:rPr>
                        <w:t>Privalomos projektų matomumo ir informavimo apie projektus priemonės</w:t>
                      </w:r>
                    </w:p>
                  </w:tc>
                  <w:tc>
                    <w:tcPr>
                      <w:tcW w:w="2098" w:type="dxa"/>
                    </w:tcPr>
                    <w:p>
                      <w:pPr>
                        <w:spacing w:line="276" w:lineRule="auto"/>
                        <w:jc w:val="center"/>
                        <w:rPr>
                          <w:szCs w:val="24"/>
                        </w:rPr>
                      </w:pPr>
                      <w:r>
                        <w:rPr>
                          <w:szCs w:val="24"/>
                        </w:rPr>
                        <w:t>FS-01-02</w:t>
                      </w:r>
                    </w:p>
                  </w:tc>
                  <w:tc>
                    <w:tcPr>
                      <w:tcW w:w="2126" w:type="dxa"/>
                    </w:tcPr>
                    <w:p>
                      <w:pPr>
                        <w:spacing w:line="276" w:lineRule="auto"/>
                        <w:jc w:val="center"/>
                        <w:rPr>
                          <w:szCs w:val="24"/>
                        </w:rPr>
                      </w:pPr>
                      <w:r>
                        <w:rPr>
                          <w:szCs w:val="24"/>
                        </w:rPr>
                        <w:t>03</w:t>
                      </w:r>
                    </w:p>
                  </w:tc>
                  <w:tc>
                    <w:tcPr>
                      <w:tcW w:w="3685" w:type="dxa"/>
                    </w:tcPr>
                    <w:p>
                      <w:pPr>
                        <w:jc w:val="center"/>
                        <w:rPr>
                          <w:szCs w:val="24"/>
                        </w:rPr>
                      </w:pPr>
                      <w:r>
                        <w:rPr>
                          <w:szCs w:val="24"/>
                        </w:rPr>
                        <w:t>Įgyvendintų privalomų matomumo ir informavimo priemonių apie ES fondų investicijų veiklas FS, pirmojo rinkinio FS su PVM</w:t>
                      </w:r>
                    </w:p>
                  </w:tc>
                  <w:tc>
                    <w:tcPr>
                      <w:tcW w:w="3686" w:type="dxa"/>
                    </w:tcPr>
                    <w:p>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rPr>
                    <w:trHeight w:val="852"/>
                  </w:trPr>
                  <w:tc>
                    <w:tcPr>
                      <w:tcW w:w="2889" w:type="dxa"/>
                    </w:tcPr>
                    <w:p>
                      <w:pPr>
                        <w:spacing w:line="276" w:lineRule="auto"/>
                        <w:jc w:val="center"/>
                        <w:rPr>
                          <w:szCs w:val="24"/>
                        </w:rPr>
                      </w:pPr>
                      <w:r>
                        <w:rPr>
                          <w:szCs w:val="24"/>
                        </w:rPr>
                        <w:t>Privalomos projektų matomumo ir informavimo apie projektus priemonės</w:t>
                      </w:r>
                    </w:p>
                  </w:tc>
                  <w:tc>
                    <w:tcPr>
                      <w:tcW w:w="2098" w:type="dxa"/>
                    </w:tcPr>
                    <w:p>
                      <w:pPr>
                        <w:spacing w:line="276" w:lineRule="auto"/>
                        <w:jc w:val="center"/>
                        <w:rPr>
                          <w:szCs w:val="24"/>
                        </w:rPr>
                      </w:pPr>
                      <w:r>
                        <w:rPr>
                          <w:szCs w:val="24"/>
                        </w:rPr>
                        <w:t>FS-01-03</w:t>
                      </w:r>
                    </w:p>
                  </w:tc>
                  <w:tc>
                    <w:tcPr>
                      <w:tcW w:w="2126" w:type="dxa"/>
                    </w:tcPr>
                    <w:p>
                      <w:pPr>
                        <w:spacing w:line="276" w:lineRule="auto"/>
                        <w:jc w:val="center"/>
                        <w:rPr>
                          <w:szCs w:val="24"/>
                        </w:rPr>
                      </w:pPr>
                      <w:r>
                        <w:rPr>
                          <w:szCs w:val="24"/>
                        </w:rPr>
                        <w:t>03</w:t>
                      </w:r>
                    </w:p>
                  </w:tc>
                  <w:tc>
                    <w:tcPr>
                      <w:tcW w:w="3685" w:type="dxa"/>
                    </w:tcPr>
                    <w:p>
                      <w:pPr>
                        <w:jc w:val="center"/>
                        <w:rPr>
                          <w:szCs w:val="24"/>
                        </w:rPr>
                      </w:pPr>
                      <w:r>
                        <w:rPr>
                          <w:szCs w:val="24"/>
                        </w:rPr>
                        <w:t>Įgyvendintų privalomų matomumo ir informavimo priemonių apie ES fondų investicijų veiklas FS, antrojo rinkinio FS be PVM</w:t>
                      </w:r>
                    </w:p>
                  </w:tc>
                  <w:tc>
                    <w:tcPr>
                      <w:tcW w:w="3686" w:type="dxa"/>
                    </w:tcPr>
                    <w:p>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rPr>
                    <w:trHeight w:val="852"/>
                  </w:trPr>
                  <w:tc>
                    <w:tcPr>
                      <w:tcW w:w="2889" w:type="dxa"/>
                    </w:tcPr>
                    <w:p>
                      <w:pPr>
                        <w:spacing w:line="276" w:lineRule="auto"/>
                        <w:jc w:val="center"/>
                        <w:rPr>
                          <w:szCs w:val="24"/>
                        </w:rPr>
                      </w:pPr>
                      <w:r>
                        <w:rPr>
                          <w:szCs w:val="24"/>
                        </w:rPr>
                        <w:t>Privalomos projektų matomumo ir informavimo apie projektus priemonės</w:t>
                      </w:r>
                    </w:p>
                  </w:tc>
                  <w:tc>
                    <w:tcPr>
                      <w:tcW w:w="2098" w:type="dxa"/>
                    </w:tcPr>
                    <w:p>
                      <w:pPr>
                        <w:spacing w:line="276" w:lineRule="auto"/>
                        <w:jc w:val="center"/>
                        <w:rPr>
                          <w:szCs w:val="24"/>
                        </w:rPr>
                      </w:pPr>
                      <w:r>
                        <w:rPr>
                          <w:szCs w:val="24"/>
                        </w:rPr>
                        <w:t>FS-01-04</w:t>
                      </w:r>
                    </w:p>
                    <w:p>
                      <w:pPr>
                        <w:spacing w:line="276" w:lineRule="auto"/>
                        <w:jc w:val="center"/>
                        <w:rPr>
                          <w:szCs w:val="24"/>
                        </w:rPr>
                      </w:pPr>
                    </w:p>
                  </w:tc>
                  <w:tc>
                    <w:tcPr>
                      <w:tcW w:w="2126" w:type="dxa"/>
                    </w:tcPr>
                    <w:p>
                      <w:pPr>
                        <w:spacing w:line="276" w:lineRule="auto"/>
                        <w:jc w:val="center"/>
                        <w:rPr>
                          <w:szCs w:val="24"/>
                        </w:rPr>
                      </w:pPr>
                      <w:r>
                        <w:rPr>
                          <w:szCs w:val="24"/>
                        </w:rPr>
                        <w:t>03</w:t>
                      </w:r>
                    </w:p>
                  </w:tc>
                  <w:tc>
                    <w:tcPr>
                      <w:tcW w:w="3685" w:type="dxa"/>
                    </w:tcPr>
                    <w:p>
                      <w:pPr>
                        <w:jc w:val="center"/>
                        <w:rPr>
                          <w:szCs w:val="24"/>
                        </w:rPr>
                      </w:pPr>
                      <w:r>
                        <w:rPr>
                          <w:szCs w:val="24"/>
                        </w:rPr>
                        <w:t>Įgyvendintų privalomų matomumo ir informavimo priemonių apie ES fondų investicijų veiklas FS, antrojo rinkinio FS su PVM</w:t>
                      </w:r>
                    </w:p>
                  </w:tc>
                  <w:tc>
                    <w:tcPr>
                      <w:tcW w:w="3686" w:type="dxa"/>
                    </w:tcPr>
                    <w:p>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889" w:type="dxa"/>
                    </w:tcPr>
                    <w:p>
                      <w:pPr>
                        <w:spacing w:line="276" w:lineRule="auto"/>
                        <w:jc w:val="center"/>
                        <w:rPr>
                          <w:szCs w:val="24"/>
                        </w:rPr>
                      </w:pPr>
                      <w:r>
                        <w:rPr>
                          <w:szCs w:val="24"/>
                        </w:rPr>
                        <w:t>Netiesioginės išlaidos</w:t>
                      </w:r>
                    </w:p>
                  </w:tc>
                  <w:tc>
                    <w:tcPr>
                      <w:tcW w:w="2098" w:type="dxa"/>
                    </w:tcPr>
                    <w:p>
                      <w:pPr>
                        <w:spacing w:line="276" w:lineRule="auto"/>
                        <w:jc w:val="center"/>
                        <w:rPr>
                          <w:szCs w:val="24"/>
                        </w:rPr>
                      </w:pPr>
                      <w:r>
                        <w:rPr>
                          <w:szCs w:val="24"/>
                        </w:rPr>
                        <w:t>FN-01</w:t>
                      </w:r>
                    </w:p>
                  </w:tc>
                  <w:tc>
                    <w:tcPr>
                      <w:tcW w:w="2126" w:type="dxa"/>
                    </w:tcPr>
                    <w:p>
                      <w:pPr>
                        <w:spacing w:line="276" w:lineRule="auto"/>
                        <w:jc w:val="center"/>
                        <w:rPr>
                          <w:szCs w:val="24"/>
                        </w:rPr>
                      </w:pPr>
                      <w:r>
                        <w:rPr>
                          <w:szCs w:val="24"/>
                        </w:rPr>
                        <w:t>-</w:t>
                      </w:r>
                    </w:p>
                  </w:tc>
                  <w:tc>
                    <w:tcPr>
                      <w:tcW w:w="3685" w:type="dxa"/>
                    </w:tcPr>
                    <w:p>
                      <w:pPr>
                        <w:spacing w:line="276" w:lineRule="auto"/>
                        <w:jc w:val="center"/>
                        <w:rPr>
                          <w:szCs w:val="24"/>
                        </w:rPr>
                      </w:pPr>
                      <w:r>
                        <w:rPr>
                          <w:szCs w:val="24"/>
                        </w:rPr>
                        <w:t>Iki 7 proc. netiesioginių išlaidų fiksuotoji norma</w:t>
                      </w:r>
                    </w:p>
                  </w:tc>
                  <w:tc>
                    <w:tcPr>
                      <w:tcW w:w="3686" w:type="dxa"/>
                    </w:tcPr>
                    <w:p>
                      <w:pPr>
                        <w:spacing w:line="276" w:lineRule="auto"/>
                        <w:jc w:val="center"/>
                        <w:rPr>
                          <w:szCs w:val="24"/>
                        </w:rPr>
                      </w:pPr>
                      <w:r>
                        <w:rPr>
                          <w:szCs w:val="24"/>
                        </w:rPr>
                        <w:t>Iki 7 proc.</w:t>
                      </w:r>
                    </w:p>
                  </w:tc>
                </w:tr>
              </w:tbl>
              <w:p>
                <w:pPr>
                  <w:rPr>
                    <w:sz w:val="22"/>
                    <w:szCs w:val="22"/>
                  </w:rPr>
                </w:pPr>
              </w:p>
              <w:p>
                <w:pPr>
                  <w:rPr>
                    <w:sz w:val="22"/>
                    <w:szCs w:val="22"/>
                  </w:rPr>
                </w:pPr>
              </w:p>
            </w:tc>
          </w:tr>
        </w:tbl>
        <w:p>
          <w:pPr>
            <w:spacing w:line="276" w:lineRule="auto"/>
            <w:rPr>
              <w:rFonts w:eastAsia="Calibri"/>
              <w:sz w:val="20"/>
            </w:rPr>
          </w:pPr>
        </w:p>
        <w:sdt>
          <w:sdtPr>
            <w:alias w:val="pabaiga"/>
            <w:tag w:val="part_a54fc467bbe44b10ac4ea0223647ac92"/>
            <w:lock w:val="sdtLocked"/>
            <w:richText/>
          </w:sdtPr>
          <w:sdtContent>
            <w:p>
              <w:pPr>
                <w:jc w:val="center"/>
                <w:rPr>
                  <w:rFonts w:eastAsia="Calibri"/>
                  <w:sz w:val="20"/>
                </w:rPr>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134" w:right="567" w:bottom="993" w:left="1701" w:header="567" w:footer="567" w:gutter="0"/>
                  <w:cols w:space="1296"/>
                  <w:titlePg/>
                  <w:docGrid w:linePitch="360"/>
                </w:sectPr>
              </w:pPr>
              <w:r>
                <w:rPr>
                  <w:rFonts w:eastAsia="Calibri"/>
                  <w:sz w:val="20"/>
                </w:rPr>
                <w:t>–––––––––––––––</w:t>
              </w:r>
            </w:p>
            <w:p>
              <w:pPr>
                <w:tabs>
                  <w:tab w:val="center" w:pos="4819"/>
                  <w:tab w:val="right" w:pos="9638"/>
                </w:tabs>
              </w:pPr>
            </w:p>
            <w:p>
              <w:pPr>
                <w:tabs>
                  <w:tab w:val="center" w:pos="4819"/>
                  <w:tab w:val="right" w:pos="9638"/>
                </w:tabs>
              </w:pPr>
            </w:p>
            <w:p>
              <w:pPr>
                <w:spacing w:line="276" w:lineRule="auto"/>
                <w:jc w:val="center"/>
                <w:rPr>
                  <w:rFonts w:eastAsia="Calibri"/>
                  <w:sz w:val="20"/>
                </w:rPr>
              </w:pPr>
            </w:p>
          </w:sdtContent>
        </w:sdt>
      </w:sdtContent>
    </w:sdt>
    <w:sdt>
      <w:sdtPr>
        <w:alias w:val="pr."/>
        <w:tag w:val="part_962aa938b9864bac91e6dda81f801852"/>
        <w:lock w:val="sdtLocked"/>
        <w:richText/>
      </w:sdtPr>
      <w:sdtContent>
        <w:p>
          <w:pPr>
            <w:ind w:left="10206"/>
            <w:jc w:val="both"/>
            <w:rPr>
              <w:szCs w:val="24"/>
            </w:rPr>
          </w:pPr>
          <w:r>
            <w:rPr>
              <w:szCs w:val="24"/>
            </w:rPr>
            <w:t>2022–2030 metų sveikatos priežiūros kokybės ir efektyvumo didinimo plėtros programos pažangos priemonės Nr. 11-002-11-01 „Gerinti sveikatos priežiūros paslaugų kokybę ir prieinamumą“ projekto finansavimo sąlygų aprašo Nr. 26</w:t>
          </w:r>
        </w:p>
        <w:p>
          <w:pPr>
            <w:tabs>
              <w:tab w:val="left" w:pos="10065"/>
            </w:tabs>
            <w:ind w:firstLine="10540"/>
            <w:rPr>
              <w:szCs w:val="24"/>
            </w:rPr>
          </w:pPr>
          <w:r>
            <w:rPr>
              <w:szCs w:val="24"/>
            </w:rPr>
            <w:t>priedas</w:t>
          </w:r>
        </w:p>
        <w:p>
          <w:pPr>
            <w:jc w:val="center"/>
            <w:rPr>
              <w:szCs w:val="24"/>
            </w:rPr>
          </w:pPr>
        </w:p>
        <w:p>
          <w:pPr>
            <w:jc w:val="center"/>
            <w:rPr>
              <w:rFonts w:eastAsia="Calibri"/>
              <w:b/>
              <w:bCs/>
              <w:szCs w:val="24"/>
            </w:rPr>
          </w:pPr>
        </w:p>
        <w:p>
          <w:pPr>
            <w:jc w:val="center"/>
            <w:rPr>
              <w:rFonts w:eastAsia="Calibri"/>
              <w:b/>
              <w:bCs/>
              <w:szCs w:val="24"/>
            </w:rPr>
          </w:pPr>
          <w:sdt>
            <w:sdtPr>
              <w:alias w:val="Pavadinimas"/>
              <w:tag w:val="title_962aa938b9864bac91e6dda81f801852"/>
              <w:lock w:val="sdtLocked"/>
              <w:richText/>
            </w:sdtPr>
            <w:sdtContent>
              <w:r>
                <w:rPr>
                  <w:rFonts w:eastAsia="Calibri"/>
                  <w:b/>
                  <w:bCs/>
                  <w:szCs w:val="24"/>
                </w:rPr>
                <w:t>PROJEKTO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rPr>
              <w:rFonts w:ascii="Wingdings 2" w:eastAsia="Wingdings 2" w:hAnsi="Wingdings 2" w:cs="Wingdings 2"/>
            </w:rPr>
            <w:sym w:font="Wingdings 2" w:char="00A3"/>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t>X Europos Sąjungos fondų i</w:t>
          </w:r>
          <w:r>
            <w:rPr>
              <w:rFonts w:eastAsia="Calibri"/>
              <w:bCs/>
              <w:szCs w:val="24"/>
            </w:rPr>
            <w:t>nvesticijų programa (toliau – ESFIP)</w:t>
          </w:r>
        </w:p>
        <w:p>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3"/>
            <w:gridCol w:w="5955"/>
            <w:gridCol w:w="4642"/>
          </w:tblGrid>
          <w:tr>
            <w:tc>
              <w:tcPr>
                <w:tcW w:w="1361" w:type="pct"/>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rPr>
                  <w:t>(ES) 2020/852</w:t>
                </w:r>
                <w:r>
                  <w:rPr>
                    <w:rFonts w:eastAsia="Calibri"/>
                    <w:i/>
                    <w:szCs w:val="24"/>
                  </w:rPr>
                  <w:t xml:space="preserve"> dėl sistemos tvariam investavimui palengvinti sukūrimo, kuriuo iš dalies keičiamas Reglamentas </w:t>
                </w:r>
                <w:r>
                  <w:rPr>
                    <w:rFonts w:eastAsia="Calibri"/>
                    <w:i/>
                    <w:szCs w:val="24"/>
                  </w:rPr>
                  <w:t>(ES) Nr. 2019/2088</w:t>
                </w:r>
                <w:r>
                  <w:rPr>
                    <w:rFonts w:eastAsia="Calibri"/>
                    <w:i/>
                    <w:szCs w:val="24"/>
                  </w:rPr>
                  <w:t>)</w:t>
                </w:r>
              </w:p>
            </w:tc>
            <w:tc>
              <w:tcPr>
                <w:tcW w:w="2045" w:type="pct"/>
              </w:tcPr>
              <w:p>
                <w:pPr>
                  <w:jc w:val="center"/>
                  <w:rPr>
                    <w:rFonts w:eastAsia="Calibri"/>
                    <w:b/>
                    <w:szCs w:val="24"/>
                  </w:rPr>
                </w:pPr>
                <w:r>
                  <w:rPr>
                    <w:rFonts w:eastAsia="Calibri"/>
                    <w:b/>
                    <w:szCs w:val="24"/>
                  </w:rPr>
                  <w:t>Pagrindimas</w:t>
                </w:r>
              </w:p>
              <w:p>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1594" w:type="pct"/>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1361" w:type="pct"/>
              </w:tcPr>
              <w:p>
                <w:pPr>
                  <w:tabs>
                    <w:tab w:val="left" w:pos="289"/>
                  </w:tabs>
                  <w:ind w:firstLine="5"/>
                  <w:jc w:val="both"/>
                  <w:rPr>
                    <w:rFonts w:eastAsia="Calibri"/>
                    <w:szCs w:val="24"/>
                  </w:rPr>
                </w:pPr>
                <w:r>
                  <w:rPr>
                    <w:rFonts w:eastAsia="Calibri"/>
                    <w:szCs w:val="24"/>
                  </w:rPr>
                  <w:t>1.</w:t>
                  <w:tab/>
                  <w:t>Klimato kaitos švelninimas</w:t>
                </w:r>
              </w:p>
            </w:tc>
            <w:tc>
              <w:tcPr>
                <w:tcW w:w="2045" w:type="pct"/>
              </w:tcPr>
              <w:p>
                <w:pPr>
                  <w:jc w:val="both"/>
                  <w:rPr>
                    <w:rFonts w:eastAsia="Calibri"/>
                    <w:bCs/>
                    <w:iCs/>
                    <w:szCs w:val="24"/>
                  </w:rPr>
                </w:pPr>
                <w:r>
                  <w:rPr>
                    <w:rFonts w:eastAsia="Calibri"/>
                    <w:bCs/>
                    <w:iCs/>
                    <w:szCs w:val="24"/>
                  </w:rPr>
                  <w:t xml:space="preserve">Vertinama, kad planuojamos įgyvendinti veiklos (asmens sveikatos priežiūros įstaigų (toliau – </w:t>
                </w:r>
                <w:r>
                  <w:rPr>
                    <w:rFonts w:eastAsia="Calibri"/>
                    <w:bCs/>
                    <w:szCs w:val="24"/>
                  </w:rPr>
                  <w:t>ASPĮ) modernizavimas (rangos darbai, baldų, kompiuterinės įrangos bei priemonių (</w:t>
                </w:r>
                <w:r>
                  <w:rPr>
                    <w:szCs w:val="24"/>
                  </w:rPr>
                  <w:t>įskaitant skaitmenines sistemas pacientų apskaitymui ir atvaizdavimui</w:t>
                </w:r>
                <w:r>
                  <w:rPr>
                    <w:rFonts w:eastAsia="Calibri"/>
                    <w:bCs/>
                    <w:szCs w:val="24"/>
                  </w:rPr>
                  <w:t xml:space="preserve">) bei </w:t>
                </w:r>
                <w:r>
                  <w:rPr>
                    <w:szCs w:val="24"/>
                  </w:rPr>
                  <w:t xml:space="preserve">transporto priemonių </w:t>
                </w:r>
                <w:r>
                  <w:rPr>
                    <w:rFonts w:eastAsia="Calibri"/>
                    <w:bCs/>
                    <w:szCs w:val="24"/>
                  </w:rPr>
                  <w:t>įsigijimas</w:t>
                </w:r>
                <w:r>
                  <w:rPr>
                    <w:rFonts w:eastAsia="Calibri"/>
                    <w:bCs/>
                    <w:iCs/>
                    <w:szCs w:val="24"/>
                  </w:rPr>
                  <w:t>) prisideda</w:t>
                </w:r>
                <w:r>
                  <w:rPr>
                    <w:rFonts w:eastAsia="Calibri"/>
                    <w:bCs/>
                    <w:iCs/>
                    <w:color w:val="FF0000"/>
                    <w:szCs w:val="24"/>
                  </w:rPr>
                  <w:t xml:space="preserve"> </w:t>
                </w:r>
                <w:r>
                  <w:rPr>
                    <w:rFonts w:eastAsia="Calibri"/>
                    <w:bCs/>
                    <w:iCs/>
                    <w:szCs w:val="24"/>
                  </w:rPr>
                  <w:t xml:space="preserve">prie klimato kaitos švelninimo tikslo. </w:t>
                </w:r>
              </w:p>
              <w:p>
                <w:pPr>
                  <w:jc w:val="both"/>
                  <w:rPr>
                    <w:rFonts w:eastAsia="Calibri"/>
                    <w:bCs/>
                    <w:iCs/>
                    <w:szCs w:val="24"/>
                  </w:rPr>
                </w:pPr>
                <w:r>
                  <w:rPr>
                    <w:rFonts w:eastAsia="Calibri"/>
                    <w:bCs/>
                    <w:iCs/>
                    <w:szCs w:val="24"/>
                  </w:rPr>
                  <w:t xml:space="preserve">Atlikus ASPĮ statybos / pastatų rekonstrukcijos / remonto darbus bus padidintas pastatų energijos efektyvumas, užtikrintas atsinaujinančių energijos išteklių naudojimas elektrai ir (ar) šildymui, kiek tai bus finansiškai racionalu atsižvelgiant į centralizuotų šilumos tiekimo sistemų pajėgumą ir prieinamumą. </w:t>
                </w:r>
              </w:p>
              <w:p>
                <w:pPr>
                  <w:jc w:val="both"/>
                  <w:rPr>
                    <w:rFonts w:eastAsia="Calibri"/>
                    <w:bCs/>
                    <w:iCs/>
                    <w:szCs w:val="24"/>
                  </w:rPr>
                </w:pPr>
                <w:r>
                  <w:rPr>
                    <w:rFonts w:eastAsia="Calibri"/>
                    <w:bCs/>
                    <w:iCs/>
                    <w:szCs w:val="24"/>
                  </w:rPr>
                  <w:t xml:space="preserve">Neplanuojama, kad veiklos gali turėti neigiamą poveikį klimato kaitos švelninimo tikslui, kadangi bus užtikrinta, kad kuriama infrastruktūra atitiktų statybos techninio reglamento STR 2.01.02:2016 „Pastatų energinio naudingumo projektavimas ir sertifikavimas“, patvirtinto Lietuvos Respublikos aplinkos ministro 2016 m. lapkričio 11 d įsakymu Nr. D1-754 „Dėl statybos techninio reglamento STR 2.01.02:2016 „Pastatų energinio naudingumo projektavimas ir sertifikavimas“ patvirtinimo“, (toliau – statybos techninis reglamentas STR 2.01.02:2016) bei kitų teisės aktų reikalavimus, susijusius su </w:t>
                </w:r>
                <w:r>
                  <w:rPr>
                    <w:szCs w:val="24"/>
                  </w:rPr>
                  <w:t xml:space="preserve">šiltnamio efektą sukeliančių dujų </w:t>
                </w:r>
                <w:r>
                  <w:rPr>
                    <w:rFonts w:eastAsia="Calibri"/>
                    <w:bCs/>
                    <w:iCs/>
                    <w:szCs w:val="24"/>
                  </w:rPr>
                  <w:t xml:space="preserve">emisija, ir atitiks beveik energijos nenaudojančių pastatų projektavimo, statybos ir eksploatacijos (angl. </w:t>
                </w:r>
                <w:r>
                  <w:rPr>
                    <w:rFonts w:eastAsia="Calibri"/>
                    <w:bCs/>
                    <w:i/>
                    <w:szCs w:val="24"/>
                  </w:rPr>
                  <w:t>Nearly Zero Energy Building</w:t>
                </w:r>
                <w:r>
                  <w:rPr>
                    <w:rFonts w:eastAsia="Calibri"/>
                    <w:bCs/>
                    <w:iCs/>
                    <w:szCs w:val="24"/>
                  </w:rPr>
                  <w:t xml:space="preserve">) standartą naujai kuriamos infrastruktūros atveju arba  bus užtikrintas </w:t>
                </w:r>
                <w:r>
                  <w:rPr>
                    <w:szCs w:val="24"/>
                  </w:rPr>
                  <w:t xml:space="preserve">2018 m. gegužės 30 d. Europos Parlamento ir Tarybos direktyva (ES) 2018/844, kuria iš dalies keičiama Direktyva </w:t>
                </w:r>
                <w:r>
                  <w:rPr>
                    <w:szCs w:val="24"/>
                  </w:rPr>
                  <w:t>2010/31/ES</w:t>
                </w:r>
                <w:r>
                  <w:rPr>
                    <w:szCs w:val="24"/>
                  </w:rPr>
                  <w:t xml:space="preserve"> dėl pastatų energinio naudingumo ir Direktyva </w:t>
                </w:r>
                <w:r>
                  <w:rPr>
                    <w:szCs w:val="24"/>
                  </w:rPr>
                  <w:t>2012/27/ES</w:t>
                </w:r>
                <w:r>
                  <w:rPr>
                    <w:szCs w:val="24"/>
                  </w:rPr>
                  <w:t xml:space="preserve"> dėl energijos vartojimo efektyvumo reikalavi</w:t>
                </w:r>
                <w:r>
                  <w:rPr>
                    <w:rFonts w:eastAsia="Calibri"/>
                    <w:iCs/>
                    <w:szCs w:val="24"/>
                  </w:rPr>
                  <w:t>mų, susijusių su energetiniu</w:t>
                </w:r>
                <w:r>
                  <w:rPr>
                    <w:rFonts w:eastAsia="Calibri"/>
                    <w:bCs/>
                    <w:iCs/>
                    <w:szCs w:val="24"/>
                  </w:rPr>
                  <w:t xml:space="preserve"> pastatų efektyvumu, laikymasis modernizuojamos infrastruktūros atveju.</w:t>
                </w:r>
              </w:p>
              <w:p>
                <w:pPr>
                  <w:jc w:val="both"/>
                  <w:rPr>
                    <w:rFonts w:eastAsia="Calibri"/>
                    <w:bCs/>
                    <w:iCs/>
                    <w:szCs w:val="24"/>
                  </w:rPr>
                </w:pPr>
                <w:r>
                  <w:rPr>
                    <w:rFonts w:eastAsia="Calibri"/>
                    <w:bCs/>
                    <w:iCs/>
                    <w:szCs w:val="24"/>
                  </w:rPr>
                  <w:t>Projektų vykdytojai ir kiti dalyviai bei tarpininkai privalo laikytis pagrindimo skiltyje nurodytų teisės aktų reikalavimų.</w:t>
                </w:r>
              </w:p>
            </w:tc>
            <w:tc>
              <w:tcPr>
                <w:tcW w:w="1594" w:type="pct"/>
              </w:tcPr>
              <w:p>
                <w:pPr>
                  <w:jc w:val="both"/>
                  <w:rPr>
                    <w:bCs/>
                  </w:rPr>
                </w:pPr>
                <w:r>
                  <w:rPr>
                    <w:bCs/>
                  </w:rPr>
                  <w:t>Pagrindimo dokumentai su projekto įgyvendinimo planu (toliau – PĮP) nėra teikiami.</w:t>
                </w:r>
              </w:p>
              <w:p>
                <w:pPr>
                  <w:jc w:val="both"/>
                  <w:rPr>
                    <w:rFonts w:eastAsia="Calibri"/>
                    <w:bCs/>
                    <w:iCs/>
                    <w:szCs w:val="24"/>
                  </w:rPr>
                </w:pPr>
                <w:r>
                  <w:rPr>
                    <w:rFonts w:ascii="Arial" w:hAnsi="Arial" w:cs="Arial"/>
                    <w:color w:val="000000"/>
                    <w:sz w:val="26"/>
                    <w:szCs w:val="26"/>
                  </w:rPr>
                  <w:br/>
                </w:r>
                <w:r>
                  <w:rPr>
                    <w:bCs/>
                  </w:rPr>
                  <w:t>PĮP pateikiamas įsipareigojimas pirkimo dokumentuose kelti reikalavimą, kad v</w:t>
                </w:r>
                <w:r>
                  <w:rPr>
                    <w:rFonts w:eastAsia="Calibri"/>
                    <w:bCs/>
                    <w:iCs/>
                    <w:szCs w:val="24"/>
                  </w:rPr>
                  <w:t xml:space="preserve">ykdant statybos rangos darbus būtų vadovaujamasi Lietuvos Respublikos statybos įstatymu ir (ar) </w:t>
                </w:r>
                <w:r>
                  <w:rPr>
                    <w:color w:val="000000"/>
                    <w:szCs w:val="24"/>
                  </w:rPr>
                  <w:t>statybos techniniu reglamentu STR 2.01.02:2016</w:t>
                </w:r>
                <w:r>
                  <w:rPr>
                    <w:rFonts w:eastAsia="Calibri"/>
                    <w:bCs/>
                    <w:iCs/>
                    <w:szCs w:val="24"/>
                  </w:rPr>
                  <w:t xml:space="preserve">. </w:t>
                </w:r>
              </w:p>
              <w:p>
                <w:pPr>
                  <w:jc w:val="both"/>
                  <w:rPr>
                    <w:bCs/>
                  </w:rPr>
                </w:pPr>
              </w:p>
              <w:p>
                <w:pPr>
                  <w:jc w:val="both"/>
                  <w:rPr>
                    <w:bCs/>
                    <w:color w:val="000000"/>
                    <w:szCs w:val="24"/>
                  </w:rPr>
                </w:pPr>
                <w:r>
                  <w:rPr>
                    <w:bCs/>
                    <w:color w:val="000000"/>
                    <w:szCs w:val="24"/>
                  </w:rPr>
                  <w:t xml:space="preserve">Atitiktis bus vertinama pagal PĮP nurodytą informaciją ir projektų įgyvendinimo metu pateikiamų pirkimo dokumentų informaciją, įvardijant planuojamą pasiekti energetinio efektyvumo klasę. </w:t>
                </w:r>
              </w:p>
              <w:p>
                <w:pPr>
                  <w:ind w:firstLine="62"/>
                  <w:jc w:val="both"/>
                  <w:rPr>
                    <w:color w:val="000000"/>
                    <w:sz w:val="22"/>
                    <w:szCs w:val="22"/>
                  </w:rPr>
                </w:pPr>
              </w:p>
              <w:p>
                <w:pPr>
                  <w:ind w:firstLine="62"/>
                  <w:jc w:val="both"/>
                  <w:rPr>
                    <w:color w:val="000000"/>
                    <w:sz w:val="22"/>
                    <w:szCs w:val="22"/>
                  </w:rPr>
                </w:pPr>
              </w:p>
              <w:p>
                <w:pPr>
                  <w:jc w:val="both"/>
                  <w:rPr>
                    <w:color w:val="000000"/>
                    <w:sz w:val="22"/>
                    <w:szCs w:val="22"/>
                  </w:rPr>
                </w:pPr>
              </w:p>
              <w:p>
                <w:pPr>
                  <w:jc w:val="both"/>
                  <w:rPr>
                    <w:color w:val="000000"/>
                    <w:sz w:val="22"/>
                    <w:szCs w:val="22"/>
                  </w:rPr>
                </w:pPr>
              </w:p>
              <w:p>
                <w:pPr>
                  <w:jc w:val="both"/>
                  <w:rPr>
                    <w:bCs/>
                    <w:szCs w:val="24"/>
                  </w:rPr>
                </w:pPr>
              </w:p>
              <w:p>
                <w:pPr>
                  <w:tabs>
                    <w:tab w:val="left" w:pos="589"/>
                  </w:tabs>
                  <w:jc w:val="both"/>
                  <w:rPr>
                    <w:rFonts w:eastAsia="Calibri"/>
                    <w:bCs/>
                    <w:iCs/>
                    <w:szCs w:val="24"/>
                  </w:rPr>
                </w:pPr>
              </w:p>
              <w:p>
                <w:pPr>
                  <w:tabs>
                    <w:tab w:val="left" w:pos="589"/>
                  </w:tabs>
                  <w:jc w:val="both"/>
                  <w:rPr>
                    <w:rFonts w:eastAsia="Calibri"/>
                    <w:iCs/>
                    <w:szCs w:val="24"/>
                  </w:rPr>
                </w:pPr>
              </w:p>
              <w:p>
                <w:pPr>
                  <w:tabs>
                    <w:tab w:val="left" w:pos="589"/>
                  </w:tabs>
                  <w:jc w:val="both"/>
                  <w:rPr>
                    <w:rFonts w:eastAsia="Calibri"/>
                    <w:iCs/>
                    <w:szCs w:val="24"/>
                  </w:rPr>
                </w:pPr>
              </w:p>
              <w:p>
                <w:pPr>
                  <w:tabs>
                    <w:tab w:val="left" w:pos="589"/>
                  </w:tabs>
                  <w:jc w:val="both"/>
                  <w:rPr>
                    <w:rFonts w:eastAsia="Calibri"/>
                    <w:iCs/>
                    <w:szCs w:val="24"/>
                  </w:rPr>
                </w:pPr>
              </w:p>
            </w:tc>
          </w:tr>
          <w:tr>
            <w:tc>
              <w:tcPr>
                <w:tcW w:w="1361" w:type="pct"/>
              </w:tcPr>
              <w:p>
                <w:pPr>
                  <w:tabs>
                    <w:tab w:val="left" w:pos="289"/>
                  </w:tabs>
                  <w:ind w:firstLine="5"/>
                  <w:jc w:val="both"/>
                  <w:rPr>
                    <w:rFonts w:eastAsia="Calibri"/>
                    <w:szCs w:val="24"/>
                  </w:rPr>
                </w:pPr>
                <w:r>
                  <w:rPr>
                    <w:rFonts w:eastAsia="Calibri"/>
                    <w:szCs w:val="24"/>
                  </w:rPr>
                  <w:t>2.</w:t>
                  <w:tab/>
                  <w:t>Prisitaikymas prie klimato kaitos</w:t>
                </w:r>
              </w:p>
            </w:tc>
            <w:tc>
              <w:tcPr>
                <w:tcW w:w="2045" w:type="pct"/>
              </w:tcPr>
              <w:p>
                <w:pPr>
                  <w:jc w:val="both"/>
                  <w:rPr>
                    <w:bCs/>
                    <w:szCs w:val="24"/>
                  </w:rPr>
                </w:pPr>
                <w:r>
                  <w:rPr>
                    <w:bCs/>
                    <w:iCs/>
                    <w:szCs w:val="24"/>
                  </w:rPr>
                  <w:t xml:space="preserve">Vertinama, kad planuojamos įgyvendinti veiklos </w:t>
                </w:r>
                <w:r>
                  <w:rPr>
                    <w:bCs/>
                    <w:szCs w:val="24"/>
                  </w:rPr>
                  <w:t xml:space="preserve">neturės jokio poveikio šiam aplinkos tikslui arba numatomas jų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 </w:t>
                </w:r>
              </w:p>
              <w:p>
                <w:pPr>
                  <w:jc w:val="both"/>
                  <w:rPr>
                    <w:bCs/>
                    <w:szCs w:val="24"/>
                  </w:rPr>
                </w:pPr>
                <w:r>
                  <w:rPr>
                    <w:bCs/>
                  </w:rPr>
                  <w:t>Tai užtikrins rizikos dėl neigiamo poveikio klimatui, žmonėms, gamtai ar turtui eliminavimą.</w:t>
                </w:r>
              </w:p>
              <w:p>
                <w:pPr>
                  <w:jc w:val="both"/>
                  <w:rPr>
                    <w:bCs/>
                    <w:szCs w:val="24"/>
                  </w:rPr>
                </w:pPr>
                <w:r>
                  <w:rPr>
                    <w:bCs/>
                    <w:szCs w:val="24"/>
                  </w:rPr>
                  <w:t>Taip pat nauja statyba nebus atliekama potvynių zonose, bus skatinama naudoti žaliąją infrastruktūrą – augmeniją ir kitus pastatų dizaino / apželdinimo sprendinius, kurie sumažintų energijos poreikius, ir kt.</w:t>
                </w:r>
              </w:p>
            </w:tc>
            <w:tc>
              <w:tcPr>
                <w:tcW w:w="1594" w:type="pct"/>
              </w:tcPr>
              <w:p>
                <w:pPr>
                  <w:jc w:val="both"/>
                  <w:rPr>
                    <w:bCs/>
                  </w:rPr>
                </w:pPr>
                <w:r>
                  <w:rPr>
                    <w:bCs/>
                  </w:rPr>
                  <w:t>Netaikoma, nes įgyvendinant veiklas neplanuojama statyti jokios infrastruktūros, turinčios poveikį aplinkai.</w:t>
                </w:r>
              </w:p>
              <w:p>
                <w:pPr>
                  <w:jc w:val="both"/>
                  <w:rPr>
                    <w:bCs/>
                    <w:szCs w:val="24"/>
                  </w:rPr>
                </w:pPr>
              </w:p>
              <w:p>
                <w:pPr>
                  <w:jc w:val="both"/>
                  <w:rPr>
                    <w:bCs/>
                    <w:szCs w:val="24"/>
                  </w:rPr>
                </w:pPr>
              </w:p>
              <w:p>
                <w:pPr>
                  <w:jc w:val="both"/>
                  <w:rPr>
                    <w:bCs/>
                    <w:szCs w:val="24"/>
                  </w:rPr>
                </w:pPr>
              </w:p>
              <w:p>
                <w:pPr>
                  <w:jc w:val="both"/>
                  <w:rPr>
                    <w:rFonts w:eastAsia="Calibri"/>
                    <w:bCs/>
                    <w:iCs/>
                    <w:szCs w:val="24"/>
                  </w:rPr>
                </w:pPr>
              </w:p>
              <w:p>
                <w:pPr>
                  <w:jc w:val="both"/>
                  <w:rPr>
                    <w:rFonts w:eastAsia="Calibri"/>
                    <w:bCs/>
                    <w:szCs w:val="24"/>
                  </w:rPr>
                </w:pPr>
              </w:p>
            </w:tc>
          </w:tr>
          <w:tr>
            <w:tc>
              <w:tcPr>
                <w:tcW w:w="1361" w:type="pct"/>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2045" w:type="pct"/>
              </w:tcPr>
              <w:p>
                <w:pPr>
                  <w:jc w:val="both"/>
                  <w:rPr>
                    <w:rFonts w:eastAsia="Calibri"/>
                    <w:szCs w:val="24"/>
                  </w:rPr>
                </w:pPr>
                <w:r>
                  <w:rPr>
                    <w:rFonts w:eastAsia="Calibri"/>
                    <w:bCs/>
                    <w:iCs/>
                    <w:szCs w:val="24"/>
                  </w:rPr>
                  <w:t xml:space="preserve">Vertinama, kad planuojamos įgyvendinti veiklos </w:t>
                </w:r>
                <w:r>
                  <w:rPr>
                    <w:rFonts w:eastAsia="Calibri"/>
                    <w:szCs w:val="24"/>
                  </w:rPr>
                  <w:t>neturės jokio poveikio šiam aplinkos tikslui arba numatomas jos poveikis yra nereikšmingas, t. y. nedaro tiesioginio ir pirminio netiesioginio poveikio per visą gyvavimo ciklą, todėl laikoma, kad priemonė atitinka tausaus vandens ir jūrų išteklių naudojimo ir apsaugos tikslą.</w:t>
                </w:r>
              </w:p>
            </w:tc>
            <w:tc>
              <w:tcPr>
                <w:tcW w:w="1594" w:type="pct"/>
              </w:tcPr>
              <w:p>
                <w:pPr>
                  <w:jc w:val="both"/>
                  <w:rPr>
                    <w:bCs/>
                    <w:szCs w:val="24"/>
                  </w:rPr>
                </w:pPr>
                <w:r>
                  <w:rPr>
                    <w:bCs/>
                    <w:szCs w:val="24"/>
                  </w:rPr>
                  <w:t>Netaikoma, kadangi 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tausaus vandens ir jūrų išteklių naudojimui.</w:t>
                </w:r>
              </w:p>
              <w:p>
                <w:pPr>
                  <w:jc w:val="both"/>
                  <w:rPr>
                    <w:rFonts w:eastAsia="Calibri"/>
                    <w:iCs/>
                    <w:strike/>
                    <w:szCs w:val="24"/>
                  </w:rPr>
                </w:pPr>
              </w:p>
              <w:p>
                <w:pPr>
                  <w:jc w:val="both"/>
                  <w:rPr>
                    <w:rFonts w:eastAsia="Calibri"/>
                    <w:bCs/>
                    <w:strike/>
                    <w:szCs w:val="24"/>
                  </w:rPr>
                </w:pPr>
              </w:p>
            </w:tc>
          </w:tr>
          <w:tr>
            <w:tc>
              <w:tcPr>
                <w:tcW w:w="1361" w:type="pct"/>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2045" w:type="pct"/>
              </w:tcPr>
              <w:p>
                <w:pPr>
                  <w:jc w:val="both"/>
                  <w:rPr>
                    <w:rFonts w:eastAsia="Calibri"/>
                    <w:bCs/>
                    <w:szCs w:val="24"/>
                  </w:rPr>
                </w:pPr>
                <w:r>
                  <w:rPr>
                    <w:rFonts w:eastAsia="Calibri"/>
                    <w:bCs/>
                    <w:szCs w:val="24"/>
                  </w:rPr>
                  <w:t>Vertinama, kad planuojamos įgyvendinti veiklos neturės jokio neigiamo tiesioginio ar netiesioginio poveikio žiedinės ekonomikos, įskaitant atliekų prevenciją ir perdirbimą, tikslui. Pasibaigus naudingam įrangos, priemonių ar baldų tarnavimo laikui, jie bus sutvarkomi vadovaujantis Lietuvos Respublikos įstatymais ir kitais teisės aktais.</w:t>
                </w:r>
              </w:p>
            </w:tc>
            <w:tc>
              <w:tcPr>
                <w:tcW w:w="1594" w:type="pct"/>
              </w:tcPr>
              <w:p>
                <w:pPr>
                  <w:jc w:val="both"/>
                  <w:rPr>
                    <w:bCs/>
                    <w:szCs w:val="24"/>
                  </w:rPr>
                </w:pPr>
                <w:r>
                  <w:rPr>
                    <w:bCs/>
                    <w:szCs w:val="24"/>
                  </w:rPr>
                  <w:t>Pagrindimo dokumentai su PĮP nėra teikiami.</w:t>
                </w:r>
              </w:p>
              <w:p>
                <w:pPr>
                  <w:jc w:val="both"/>
                  <w:rPr>
                    <w:color w:val="000000"/>
                    <w:szCs w:val="24"/>
                  </w:rPr>
                </w:pPr>
              </w:p>
              <w:p>
                <w:pPr>
                  <w:rPr>
                    <w:sz w:val="8"/>
                    <w:szCs w:val="8"/>
                  </w:rPr>
                </w:pPr>
              </w:p>
              <w:p>
                <w:pPr>
                  <w:jc w:val="both"/>
                  <w:rPr>
                    <w:szCs w:val="24"/>
                    <w:lang w:eastAsia="lt-LT"/>
                  </w:rPr>
                </w:pPr>
                <w:r>
                  <w:rPr>
                    <w:color w:val="000000"/>
                    <w:szCs w:val="24"/>
                    <w:lang w:eastAsia="lt-LT"/>
                  </w:rPr>
                  <w:t xml:space="preserve">PĮP pateikiamas įsipareigojimas pirkimo dokumentuose kelti reikalavimą, kad padangos turi atitikti aukščiausios klasės padangoms taikomus išorinio riedėjimo triukšmo reikalavimus ir dviejų aukščiausių klasių padangoms taikomą riedėjimo varžos koeficientą (darantį įtaką energijos vartojimo efektyvumui), nustatytą </w:t>
                </w:r>
                <w:r>
                  <w:rPr>
                    <w:szCs w:val="24"/>
                    <w:shd w:val="clear" w:color="auto" w:fill="FFFFFF"/>
                    <w:lang w:eastAsia="lt-LT"/>
                  </w:rPr>
                  <w:t>2020 m. gegužės 25 d. Europos Parlamento ir Tarybos reglamentu (ES) 2020/740 dėl padangų ženklinimo pagal degalų naudojimo efektyvumą ir kitus parametrus, kuriuo iš dalies keičiamas Reglamentas (ES) 2017/1369 ir panaikinamas Reglamentas (EB) Nr. 1222/2009</w:t>
                </w:r>
                <w:r>
                  <w:rPr>
                    <w:color w:val="000000"/>
                    <w:szCs w:val="24"/>
                    <w:lang w:eastAsia="lt-LT"/>
                  </w:rPr>
                  <w:t>, kurį taip pat galima patikrinti Europos gaminių energijos vartojimo efektyvumo ženklinimo duomenų bazėje.</w:t>
                </w:r>
              </w:p>
              <w:p>
                <w:pPr>
                  <w:rPr>
                    <w:sz w:val="8"/>
                    <w:szCs w:val="8"/>
                  </w:rPr>
                </w:pPr>
              </w:p>
              <w:p>
                <w:pPr>
                  <w:jc w:val="both"/>
                  <w:rPr>
                    <w:rFonts w:eastAsia="Calibri"/>
                    <w:bCs/>
                    <w:szCs w:val="24"/>
                  </w:rPr>
                </w:pPr>
              </w:p>
            </w:tc>
          </w:tr>
          <w:tr>
            <w:tc>
              <w:tcPr>
                <w:tcW w:w="1361" w:type="pct"/>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2045" w:type="pct"/>
              </w:tcPr>
              <w:p>
                <w:pPr>
                  <w:jc w:val="both"/>
                  <w:rPr>
                    <w:rFonts w:eastAsia="Calibri"/>
                    <w:szCs w:val="24"/>
                  </w:rPr>
                </w:pPr>
                <w:r>
                  <w:rPr>
                    <w:rFonts w:eastAsia="Calibri"/>
                    <w:szCs w:val="24"/>
                  </w:rPr>
                  <w:t>Vertinama, kad planuojamos įgyvendinti veiklos (</w:t>
                </w:r>
                <w:r>
                  <w:rPr>
                    <w:rFonts w:eastAsia="Calibri"/>
                    <w:bCs/>
                    <w:szCs w:val="24"/>
                  </w:rPr>
                  <w:t>ASPĮ modernizavimas (rangos darbai, baldų, kompiuterinės įrangos bei priemonių (</w:t>
                </w:r>
                <w:r>
                  <w:rPr>
                    <w:szCs w:val="24"/>
                  </w:rPr>
                  <w:t>įskaitant skaitmenines sistemas pacientų apskaitymui ir atvaizdavimui</w:t>
                </w:r>
                <w:r>
                  <w:rPr>
                    <w:rFonts w:eastAsia="Calibri"/>
                    <w:bCs/>
                    <w:szCs w:val="24"/>
                  </w:rPr>
                  <w:t xml:space="preserve">) bei </w:t>
                </w:r>
                <w:r>
                  <w:rPr>
                    <w:szCs w:val="24"/>
                  </w:rPr>
                  <w:t xml:space="preserve">transporto priemonių </w:t>
                </w:r>
                <w:r>
                  <w:rPr>
                    <w:rFonts w:eastAsia="Calibri"/>
                    <w:bCs/>
                    <w:szCs w:val="24"/>
                  </w:rPr>
                  <w:t>įsigijimas</w:t>
                </w:r>
                <w:r>
                  <w:rPr>
                    <w:rFonts w:eastAsia="Calibri"/>
                    <w:bCs/>
                    <w:iCs/>
                    <w:szCs w:val="24"/>
                  </w:rPr>
                  <w:t xml:space="preserve">) </w:t>
                </w:r>
                <w:r>
                  <w:rPr>
                    <w:rFonts w:eastAsia="Calibri"/>
                    <w:szCs w:val="24"/>
                  </w:rPr>
                  <w:t xml:space="preserve">neturės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w:t>
                </w:r>
                <w:r>
                  <w:rPr>
                    <w:szCs w:val="24"/>
                  </w:rPr>
                  <w:t>ykdomi rangos darbai ir įsigyjama įranga privalės atitikti visus aukščiausius kokybės reikalavimus.</w:t>
                </w:r>
              </w:p>
              <w:p>
                <w:pPr>
                  <w:jc w:val="both"/>
                  <w:rPr>
                    <w:rFonts w:eastAsia="Calibri"/>
                    <w:szCs w:val="24"/>
                  </w:rPr>
                </w:pPr>
                <w:r>
                  <w:rPr>
                    <w:rFonts w:eastAsia="Calibri"/>
                    <w:szCs w:val="24"/>
                  </w:rPr>
                  <w:t>Statybose naudojamose statybinėse dalyse ir medžiagose nėra asbesto ir labai didelį susirūpinimą keliančių medžiagų, nustatytų remiantis medžiagų, kurioms reikalingas leidimas, sąrašu, nurodytu</w:t>
                </w:r>
                <w:r>
                  <w:rPr>
                    <w:rFonts w:eastAsia="Calibri"/>
                  </w:rPr>
                  <w:t xml:space="preserve"> </w:t>
                </w:r>
                <w:r>
                  <w:rPr>
                    <w:rFonts w:eastAsia="Calibri"/>
                    <w:szCs w:val="24"/>
                  </w:rPr>
                  <w:t xml:space="preserve">2006 m. gruodžio 18 d. Europos Parlamento ir Tarybos reglamento </w:t>
                </w:r>
                <w:r>
                  <w:rPr>
                    <w:rFonts w:eastAsia="Calibri"/>
                    <w:szCs w:val="24"/>
                  </w:rPr>
                  <w:t>(EB) Nr. 1907/2006</w:t>
                </w:r>
                <w:r>
                  <w:rPr>
                    <w:rFonts w:eastAsia="Calibri"/>
                    <w:szCs w:val="24"/>
                  </w:rPr>
                  <w:t xml:space="preserve"> dėl cheminių medžiagų registracijos, įvertinimo, autorizacijos ir apribojimų (REACH), įsteigiančio Europos cheminių medžiagų agentūrą, iš dalies keičiančio Direktyvą </w:t>
                </w:r>
                <w:r>
                  <w:rPr>
                    <w:rFonts w:eastAsia="Calibri"/>
                    <w:szCs w:val="24"/>
                  </w:rPr>
                  <w:t>1999/45/EB</w:t>
                </w:r>
                <w:r>
                  <w:rPr>
                    <w:rFonts w:eastAsia="Calibri"/>
                    <w:szCs w:val="24"/>
                  </w:rPr>
                  <w:t xml:space="preserve"> bei panaikinančio Tarybos reglamentą </w:t>
                </w:r>
                <w:r>
                  <w:rPr>
                    <w:rFonts w:eastAsia="Calibri"/>
                    <w:szCs w:val="24"/>
                  </w:rPr>
                  <w:t>(EEB) Nr. 793/93</w:t>
                </w:r>
                <w:r>
                  <w:rPr>
                    <w:rFonts w:eastAsia="Calibri"/>
                    <w:szCs w:val="24"/>
                  </w:rPr>
                  <w:t xml:space="preserve">, Komisijos reglamentą </w:t>
                </w:r>
                <w:r>
                  <w:rPr>
                    <w:rFonts w:eastAsia="Calibri"/>
                    <w:szCs w:val="24"/>
                  </w:rPr>
                  <w:t>(EB) Nr. 1488/94</w:t>
                </w:r>
                <w:r>
                  <w:rPr>
                    <w:rFonts w:eastAsia="Calibri"/>
                    <w:szCs w:val="24"/>
                  </w:rPr>
                  <w:t xml:space="preserve">, Tarybos direktyvą </w:t>
                </w:r>
                <w:r>
                  <w:rPr>
                    <w:rFonts w:eastAsia="Calibri"/>
                    <w:szCs w:val="24"/>
                  </w:rPr>
                  <w:t>76/769/EEB</w:t>
                </w:r>
                <w:r>
                  <w:rPr>
                    <w:rFonts w:eastAsia="Calibri"/>
                    <w:szCs w:val="24"/>
                  </w:rPr>
                  <w:t xml:space="preserve"> ir Komisijos direktyvas </w:t>
                </w:r>
                <w:r>
                  <w:rPr>
                    <w:rFonts w:eastAsia="Calibri"/>
                    <w:szCs w:val="24"/>
                  </w:rPr>
                  <w:t>91/155/EEB</w:t>
                </w:r>
                <w:r>
                  <w:rPr>
                    <w:rFonts w:eastAsia="Calibri"/>
                    <w:szCs w:val="24"/>
                  </w:rPr>
                  <w:t xml:space="preserve">, </w:t>
                </w:r>
                <w:r>
                  <w:rPr>
                    <w:rFonts w:eastAsia="Calibri"/>
                    <w:szCs w:val="24"/>
                  </w:rPr>
                  <w:t>93/67/EEB</w:t>
                </w:r>
                <w:r>
                  <w:rPr>
                    <w:rFonts w:eastAsia="Calibri"/>
                    <w:szCs w:val="24"/>
                  </w:rPr>
                  <w:t xml:space="preserve">, </w:t>
                </w:r>
                <w:r>
                  <w:rPr>
                    <w:rFonts w:eastAsia="Calibri"/>
                    <w:szCs w:val="24"/>
                  </w:rPr>
                  <w:t>93/105/EB</w:t>
                </w:r>
                <w:r>
                  <w:rPr>
                    <w:rFonts w:eastAsia="Calibri"/>
                    <w:szCs w:val="24"/>
                  </w:rPr>
                  <w:t xml:space="preserve"> bei </w:t>
                </w:r>
                <w:r>
                  <w:rPr>
                    <w:rFonts w:eastAsia="Calibri"/>
                    <w:szCs w:val="24"/>
                  </w:rPr>
                  <w:t>2000/21/EB</w:t>
                </w:r>
                <w:r>
                  <w:rPr>
                    <w:rFonts w:eastAsia="Calibri"/>
                    <w:szCs w:val="24"/>
                  </w:rPr>
                  <w:t>, XIV priede.</w:t>
                </w:r>
              </w:p>
              <w:p>
                <w:pPr>
                  <w:jc w:val="both"/>
                  <w:rPr>
                    <w:rFonts w:eastAsia="Calibri"/>
                    <w:iCs/>
                    <w:szCs w:val="24"/>
                    <w:highlight w:val="yellow"/>
                  </w:rPr>
                </w:pPr>
                <w:r>
                  <w:rPr>
                    <w:rFonts w:eastAsia="Calibri"/>
                    <w:szCs w:val="24"/>
                  </w:rPr>
                  <w:t xml:space="preserve">Bandymais pagal 2014 m. birželio 23 d. Komisijos sprendimą </w:t>
                </w:r>
                <w:r>
                  <w:rPr>
                    <w:rFonts w:eastAsia="Calibri"/>
                    <w:szCs w:val="24"/>
                  </w:rPr>
                  <w:t>2014/391/ES</w:t>
                </w:r>
                <w:r>
                  <w:rPr>
                    <w:rFonts w:eastAsia="Calibri"/>
                    <w:szCs w:val="24"/>
                  </w:rPr>
                  <w:t>, kuriuo nustatomi ekologiniai kriterijai, taikomi suteikiant ES ekologinį ženklą lovų čiužiniams,</w:t>
                </w:r>
                <w:r>
                  <w:rPr>
                    <w:sz w:val="19"/>
                    <w:szCs w:val="19"/>
                    <w:shd w:val="clear" w:color="auto" w:fill="FFFFFF"/>
                  </w:rPr>
                  <w:t xml:space="preserve"> </w:t>
                </w:r>
                <w:r>
                  <w:rPr>
                    <w:rFonts w:eastAsia="Calibri"/>
                    <w:szCs w:val="24"/>
                  </w:rPr>
                  <w:t>pagal standartus CEN / TS 16516 ir ISO 16000-3 arba kitas panašias standartizuotas bandymo sąlygas ir nustatymo metodus nustatyta, kad statyboje naudojami komponentai ir medžiagos, galinčios liestis su gyventojais, išskiria mažiau nei 0,06 mg formaldehido 1 m³ medžiagos ar komponento ir mažiau kaip 0,001 mg 1A ir 1B kategorijos kancerogeninių lakiųjų organinių junginių 1 m³ medžiagos arba komponento.</w:t>
                </w:r>
              </w:p>
              <w:p>
                <w:pPr>
                  <w:jc w:val="both"/>
                  <w:rPr>
                    <w:rFonts w:eastAsia="Calibri"/>
                    <w:szCs w:val="24"/>
                  </w:rPr>
                </w:pPr>
                <w:r>
                  <w:rPr>
                    <w:rFonts w:eastAsia="Calibri"/>
                    <w:szCs w:val="24"/>
                  </w:rPr>
                  <w:t>Imamasi priemonių triukšmui, dulkėms ir teršalams sumažinti vykdant statybos ar priežiūros darbus.</w:t>
                </w:r>
              </w:p>
            </w:tc>
            <w:tc>
              <w:tcPr>
                <w:tcW w:w="1594" w:type="pct"/>
              </w:tcPr>
              <w:p>
                <w:pPr>
                  <w:jc w:val="both"/>
                  <w:rPr>
                    <w:rFonts w:eastAsia="Calibri"/>
                    <w:bCs/>
                    <w:iCs/>
                    <w:szCs w:val="24"/>
                  </w:rPr>
                </w:pPr>
                <w:r>
                  <w:rPr>
                    <w:rFonts w:eastAsia="Calibri"/>
                    <w:bCs/>
                    <w:iCs/>
                    <w:szCs w:val="24"/>
                  </w:rPr>
                  <w:t>Netaikoma, kadangi nenumatoma, kad įgyvendinant projektų veiklas susidarytų ženkli oro, vandens ir dirvožemio tarša, nes modernizuojant įstaigas bus naudojamos statybas reglamentuojančiuose teisės aktuose leistinos medžiagos, atitinkančios aplinkos apsaugos reikalavimus.</w:t>
                </w:r>
              </w:p>
              <w:p>
                <w:pPr>
                  <w:jc w:val="both"/>
                  <w:rPr>
                    <w:rFonts w:eastAsia="Calibri"/>
                    <w:szCs w:val="24"/>
                  </w:rPr>
                </w:pPr>
              </w:p>
            </w:tc>
          </w:tr>
          <w:tr>
            <w:tc>
              <w:tcPr>
                <w:tcW w:w="1361" w:type="pct"/>
              </w:tcPr>
              <w:p>
                <w:pPr>
                  <w:tabs>
                    <w:tab w:val="left" w:pos="289"/>
                  </w:tabs>
                  <w:ind w:firstLine="5"/>
                  <w:jc w:val="both"/>
                  <w:rPr>
                    <w:rFonts w:eastAsia="Calibri"/>
                    <w:szCs w:val="24"/>
                  </w:rPr>
                </w:pPr>
                <w:r>
                  <w:rPr>
                    <w:rFonts w:eastAsia="Calibri"/>
                    <w:szCs w:val="24"/>
                  </w:rPr>
                  <w:t>6.</w:t>
                  <w:tab/>
                  <w:t>Biologinės įvairovės ir ekosistemų apsauga ir atkūrimas</w:t>
                </w:r>
              </w:p>
            </w:tc>
            <w:tc>
              <w:tcPr>
                <w:tcW w:w="2045" w:type="pct"/>
              </w:tcPr>
              <w:p>
                <w:pPr>
                  <w:jc w:val="both"/>
                  <w:rPr>
                    <w:rFonts w:eastAsia="Calibri"/>
                    <w:bCs/>
                    <w:szCs w:val="24"/>
                  </w:rPr>
                </w:pPr>
                <w:r>
                  <w:rPr>
                    <w:rFonts w:eastAsia="Calibri"/>
                    <w:bCs/>
                    <w:szCs w:val="24"/>
                  </w:rPr>
                  <w:t>Vertinama, kad planuojamos veiklos (ASPĮ modernizavimas (rangos darbai, baldų, kompiuterinės įrangos bei priemonių (</w:t>
                </w:r>
                <w:r>
                  <w:rPr>
                    <w:szCs w:val="24"/>
                  </w:rPr>
                  <w:t>įskaitant skaitmenines sistemas pacientų apskaitymui ir atvaizdavimui</w:t>
                </w:r>
                <w:r>
                  <w:rPr>
                    <w:rFonts w:eastAsia="Calibri"/>
                    <w:bCs/>
                    <w:szCs w:val="24"/>
                  </w:rPr>
                  <w:t xml:space="preserve">) bei </w:t>
                </w:r>
                <w:r>
                  <w:rPr>
                    <w:szCs w:val="24"/>
                  </w:rPr>
                  <w:t xml:space="preserve">transporto priemonių </w:t>
                </w:r>
                <w:r>
                  <w:rPr>
                    <w:rFonts w:eastAsia="Calibri"/>
                    <w:bCs/>
                    <w:szCs w:val="24"/>
                  </w:rPr>
                  <w:t>įsigijimas</w:t>
                </w:r>
                <w:r>
                  <w:rPr>
                    <w:rFonts w:eastAsia="Calibri"/>
                    <w:bCs/>
                    <w:iCs/>
                    <w:szCs w:val="24"/>
                  </w:rPr>
                  <w:t xml:space="preserve">) </w:t>
                </w:r>
                <w:r>
                  <w:rPr>
                    <w:rFonts w:eastAsia="Calibri"/>
                    <w:bCs/>
                    <w:szCs w:val="24"/>
                  </w:rPr>
                  <w:t xml:space="preserve">neturės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pPr>
                  <w:jc w:val="both"/>
                  <w:rPr>
                    <w:rFonts w:eastAsia="Calibri"/>
                    <w:bCs/>
                    <w:szCs w:val="24"/>
                  </w:rPr>
                </w:pPr>
                <w:r>
                  <w:rPr>
                    <w:szCs w:val="24"/>
                  </w:rPr>
                  <w:t>Veiklos planuojamos šalies miestuose jau įrengtose infrastruktūrose, ASPĮ teritorijose, todėl reikšminga įtaka biologinei įvairovei ar ekosistemoms nebūtų padaryta.</w:t>
                </w:r>
              </w:p>
              <w:p>
                <w:pPr>
                  <w:jc w:val="both"/>
                  <w:rPr>
                    <w:rFonts w:eastAsia="Calibri"/>
                    <w:bCs/>
                    <w:szCs w:val="24"/>
                  </w:rPr>
                </w:pPr>
                <w:r>
                  <w:rPr>
                    <w:rFonts w:eastAsia="Calibri"/>
                    <w:bCs/>
                    <w:szCs w:val="24"/>
                  </w:rPr>
                  <w:t xml:space="preserve">Nenumatoma, kad priemonė turės neigiamą poveikį biologinei įvairovei ar ekosistemų apsaugai, nes nenumatoma kurti ar modernizuoti infrastruktūros „Natura 2000“, UNESCO pasaulinio paveldo ar kitose saugomose teritorijose. </w:t>
                </w:r>
              </w:p>
            </w:tc>
            <w:tc>
              <w:tcPr>
                <w:tcW w:w="1594" w:type="pct"/>
              </w:tcPr>
              <w:p>
                <w:pPr>
                  <w:jc w:val="both"/>
                  <w:rPr>
                    <w:rFonts w:eastAsia="Calibri"/>
                    <w:szCs w:val="24"/>
                  </w:rPr>
                </w:pPr>
                <w:r>
                  <w:rPr>
                    <w:rFonts w:eastAsia="Calibri"/>
                    <w:bCs/>
                    <w:iCs/>
                    <w:szCs w:val="24"/>
                  </w:rPr>
                  <w:t>Netaikoma,</w:t>
                </w:r>
                <w:r>
                  <w:rPr>
                    <w:rFonts w:eastAsia="Calibri"/>
                    <w:bCs/>
                    <w:szCs w:val="24"/>
                  </w:rPr>
                  <w:t xml:space="preserve"> nes nenumatoma kurti ar modernizuoti infrastruktūros „Natura 2000“, UNESCO pasaulinio paveldo ar kitose saugomose teritorijose</w:t>
                </w:r>
                <w:r>
                  <w:rPr>
                    <w:rFonts w:eastAsia="Calibri"/>
                    <w:bCs/>
                    <w:iCs/>
                    <w:szCs w:val="24"/>
                  </w:rPr>
                  <w:t>.</w:t>
                </w:r>
              </w:p>
              <w:p>
                <w:pPr>
                  <w:jc w:val="both"/>
                  <w:rPr>
                    <w:rFonts w:eastAsia="Calibri"/>
                    <w:szCs w:val="24"/>
                  </w:rPr>
                </w:pPr>
              </w:p>
            </w:tc>
          </w:tr>
        </w:tbl>
        <w:p>
          <w:pPr>
            <w:spacing w:line="276" w:lineRule="auto"/>
            <w:jc w:val="center"/>
            <w:rPr>
              <w:rFonts w:ascii="Calibri" w:eastAsia="Calibri" w:hAnsi="Calibri"/>
              <w:sz w:val="22"/>
              <w:szCs w:val="22"/>
            </w:rPr>
          </w:pPr>
        </w:p>
        <w:p>
          <w:pPr>
            <w:rPr>
              <w:sz w:val="18"/>
              <w:szCs w:val="18"/>
            </w:rPr>
          </w:pPr>
        </w:p>
        <w:sdt>
          <w:sdtPr>
            <w:alias w:val="pabaiga"/>
            <w:tag w:val="part_1812aa5ad33a46b2886b9a1fe83fc74b"/>
            <w:lock w:val="sdtLocked"/>
            <w:richText/>
          </w:sdtPr>
          <w:sdtContent>
            <w:p>
              <w:pPr>
                <w:spacing w:line="276" w:lineRule="auto"/>
                <w:jc w:val="center"/>
                <w:rPr>
                  <w:sz w:val="22"/>
                  <w:szCs w:val="22"/>
                </w:rPr>
              </w:pPr>
              <w:r>
                <w:rPr>
                  <w:rFonts w:ascii="Calibri" w:eastAsia="Calibri" w:hAnsi="Calibri"/>
                  <w:sz w:val="22"/>
                  <w:szCs w:val="22"/>
                </w:rPr>
                <w:t>________________</w:t>
              </w:r>
            </w:p>
            <w:p/>
            <w:p>
              <w:pPr>
                <w:spacing w:line="276" w:lineRule="auto"/>
                <w:rPr>
                  <w:sz w:val="22"/>
                  <w:szCs w:val="22"/>
                </w:rPr>
              </w:pPr>
            </w:p>
          </w:sdtContent>
        </w:sdt>
      </w:sdtContent>
    </w:sdt>
    <w:sectPr>
      <w:pgSz w:w="16838" w:h="11906" w:orient="landscape"/>
      <w:pgMar w:top="1134" w:right="567" w:bottom="993"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Aptos">
    <w:altName w:val="Arial"/>
    <w:charset w:val="00"/>
    <w:family w:val="swiss"/>
    <w:pitch w:val="variable"/>
    <w:sig w:usb0="20000287" w:usb1="00000003" w:usb2="00000000" w:usb3="00000000" w:csb0="0000019F" w:csb1="00000000"/>
  </w:font>
  <w:font w:name="Poppins">
    <w:altName w:val="Times New Roman"/>
    <w:charset w:val="BA"/>
    <w:family w:val="auto"/>
    <w:pitch w:val="variable"/>
    <w:sig w:usb0="00008007" w:usb1="00000000" w:usb2="00000000" w:usb3="00000000" w:csb0="00000093"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9</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03761E4-C106-4468-9814-6EFAA3E5FE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16092581">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473448484">
      <w:bodyDiv w:val="1"/>
      <w:marLeft w:val="0"/>
      <w:marRight w:val="0"/>
      <w:marTop w:val="0"/>
      <w:marBottom w:val="0"/>
      <w:divBdr>
        <w:top w:val="none" w:sz="0" w:space="0" w:color="auto"/>
        <w:left w:val="none" w:sz="0" w:space="0" w:color="auto"/>
        <w:bottom w:val="none" w:sz="0" w:space="0" w:color="auto"/>
        <w:right w:val="none" w:sz="0" w:space="0" w:color="auto"/>
      </w:divBdr>
    </w:div>
    <w:div w:id="589461935">
      <w:bodyDiv w:val="1"/>
      <w:marLeft w:val="0"/>
      <w:marRight w:val="0"/>
      <w:marTop w:val="0"/>
      <w:marBottom w:val="0"/>
      <w:divBdr>
        <w:top w:val="none" w:sz="0" w:space="0" w:color="auto"/>
        <w:left w:val="none" w:sz="0" w:space="0" w:color="auto"/>
        <w:bottom w:val="none" w:sz="0" w:space="0" w:color="auto"/>
        <w:right w:val="none" w:sz="0" w:space="0" w:color="auto"/>
      </w:divBdr>
    </w:div>
    <w:div w:id="60268530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780691096">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9876793">
      <w:bodyDiv w:val="1"/>
      <w:marLeft w:val="0"/>
      <w:marRight w:val="0"/>
      <w:marTop w:val="0"/>
      <w:marBottom w:val="0"/>
      <w:divBdr>
        <w:top w:val="none" w:sz="0" w:space="0" w:color="auto"/>
        <w:left w:val="none" w:sz="0" w:space="0" w:color="auto"/>
        <w:bottom w:val="none" w:sz="0" w:space="0" w:color="auto"/>
        <w:right w:val="none" w:sz="0" w:space="0" w:color="auto"/>
      </w:divBdr>
    </w:div>
    <w:div w:id="950665233">
      <w:bodyDiv w:val="1"/>
      <w:marLeft w:val="0"/>
      <w:marRight w:val="0"/>
      <w:marTop w:val="0"/>
      <w:marBottom w:val="0"/>
      <w:divBdr>
        <w:top w:val="none" w:sz="0" w:space="0" w:color="auto"/>
        <w:left w:val="none" w:sz="0" w:space="0" w:color="auto"/>
        <w:bottom w:val="none" w:sz="0" w:space="0" w:color="auto"/>
        <w:right w:val="none" w:sz="0" w:space="0" w:color="auto"/>
      </w:divBdr>
    </w:div>
    <w:div w:id="988443033">
      <w:bodyDiv w:val="1"/>
      <w:marLeft w:val="0"/>
      <w:marRight w:val="0"/>
      <w:marTop w:val="0"/>
      <w:marBottom w:val="0"/>
      <w:divBdr>
        <w:top w:val="none" w:sz="0" w:space="0" w:color="auto"/>
        <w:left w:val="none" w:sz="0" w:space="0" w:color="auto"/>
        <w:bottom w:val="none" w:sz="0" w:space="0" w:color="auto"/>
        <w:right w:val="none" w:sz="0" w:space="0" w:color="auto"/>
      </w:divBdr>
    </w:div>
    <w:div w:id="993606027">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131165951">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13494158">
      <w:bodyDiv w:val="1"/>
      <w:marLeft w:val="0"/>
      <w:marRight w:val="0"/>
      <w:marTop w:val="0"/>
      <w:marBottom w:val="0"/>
      <w:divBdr>
        <w:top w:val="none" w:sz="0" w:space="0" w:color="auto"/>
        <w:left w:val="none" w:sz="0" w:space="0" w:color="auto"/>
        <w:bottom w:val="none" w:sz="0" w:space="0" w:color="auto"/>
        <w:right w:val="none" w:sz="0" w:space="0" w:color="auto"/>
      </w:divBdr>
    </w:div>
    <w:div w:id="1227186544">
      <w:bodyDiv w:val="1"/>
      <w:marLeft w:val="0"/>
      <w:marRight w:val="0"/>
      <w:marTop w:val="0"/>
      <w:marBottom w:val="0"/>
      <w:divBdr>
        <w:top w:val="none" w:sz="0" w:space="0" w:color="auto"/>
        <w:left w:val="none" w:sz="0" w:space="0" w:color="auto"/>
        <w:bottom w:val="none" w:sz="0" w:space="0" w:color="auto"/>
        <w:right w:val="none" w:sz="0" w:space="0" w:color="auto"/>
      </w:divBdr>
    </w:div>
    <w:div w:id="1240944894">
      <w:bodyDiv w:val="1"/>
      <w:marLeft w:val="0"/>
      <w:marRight w:val="0"/>
      <w:marTop w:val="0"/>
      <w:marBottom w:val="0"/>
      <w:divBdr>
        <w:top w:val="none" w:sz="0" w:space="0" w:color="auto"/>
        <w:left w:val="none" w:sz="0" w:space="0" w:color="auto"/>
        <w:bottom w:val="none" w:sz="0" w:space="0" w:color="auto"/>
        <w:right w:val="none" w:sz="0" w:space="0" w:color="auto"/>
      </w:divBdr>
    </w:div>
    <w:div w:id="1340082209">
      <w:bodyDiv w:val="1"/>
      <w:marLeft w:val="0"/>
      <w:marRight w:val="0"/>
      <w:marTop w:val="0"/>
      <w:marBottom w:val="0"/>
      <w:divBdr>
        <w:top w:val="none" w:sz="0" w:space="0" w:color="auto"/>
        <w:left w:val="none" w:sz="0" w:space="0" w:color="auto"/>
        <w:bottom w:val="none" w:sz="0" w:space="0" w:color="auto"/>
        <w:right w:val="none" w:sz="0" w:space="0" w:color="auto"/>
      </w:divBdr>
    </w:div>
    <w:div w:id="1445420850">
      <w:bodyDiv w:val="1"/>
      <w:marLeft w:val="0"/>
      <w:marRight w:val="0"/>
      <w:marTop w:val="0"/>
      <w:marBottom w:val="0"/>
      <w:divBdr>
        <w:top w:val="none" w:sz="0" w:space="0" w:color="auto"/>
        <w:left w:val="none" w:sz="0" w:space="0" w:color="auto"/>
        <w:bottom w:val="none" w:sz="0" w:space="0" w:color="auto"/>
        <w:right w:val="none" w:sz="0" w:space="0" w:color="auto"/>
      </w:divBdr>
    </w:div>
    <w:div w:id="154652358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22876893">
      <w:bodyDiv w:val="1"/>
      <w:marLeft w:val="0"/>
      <w:marRight w:val="0"/>
      <w:marTop w:val="0"/>
      <w:marBottom w:val="0"/>
      <w:divBdr>
        <w:top w:val="none" w:sz="0" w:space="0" w:color="auto"/>
        <w:left w:val="none" w:sz="0" w:space="0" w:color="auto"/>
        <w:bottom w:val="none" w:sz="0" w:space="0" w:color="auto"/>
        <w:right w:val="none" w:sz="0" w:space="0" w:color="auto"/>
      </w:divBdr>
    </w:div>
    <w:div w:id="1653094465">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06560454">
      <w:bodyDiv w:val="1"/>
      <w:marLeft w:val="0"/>
      <w:marRight w:val="0"/>
      <w:marTop w:val="0"/>
      <w:marBottom w:val="0"/>
      <w:divBdr>
        <w:top w:val="none" w:sz="0" w:space="0" w:color="auto"/>
        <w:left w:val="none" w:sz="0" w:space="0" w:color="auto"/>
        <w:bottom w:val="none" w:sz="0" w:space="0" w:color="auto"/>
        <w:right w:val="none" w:sz="0" w:space="0" w:color="auto"/>
      </w:divBdr>
    </w:div>
    <w:div w:id="1721634606">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638623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34" Type="http://schemas.openxmlformats.org/officeDocument/2006/relationships/fontTable" Target="fontTable.xml"/>
  <Relationship Id="rId35" Type="http://schemas.openxmlformats.org/officeDocument/2006/relationships/theme" Target="theme/theme1.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6" Abbr="26 pr." Title="2022–2030 METŲ SVEIKATOS PRIEŽIŪROS KOKYBĖS IR EFEKTYVUMO DIDINIMO PLĖTROS PROGRAMOS PAŽANGOS PRIEMONĖS NR. 11-002-02-11-01 „GERINTI SVEIKATOS PRIEŽIŪROS PASLAUGŲ KOKYBĘ IR PRIEINAMUMĄ“ PROJEKTŲ FINANSAVIMO SĄLYGŲ APRAŠAS NR. 26" DocPartId="4565dafde5f8436f96a52a6d9a2e46a0" PartId="af66f6af3421451a9884929d7e3f9b98">
    <Part Type="pabaiga" DocPartId="95b6e95c90fa431b9ac1df46592409b0" PartId="a54fc467bbe44b10ac4ea0223647ac92"/>
  </Part>
  <Part Type="priedas" Abbr="pr." Title="PROJEKTO ATITIKTIES REIKŠMINGOS ŽALOS NEDARYMO HORIZONTALIAJAM PRINCIPUI VERTINIMO REIKALAVIMŲ APRAŠAS" DocPartId="5c8af08aee2147fab996f70bb80250ac" PartId="962aa938b9864bac91e6dda81f801852">
    <Part Type="pabaiga" DocPartId="bf819b124bd44160a839e5b1b1274d4f" PartId="1812aa5ad33a46b2886b9a1fe83fc74b"/>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7E544ECD-59C3-42C0-93E6-18CB5D3F0D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4FD9EB-4379-4657-9962-BD8B3DFD3AC9}">
  <ds:schemaRefs>
    <ds:schemaRef ds:uri="http://schemas.openxmlformats.org/officeDocument/2006/bibliography"/>
  </ds:schemaRefs>
</ds:datastoreItem>
</file>

<file path=customXml/itemProps5.xml><?xml version="1.0" encoding="utf-8"?>
<ds:datastoreItem xmlns:ds="http://schemas.openxmlformats.org/officeDocument/2006/customXml" ds:itemID="{64C9C1CE-47DB-47E6-B83C-1C7F998E63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5082</Words>
  <Characters>37509</Characters>
  <Application>Microsoft Office Word</Application>
  <DocSecurity>4</DocSecurity>
  <Lines>1136</Lines>
  <Paragraphs>501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Psichiatrijos_dienos_stacionarai</vt:lpstr>
      <vt:lpstr>PFSA Psichiatrijos_dienos_stacionarai</vt:lpstr>
    </vt:vector>
  </TitlesOfParts>
  <Company>HP Inc.</Company>
  <LinksUpToDate>false</LinksUpToDate>
  <CharactersWithSpaces>42090</CharactersWithSpaces>
  <SharedDoc>false</SharedDoc>
  <HyperlinkBase/>
  <HLinks>
    <vt:vector size="24" baseType="variant">
      <vt:variant>
        <vt:i4>6422578</vt:i4>
      </vt:variant>
      <vt:variant>
        <vt:i4>6</vt:i4>
      </vt:variant>
      <vt:variant>
        <vt:i4>0</vt:i4>
      </vt:variant>
      <vt:variant>
        <vt:i4>5</vt:i4>
      </vt:variant>
      <vt:variant>
        <vt:lpwstr>https://2021.esinvesticijos.lt/dokumentai/supaprastintai-apmokamu-islaidu-dydziu-registras</vt:lpwstr>
      </vt:variant>
      <vt:variant>
        <vt:lpwstr/>
      </vt:variant>
      <vt:variant>
        <vt:i4>2031641</vt:i4>
      </vt:variant>
      <vt:variant>
        <vt:i4>3</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2031641</vt:i4>
      </vt:variant>
      <vt:variant>
        <vt:i4>0</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2293866</vt:i4>
      </vt:variant>
      <vt:variant>
        <vt:i4>0</vt:i4>
      </vt:variant>
      <vt:variant>
        <vt:i4>0</vt:i4>
      </vt:variant>
      <vt:variant>
        <vt:i4>5</vt:i4>
      </vt:variant>
      <vt:variant>
        <vt:lpwstr>https://e-seimas.lrs.lt/portal/legalAct/lt/TAD/c01e3f909eae11ee8172b53a675305ab/asr?positionInSearchResults=0&amp;searchModelUUID=525e2204-7a09-4800-b53b-19ca26b0cda5</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2024-05-20T05:05:00Z</dcterms:created>
  <dc:creator>Virginija Levinskienė</dc:creator>
  <lastModifiedBy>adlibuser</lastModifiedBy>
  <lastPrinted>2024-03-08T21:56:00Z</lastPrinted>
  <dcterms:modified xsi:type="dcterms:W3CDTF">2024-05-20T05:05:00Z</dcterms:modified>
  <revision>2</revision>
  <dc:title>PFSA Psichiatrijos_dienos_stacionarai</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Users">
    <vt:lpwstr>136;#Alvyda Ažubalytė;#306;#Neringa Žemaitienė;#758;#Toma Šukienė;#1227;#Sonata Macijauskienė;#1089;#Rasa Mockutė</vt:lpwstr>
  </property>
  <property fmtid="{D5CDD505-2E9C-101B-9397-08002B2CF9AE}" pid="4" name="TaxCatchAll">
    <vt:lpwstr/>
  </property>
  <property fmtid="{D5CDD505-2E9C-101B-9397-08002B2CF9AE}" pid="5" name="DmsPermissionsConfid">
    <vt:bool>false</vt:bool>
  </property>
  <property fmtid="{D5CDD505-2E9C-101B-9397-08002B2CF9AE}" pid="6" name="MediaServiceImageTags">
    <vt:lpwstr/>
  </property>
  <property fmtid="{D5CDD505-2E9C-101B-9397-08002B2CF9AE}" pid="7" name="ContentTypeId">
    <vt:lpwstr>0x010100D76F90AF19434866994CD715ED8FEE4200712820E1B0DE314FBCE77D75ADAD206D</vt:lpwstr>
  </property>
  <property fmtid="{D5CDD505-2E9C-101B-9397-08002B2CF9AE}" pid="8" name="DmsPermissionsDivisions">
    <vt:lpwstr>244;#Sveikatos projektų skyrius|5908eca3-6d57-464f-8cbe-536f81c5e307;#3308;#Procesų valdymo skyrius|1d2453fc-c175-46b4-b9fe-6151c1a059d8;#62;#Finansų skyrius|7d9d544b-d496-4126-a894-fd0e68da2d8e</vt:lpwstr>
  </property>
  <property fmtid="{D5CDD505-2E9C-101B-9397-08002B2CF9AE}" pid="9" name="DmsDocPrepDocSendRegReal">
    <vt:bool>false</vt:bool>
  </property>
  <property fmtid="{D5CDD505-2E9C-101B-9397-08002B2CF9AE}" pid="10" name="DmsWaitingForSign">
    <vt:bool>true</vt:bool>
  </property>
</Properties>
</file>